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44" w:rsidRDefault="00D642CC" w:rsidP="00624D26">
      <w:pPr>
        <w:ind w:left="720"/>
        <w:rPr>
          <w:b/>
        </w:rPr>
      </w:pPr>
      <w:r>
        <w:rPr>
          <w:b/>
        </w:rPr>
        <w:t>The Budget Initiative consists of two written parts, the Description and the Justification, as well as a section containing associated funding entries.</w:t>
      </w:r>
    </w:p>
    <w:p w:rsidR="006F6644" w:rsidRDefault="006F6644" w:rsidP="00624D26">
      <w:pPr>
        <w:ind w:left="720"/>
        <w:rPr>
          <w:b/>
        </w:rPr>
      </w:pPr>
    </w:p>
    <w:p w:rsidR="006F6644" w:rsidRDefault="00466F8A" w:rsidP="00624D26">
      <w:pPr>
        <w:ind w:left="720"/>
        <w:rPr>
          <w:b/>
        </w:rPr>
      </w:pPr>
      <w:r>
        <w:rPr>
          <w:b/>
        </w:rPr>
        <w:t>The Description briefly states the</w:t>
      </w:r>
      <w:r w:rsidR="0077450B" w:rsidRPr="00292E0F">
        <w:rPr>
          <w:b/>
        </w:rPr>
        <w:t xml:space="preserve"> intent of the initiative</w:t>
      </w:r>
      <w:r w:rsidR="006F6644">
        <w:rPr>
          <w:b/>
        </w:rPr>
        <w:t xml:space="preserve"> in a stylized format</w:t>
      </w:r>
      <w:r>
        <w:rPr>
          <w:b/>
        </w:rPr>
        <w:t xml:space="preserve"> </w:t>
      </w:r>
      <w:r w:rsidR="00502ADA">
        <w:rPr>
          <w:b/>
        </w:rPr>
        <w:t>and must begin with the wording</w:t>
      </w:r>
      <w:r>
        <w:rPr>
          <w:b/>
        </w:rPr>
        <w:t xml:space="preserve"> provided in the first bullet </w:t>
      </w:r>
      <w:r w:rsidR="000B44A3">
        <w:rPr>
          <w:b/>
        </w:rPr>
        <w:t xml:space="preserve">shown </w:t>
      </w:r>
      <w:r>
        <w:rPr>
          <w:b/>
        </w:rPr>
        <w:t>below.</w:t>
      </w:r>
      <w:r w:rsidR="00315A97">
        <w:rPr>
          <w:b/>
        </w:rPr>
        <w:t xml:space="preserve"> Text in the Description field appears in the budget bill.</w:t>
      </w:r>
    </w:p>
    <w:p w:rsidR="006F6644" w:rsidRDefault="006F6644" w:rsidP="00624D26">
      <w:pPr>
        <w:ind w:left="720"/>
        <w:rPr>
          <w:b/>
        </w:rPr>
      </w:pPr>
    </w:p>
    <w:p w:rsidR="00AD4E83" w:rsidRDefault="00466F8A" w:rsidP="00624D26">
      <w:pPr>
        <w:ind w:left="720"/>
        <w:rPr>
          <w:b/>
        </w:rPr>
      </w:pPr>
      <w:r>
        <w:rPr>
          <w:b/>
        </w:rPr>
        <w:t>The Justification provide</w:t>
      </w:r>
      <w:r w:rsidR="000608A0">
        <w:rPr>
          <w:b/>
        </w:rPr>
        <w:t>s</w:t>
      </w:r>
      <w:r>
        <w:rPr>
          <w:b/>
        </w:rPr>
        <w:t xml:space="preserve"> additional i</w:t>
      </w:r>
      <w:r w:rsidR="00502ADA">
        <w:rPr>
          <w:b/>
        </w:rPr>
        <w:t>nformation about the initiative in a less stylized manner.</w:t>
      </w:r>
      <w:r w:rsidR="000A26D9">
        <w:rPr>
          <w:b/>
        </w:rPr>
        <w:t xml:space="preserve">  </w:t>
      </w:r>
      <w:r w:rsidR="002329D8">
        <w:rPr>
          <w:b/>
        </w:rPr>
        <w:t xml:space="preserve">Information contained in the Justification field is sent to the </w:t>
      </w:r>
      <w:r w:rsidR="00AD4E83">
        <w:rPr>
          <w:b/>
        </w:rPr>
        <w:t>O</w:t>
      </w:r>
      <w:r w:rsidR="002329D8">
        <w:rPr>
          <w:b/>
        </w:rPr>
        <w:t xml:space="preserve">ffice of Fiscal and </w:t>
      </w:r>
      <w:r w:rsidR="00AD4E83">
        <w:rPr>
          <w:b/>
        </w:rPr>
        <w:t>P</w:t>
      </w:r>
      <w:r w:rsidR="002329D8">
        <w:rPr>
          <w:b/>
        </w:rPr>
        <w:t>rogram Review but does not appear in the bill itself.</w:t>
      </w:r>
      <w:r w:rsidR="00AD4E83">
        <w:rPr>
          <w:b/>
        </w:rPr>
        <w:t xml:space="preserve">  Refer to the “Budget Guidance 18-19 biennium” for an example of how information will be displayed.</w:t>
      </w:r>
    </w:p>
    <w:p w:rsidR="00AD4E83" w:rsidRDefault="00AD4E83" w:rsidP="00624D26">
      <w:pPr>
        <w:ind w:left="720"/>
        <w:rPr>
          <w:b/>
        </w:rPr>
      </w:pPr>
    </w:p>
    <w:p w:rsidR="00624D26" w:rsidRDefault="000A26D9" w:rsidP="00624D26">
      <w:pPr>
        <w:ind w:left="720"/>
        <w:rPr>
          <w:b/>
        </w:rPr>
      </w:pPr>
      <w:r>
        <w:rPr>
          <w:b/>
        </w:rPr>
        <w:t xml:space="preserve">Both </w:t>
      </w:r>
      <w:r w:rsidR="00AD4E83">
        <w:rPr>
          <w:b/>
        </w:rPr>
        <w:t xml:space="preserve">the Description and the </w:t>
      </w:r>
      <w:r w:rsidR="003047D6">
        <w:rPr>
          <w:b/>
        </w:rPr>
        <w:t>J</w:t>
      </w:r>
      <w:r w:rsidR="00AD4E83">
        <w:rPr>
          <w:b/>
        </w:rPr>
        <w:t>ustification are required entries for each initiative</w:t>
      </w:r>
      <w:r>
        <w:rPr>
          <w:b/>
        </w:rPr>
        <w:t>.</w:t>
      </w:r>
    </w:p>
    <w:p w:rsidR="009B168D" w:rsidRDefault="009B168D" w:rsidP="00624D26">
      <w:pPr>
        <w:ind w:left="720"/>
        <w:rPr>
          <w:b/>
        </w:rPr>
      </w:pPr>
    </w:p>
    <w:p w:rsidR="009B168D" w:rsidRDefault="002B3D04" w:rsidP="00624D26">
      <w:pPr>
        <w:ind w:left="720"/>
        <w:rPr>
          <w:b/>
        </w:rPr>
      </w:pPr>
      <w:r>
        <w:rPr>
          <w:b/>
        </w:rPr>
        <w:t xml:space="preserve">Note - </w:t>
      </w:r>
      <w:r w:rsidR="009B168D">
        <w:rPr>
          <w:b/>
        </w:rPr>
        <w:t>Copying and pasting information from a MS Word doc</w:t>
      </w:r>
      <w:r w:rsidR="00A912DC">
        <w:rPr>
          <w:b/>
        </w:rPr>
        <w:t>ument</w:t>
      </w:r>
      <w:r w:rsidR="009B168D">
        <w:rPr>
          <w:b/>
        </w:rPr>
        <w:t xml:space="preserve"> into BFMS sometimes results in odd formatting when printing from BFMS.  This can generally be resolved in BFMS by placing the cursor directly after the last period in the affected section and pressing the “Delete” key several times.</w:t>
      </w:r>
    </w:p>
    <w:p w:rsidR="00EE18C7" w:rsidRDefault="00EE18C7" w:rsidP="00624D26">
      <w:pPr>
        <w:ind w:left="720"/>
        <w:rPr>
          <w:b/>
        </w:rPr>
      </w:pPr>
    </w:p>
    <w:p w:rsidR="00EE18C7" w:rsidRPr="001632A0" w:rsidRDefault="00EE18C7" w:rsidP="00624D26">
      <w:pPr>
        <w:ind w:left="720"/>
        <w:rPr>
          <w:b/>
          <w:u w:val="single"/>
        </w:rPr>
      </w:pPr>
      <w:r w:rsidRPr="001632A0">
        <w:rPr>
          <w:b/>
          <w:u w:val="single"/>
        </w:rPr>
        <w:t xml:space="preserve">General </w:t>
      </w:r>
      <w:r w:rsidR="003F74DE" w:rsidRPr="001632A0">
        <w:rPr>
          <w:b/>
          <w:u w:val="single"/>
        </w:rPr>
        <w:t>Information</w:t>
      </w:r>
    </w:p>
    <w:p w:rsidR="00624D26" w:rsidRDefault="00624D26" w:rsidP="00624D26">
      <w:pPr>
        <w:ind w:left="720"/>
      </w:pPr>
    </w:p>
    <w:p w:rsidR="002C5C1E" w:rsidRDefault="002C5C1E" w:rsidP="002C5C1E">
      <w:pPr>
        <w:numPr>
          <w:ilvl w:val="0"/>
          <w:numId w:val="2"/>
        </w:numPr>
      </w:pPr>
      <w:r>
        <w:t xml:space="preserve">All </w:t>
      </w:r>
      <w:r w:rsidR="006D1094">
        <w:t>entries in the D</w:t>
      </w:r>
      <w:r>
        <w:t>escription</w:t>
      </w:r>
      <w:r w:rsidR="006D1094">
        <w:t xml:space="preserve"> field</w:t>
      </w:r>
      <w:r w:rsidR="00FB33D4">
        <w:t xml:space="preserve"> </w:t>
      </w:r>
      <w:r>
        <w:t>should begin with</w:t>
      </w:r>
      <w:r w:rsidR="00DA5F19">
        <w:t xml:space="preserve"> one of</w:t>
      </w:r>
      <w:r>
        <w:t xml:space="preserve"> the following:</w:t>
      </w:r>
    </w:p>
    <w:p w:rsidR="004D404E" w:rsidRDefault="004D404E" w:rsidP="002C5C1E">
      <w:pPr>
        <w:numPr>
          <w:ilvl w:val="1"/>
          <w:numId w:val="2"/>
        </w:numPr>
      </w:pPr>
      <w:r>
        <w:t>Provides fund</w:t>
      </w:r>
      <w:r w:rsidR="00BE4149">
        <w:t>ing</w:t>
      </w:r>
      <w:r w:rsidR="00C833C0" w:rsidRPr="00CD1F59">
        <w:rPr>
          <w:color w:val="FF0000"/>
        </w:rPr>
        <w:t>,</w:t>
      </w:r>
      <w:r w:rsidRPr="00CD1F59">
        <w:rPr>
          <w:color w:val="FF0000"/>
        </w:rPr>
        <w:t xml:space="preserve"> </w:t>
      </w:r>
      <w:r w:rsidRPr="00FB33D4">
        <w:t>Reduces funding or</w:t>
      </w:r>
      <w:r w:rsidR="00C833C0" w:rsidRPr="00FB33D4">
        <w:t xml:space="preserve"> Adjusts funding</w:t>
      </w:r>
      <w:r w:rsidR="00C833C0">
        <w:t xml:space="preserve"> </w:t>
      </w:r>
      <w:r w:rsidR="00C833C0" w:rsidRPr="00325AD7">
        <w:rPr>
          <w:u w:val="single"/>
        </w:rPr>
        <w:t>or</w:t>
      </w:r>
    </w:p>
    <w:p w:rsidR="002C5C1E" w:rsidRDefault="001E1C7B" w:rsidP="002C5C1E">
      <w:pPr>
        <w:numPr>
          <w:ilvl w:val="1"/>
          <w:numId w:val="2"/>
        </w:numPr>
      </w:pPr>
      <w:r>
        <w:t>An a</w:t>
      </w:r>
      <w:r w:rsidR="00D433EA">
        <w:t>ction verb</w:t>
      </w:r>
      <w:r>
        <w:t xml:space="preserve"> such as: </w:t>
      </w:r>
      <w:r w:rsidR="003F2CCF">
        <w:t>E</w:t>
      </w:r>
      <w:r w:rsidR="002C5C1E">
        <w:t xml:space="preserve">stablishes, </w:t>
      </w:r>
      <w:r w:rsidR="003F2CCF">
        <w:t>T</w:t>
      </w:r>
      <w:r w:rsidR="002C5C1E">
        <w:t xml:space="preserve">ransfers, </w:t>
      </w:r>
      <w:r w:rsidR="003F2CCF">
        <w:t>R</w:t>
      </w:r>
      <w:r w:rsidR="002C5C1E">
        <w:t xml:space="preserve">eorganizes, </w:t>
      </w:r>
      <w:r w:rsidR="003F2CCF">
        <w:t>E</w:t>
      </w:r>
      <w:r w:rsidR="00905E76">
        <w:t>liminates</w:t>
      </w:r>
      <w:r w:rsidR="00146949">
        <w:t>, Continues</w:t>
      </w:r>
      <w:r w:rsidR="00FB33D4">
        <w:t xml:space="preserve"> </w:t>
      </w:r>
      <w:r w:rsidR="00FB33D4" w:rsidRPr="00325AD7">
        <w:rPr>
          <w:u w:val="single"/>
        </w:rPr>
        <w:t>or</w:t>
      </w:r>
    </w:p>
    <w:p w:rsidR="00FB33D4" w:rsidRDefault="00FB33D4" w:rsidP="002C5C1E">
      <w:pPr>
        <w:numPr>
          <w:ilvl w:val="1"/>
          <w:numId w:val="2"/>
        </w:numPr>
      </w:pPr>
      <w:r>
        <w:t>Reallocates the cost of…</w:t>
      </w:r>
      <w:r w:rsidR="00F71725">
        <w:t xml:space="preserve"> </w:t>
      </w:r>
      <w:r w:rsidR="00146949">
        <w:t>when reallocating the cost of position(s)</w:t>
      </w:r>
      <w:r w:rsidR="003147AA">
        <w:t xml:space="preserve"> </w:t>
      </w:r>
    </w:p>
    <w:p w:rsidR="00905E76" w:rsidRDefault="00905E76" w:rsidP="00905E76"/>
    <w:p w:rsidR="00584C0C" w:rsidRDefault="00584C0C" w:rsidP="00584C0C">
      <w:pPr>
        <w:numPr>
          <w:ilvl w:val="0"/>
          <w:numId w:val="2"/>
        </w:numPr>
      </w:pPr>
      <w:r w:rsidRPr="007D160B">
        <w:t>Reference to a statute should read “Maine Revised Statutes, Title 5, section 15</w:t>
      </w:r>
      <w:r>
        <w:t xml:space="preserve">85, subsection 1.”  </w:t>
      </w:r>
    </w:p>
    <w:p w:rsidR="00584C0C" w:rsidRDefault="00584C0C" w:rsidP="00584C0C">
      <w:pPr>
        <w:ind w:left="1080"/>
      </w:pPr>
    </w:p>
    <w:p w:rsidR="00584C0C" w:rsidRDefault="00584C0C" w:rsidP="00584C0C">
      <w:pPr>
        <w:numPr>
          <w:ilvl w:val="0"/>
          <w:numId w:val="2"/>
        </w:numPr>
      </w:pPr>
      <w:r>
        <w:t xml:space="preserve">Reference to a law should read “Public Law 2005, chapter 457, Part KK, section 3.” </w:t>
      </w:r>
    </w:p>
    <w:p w:rsidR="00BC7125" w:rsidRDefault="00BC7125" w:rsidP="00BC7125">
      <w:pPr>
        <w:pStyle w:val="ListParagraph"/>
      </w:pPr>
    </w:p>
    <w:p w:rsidR="00BC7125" w:rsidRDefault="00BC7125" w:rsidP="00BC7125">
      <w:pPr>
        <w:numPr>
          <w:ilvl w:val="0"/>
          <w:numId w:val="2"/>
        </w:numPr>
      </w:pPr>
      <w:r w:rsidRPr="000E5A23">
        <w:t xml:space="preserve">Reference to a biennium should </w:t>
      </w:r>
      <w:r>
        <w:t>be written as</w:t>
      </w:r>
      <w:r w:rsidRPr="000E5A23">
        <w:t xml:space="preserve"> “20</w:t>
      </w:r>
      <w:r>
        <w:t>18</w:t>
      </w:r>
      <w:r w:rsidRPr="000E5A23">
        <w:t>-20</w:t>
      </w:r>
      <w:r>
        <w:t>19</w:t>
      </w:r>
      <w:r w:rsidRPr="000E5A23">
        <w:t xml:space="preserve"> biennium.”</w:t>
      </w:r>
    </w:p>
    <w:p w:rsidR="005408B7" w:rsidRDefault="005408B7" w:rsidP="005408B7">
      <w:pPr>
        <w:pStyle w:val="ListParagraph"/>
      </w:pPr>
    </w:p>
    <w:p w:rsidR="000E5A23" w:rsidRDefault="00905E76" w:rsidP="000E5A23">
      <w:pPr>
        <w:numPr>
          <w:ilvl w:val="0"/>
          <w:numId w:val="2"/>
        </w:numPr>
      </w:pPr>
      <w:r w:rsidRPr="000E5A23">
        <w:t xml:space="preserve">Reference to a fiscal year </w:t>
      </w:r>
      <w:r w:rsidR="000E5A23" w:rsidRPr="000E5A23">
        <w:t xml:space="preserve">should </w:t>
      </w:r>
      <w:r w:rsidR="00BA4252">
        <w:t xml:space="preserve">be written as </w:t>
      </w:r>
      <w:r w:rsidRPr="000E5A23">
        <w:t>“fiscal year 20</w:t>
      </w:r>
      <w:r w:rsidR="000A4F4D">
        <w:t>1</w:t>
      </w:r>
      <w:r w:rsidR="003C2106">
        <w:t>7</w:t>
      </w:r>
      <w:r w:rsidRPr="000E5A23">
        <w:t>-</w:t>
      </w:r>
      <w:r w:rsidR="000A4F4D">
        <w:t>1</w:t>
      </w:r>
      <w:r w:rsidR="003C2106">
        <w:t>8</w:t>
      </w:r>
      <w:r w:rsidRPr="000E5A23">
        <w:t>.”</w:t>
      </w:r>
      <w:r w:rsidR="003147AA">
        <w:t xml:space="preserve">  </w:t>
      </w:r>
    </w:p>
    <w:p w:rsidR="00571CE6" w:rsidRDefault="00571CE6" w:rsidP="00571CE6">
      <w:pPr>
        <w:pStyle w:val="ListParagraph"/>
      </w:pPr>
    </w:p>
    <w:p w:rsidR="00571CE6" w:rsidRDefault="00571CE6" w:rsidP="00571CE6">
      <w:pPr>
        <w:numPr>
          <w:ilvl w:val="0"/>
          <w:numId w:val="2"/>
        </w:numPr>
      </w:pPr>
      <w:r w:rsidRPr="007A0E3B">
        <w:t>No abbreviations or acronyms should</w:t>
      </w:r>
      <w:r>
        <w:t xml:space="preserve"> be used;</w:t>
      </w:r>
      <w:r w:rsidRPr="007A0E3B">
        <w:t xml:space="preserve"> with the exception of STA-CAP or DICAP</w:t>
      </w:r>
      <w:r>
        <w:t>, and other limited exceptions</w:t>
      </w:r>
      <w:r w:rsidRPr="007A0E3B">
        <w:t>.</w:t>
      </w:r>
    </w:p>
    <w:p w:rsidR="000E5A23" w:rsidRDefault="000E5A23" w:rsidP="000E5A23"/>
    <w:p w:rsidR="00857BB8" w:rsidRDefault="00D53165" w:rsidP="000E5A23">
      <w:pPr>
        <w:numPr>
          <w:ilvl w:val="0"/>
          <w:numId w:val="2"/>
        </w:numPr>
      </w:pPr>
      <w:r>
        <w:t xml:space="preserve">Percentages should be expressed </w:t>
      </w:r>
      <w:r w:rsidR="00857BB8">
        <w:t>in Arabi</w:t>
      </w:r>
      <w:r w:rsidR="004A28EF">
        <w:t>c</w:t>
      </w:r>
      <w:r w:rsidR="00857BB8">
        <w:t xml:space="preserve"> form </w:t>
      </w:r>
      <w:r w:rsidR="004A28EF">
        <w:t>(</w:t>
      </w:r>
      <w:r w:rsidR="0031460F">
        <w:t>e.g.</w:t>
      </w:r>
      <w:r w:rsidR="00857BB8">
        <w:t xml:space="preserve"> 40</w:t>
      </w:r>
      <w:r w:rsidR="004A28EF">
        <w:t xml:space="preserve">%, 0.5%) except </w:t>
      </w:r>
      <w:r>
        <w:t xml:space="preserve">when occurring </w:t>
      </w:r>
      <w:r w:rsidR="004A28EF">
        <w:t>as the first word of a sentence.</w:t>
      </w:r>
    </w:p>
    <w:p w:rsidR="000C0261" w:rsidRDefault="000C0261" w:rsidP="000C0261">
      <w:pPr>
        <w:pStyle w:val="ListParagraph"/>
      </w:pPr>
    </w:p>
    <w:p w:rsidR="00331086" w:rsidRDefault="00331086" w:rsidP="00331086">
      <w:pPr>
        <w:numPr>
          <w:ilvl w:val="0"/>
          <w:numId w:val="2"/>
        </w:numPr>
      </w:pPr>
      <w:r>
        <w:t xml:space="preserve">One-time funding requests </w:t>
      </w:r>
      <w:r w:rsidR="00507E3E">
        <w:t>must include the phrase</w:t>
      </w:r>
      <w:r>
        <w:t xml:space="preserve"> “one-time”</w:t>
      </w:r>
      <w:r w:rsidR="000A58A6">
        <w:t xml:space="preserve"> in the Description field.</w:t>
      </w:r>
      <w:r>
        <w:t xml:space="preserve"> </w:t>
      </w:r>
      <w:proofErr w:type="gramStart"/>
      <w:r>
        <w:t>(</w:t>
      </w:r>
      <w:r w:rsidR="008F7A78">
        <w:t xml:space="preserve"> </w:t>
      </w:r>
      <w:r w:rsidR="008F7A78" w:rsidRPr="008F7A78">
        <w:rPr>
          <w:i/>
        </w:rPr>
        <w:t>e</w:t>
      </w:r>
      <w:r w:rsidR="0031460F">
        <w:rPr>
          <w:i/>
        </w:rPr>
        <w:t>.g</w:t>
      </w:r>
      <w:proofErr w:type="gramEnd"/>
      <w:r w:rsidR="0031460F">
        <w:rPr>
          <w:i/>
        </w:rPr>
        <w:t>.</w:t>
      </w:r>
      <w:r w:rsidR="008F7A78">
        <w:t xml:space="preserve">. </w:t>
      </w:r>
      <w:r w:rsidR="00AF5A25">
        <w:t>“Provides one-time funding”</w:t>
      </w:r>
      <w:r>
        <w:t>)</w:t>
      </w:r>
      <w:r w:rsidR="00405066">
        <w:t xml:space="preserve"> (</w:t>
      </w:r>
      <w:r w:rsidR="00B53230">
        <w:t xml:space="preserve">see </w:t>
      </w:r>
      <w:r w:rsidR="00405066">
        <w:t>example 1</w:t>
      </w:r>
      <w:r w:rsidR="004535F6">
        <w:t>4</w:t>
      </w:r>
      <w:r w:rsidR="00405066">
        <w:t>)</w:t>
      </w:r>
    </w:p>
    <w:p w:rsidR="00184C79" w:rsidRDefault="00184C79" w:rsidP="00184C79">
      <w:pPr>
        <w:pStyle w:val="ListParagraph"/>
      </w:pPr>
    </w:p>
    <w:p w:rsidR="00D44788" w:rsidRDefault="00CD41E4" w:rsidP="00D44788">
      <w:pPr>
        <w:numPr>
          <w:ilvl w:val="0"/>
          <w:numId w:val="2"/>
        </w:numPr>
      </w:pPr>
      <w:r>
        <w:rPr>
          <w:noProof/>
        </w:rPr>
        <w:lastRenderedPageBreak/>
        <mc:AlternateContent>
          <mc:Choice Requires="wps">
            <w:drawing>
              <wp:anchor distT="91440" distB="91440" distL="114300" distR="114300" simplePos="0" relativeHeight="251659264" behindDoc="0" locked="0" layoutInCell="0" allowOverlap="1" wp14:anchorId="31224338" wp14:editId="0A797DA9">
                <wp:simplePos x="0" y="0"/>
                <wp:positionH relativeFrom="margin">
                  <wp:posOffset>3933825</wp:posOffset>
                </wp:positionH>
                <wp:positionV relativeFrom="margin">
                  <wp:posOffset>-635</wp:posOffset>
                </wp:positionV>
                <wp:extent cx="2019300" cy="1504950"/>
                <wp:effectExtent l="0" t="0" r="19050" b="19050"/>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504950"/>
                        </a:xfrm>
                        <a:prstGeom prst="foldedCorner">
                          <a:avLst>
                            <a:gd name="adj" fmla="val 12500"/>
                          </a:avLst>
                        </a:prstGeom>
                        <a:noFill/>
                        <a:ln w="6350">
                          <a:solidFill>
                            <a:srgbClr val="969696"/>
                          </a:solidFill>
                          <a:round/>
                          <a:headEnd/>
                          <a:tailEnd/>
                        </a:ln>
                      </wps:spPr>
                      <wps:txbx>
                        <w:txbxContent>
                          <w:p w:rsidR="00281A0C" w:rsidRPr="00B75DCE" w:rsidRDefault="00281A0C">
                            <w:pPr>
                              <w:rPr>
                                <w:rFonts w:asciiTheme="majorHAnsi" w:eastAsiaTheme="majorEastAsia" w:hAnsiTheme="majorHAnsi" w:cstheme="majorBidi"/>
                                <w:b/>
                                <w:i/>
                                <w:iCs/>
                                <w:color w:val="595959" w:themeColor="text1" w:themeTint="A6"/>
                                <w:sz w:val="20"/>
                              </w:rPr>
                            </w:pPr>
                            <w:r w:rsidRPr="00B75DCE">
                              <w:rPr>
                                <w:rFonts w:asciiTheme="majorHAnsi" w:eastAsiaTheme="majorEastAsia" w:hAnsiTheme="majorHAnsi" w:cstheme="majorBidi"/>
                                <w:b/>
                                <w:i/>
                                <w:iCs/>
                                <w:color w:val="595959" w:themeColor="text1" w:themeTint="A6"/>
                                <w:sz w:val="20"/>
                              </w:rPr>
                              <w:t>Find the program name on the Reporting and Budget level maintenance screen in BFMS.</w:t>
                            </w:r>
                          </w:p>
                          <w:p w:rsidR="00281A0C" w:rsidRPr="00B75DCE" w:rsidRDefault="00DA5F19">
                            <w:pPr>
                              <w:rPr>
                                <w:rFonts w:asciiTheme="majorHAnsi" w:eastAsiaTheme="majorEastAsia" w:hAnsiTheme="majorHAnsi" w:cstheme="majorBidi"/>
                                <w:b/>
                                <w:i/>
                                <w:iCs/>
                                <w:color w:val="595959" w:themeColor="text1" w:themeTint="A6"/>
                                <w:sz w:val="20"/>
                              </w:rPr>
                            </w:pPr>
                            <w:r w:rsidRPr="00B75DCE">
                              <w:rPr>
                                <w:rFonts w:asciiTheme="majorHAnsi" w:eastAsiaTheme="majorEastAsia" w:hAnsiTheme="majorHAnsi" w:cstheme="majorBidi"/>
                                <w:b/>
                                <w:i/>
                                <w:iCs/>
                                <w:color w:val="595959" w:themeColor="text1" w:themeTint="A6"/>
                                <w:sz w:val="20"/>
                              </w:rPr>
                              <w:t>(</w:t>
                            </w:r>
                            <w:r w:rsidR="00281A0C" w:rsidRPr="00B75DCE">
                              <w:rPr>
                                <w:rFonts w:asciiTheme="majorHAnsi" w:eastAsiaTheme="majorEastAsia" w:hAnsiTheme="majorHAnsi" w:cstheme="majorBidi"/>
                                <w:b/>
                                <w:i/>
                                <w:iCs/>
                                <w:color w:val="595959" w:themeColor="text1" w:themeTint="A6"/>
                                <w:sz w:val="20"/>
                              </w:rPr>
                              <w:t>Admin&gt;Admin&gt;</w:t>
                            </w:r>
                            <w:r w:rsidRPr="00B75DCE">
                              <w:rPr>
                                <w:rFonts w:asciiTheme="majorHAnsi" w:eastAsiaTheme="majorEastAsia" w:hAnsiTheme="majorHAnsi" w:cstheme="majorBidi"/>
                                <w:b/>
                                <w:i/>
                                <w:iCs/>
                                <w:color w:val="595959" w:themeColor="text1" w:themeTint="A6"/>
                                <w:sz w:val="20"/>
                              </w:rPr>
                              <w:t>Reporting Levels&gt;Maintenance)</w:t>
                            </w:r>
                          </w:p>
                          <w:p w:rsidR="00DA5F19" w:rsidRPr="00B75DCE" w:rsidRDefault="00DA5F19">
                            <w:pPr>
                              <w:rPr>
                                <w:rFonts w:asciiTheme="majorHAnsi" w:eastAsiaTheme="majorEastAsia" w:hAnsiTheme="majorHAnsi" w:cstheme="majorBidi"/>
                                <w:b/>
                                <w:i/>
                                <w:iCs/>
                                <w:color w:val="595959" w:themeColor="text1" w:themeTint="A6"/>
                                <w:sz w:val="20"/>
                              </w:rPr>
                            </w:pPr>
                            <w:r w:rsidRPr="00B75DCE">
                              <w:rPr>
                                <w:rFonts w:asciiTheme="majorHAnsi" w:eastAsiaTheme="majorEastAsia" w:hAnsiTheme="majorHAnsi" w:cstheme="majorBidi"/>
                                <w:b/>
                                <w:i/>
                                <w:iCs/>
                                <w:color w:val="595959" w:themeColor="text1" w:themeTint="A6"/>
                                <w:sz w:val="20"/>
                              </w:rPr>
                              <w:t>Use the Level 3 name for the associated appropriation</w:t>
                            </w:r>
                            <w:r w:rsidR="00CF1D29">
                              <w:rPr>
                                <w:rFonts w:asciiTheme="majorHAnsi" w:eastAsiaTheme="majorEastAsia" w:hAnsiTheme="majorHAnsi" w:cstheme="majorBidi"/>
                                <w:b/>
                                <w:i/>
                                <w:iCs/>
                                <w:color w:val="595959" w:themeColor="text1" w:themeTint="A6"/>
                                <w:sz w:val="20"/>
                              </w:rPr>
                              <w:t>.</w:t>
                            </w:r>
                            <w:r w:rsidRPr="00B75DCE">
                              <w:rPr>
                                <w:rFonts w:asciiTheme="majorHAnsi" w:eastAsiaTheme="majorEastAsia" w:hAnsiTheme="majorHAnsi" w:cstheme="majorBidi"/>
                                <w:b/>
                                <w:i/>
                                <w:iCs/>
                                <w:color w:val="595959" w:themeColor="text1" w:themeTint="A6"/>
                                <w:sz w:val="20"/>
                              </w:rPr>
                              <w:t xml:space="preserve"> </w:t>
                            </w:r>
                            <w:proofErr w:type="gramStart"/>
                            <w:r w:rsidRPr="00B75DCE">
                              <w:rPr>
                                <w:rFonts w:asciiTheme="majorHAnsi" w:eastAsiaTheme="majorEastAsia" w:hAnsiTheme="majorHAnsi" w:cstheme="majorBidi"/>
                                <w:b/>
                                <w:i/>
                                <w:iCs/>
                                <w:color w:val="595959" w:themeColor="text1" w:themeTint="A6"/>
                                <w:sz w:val="20"/>
                              </w:rPr>
                              <w:t>number</w:t>
                            </w:r>
                            <w:proofErr w:type="gramEnd"/>
                            <w:r w:rsidRPr="00B75DCE">
                              <w:rPr>
                                <w:rFonts w:asciiTheme="majorHAnsi" w:eastAsiaTheme="majorEastAsia" w:hAnsiTheme="majorHAnsi" w:cstheme="majorBidi"/>
                                <w:b/>
                                <w:i/>
                                <w:iCs/>
                                <w:color w:val="595959" w:themeColor="text1" w:themeTint="A6"/>
                                <w:sz w:val="20"/>
                              </w:rPr>
                              <w:t>.</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309.75pt;margin-top:-.05pt;width:159pt;height:118.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" o:allowincell="f" filled="f" strokecolor="#969696" strokeweight=".5pt">
                <v:textbox inset="10.8pt,7.2pt,10.8pt">
                  <w:txbxContent>
                    <w:p w:rsidR="00281A0C" w:rsidRPr="00B75DCE" w:rsidRDefault="00281A0C">
                      <w:pPr>
                        <w:rPr>
                          <w:rFonts w:asciiTheme="majorHAnsi" w:eastAsiaTheme="majorEastAsia" w:hAnsiTheme="majorHAnsi" w:cstheme="majorBidi"/>
                          <w:b/>
                          <w:i/>
                          <w:iCs/>
                          <w:color w:val="595959" w:themeColor="text1" w:themeTint="A6"/>
                          <w:sz w:val="20"/>
                        </w:rPr>
                      </w:pPr>
                      <w:r w:rsidRPr="00B75DCE">
                        <w:rPr>
                          <w:rFonts w:asciiTheme="majorHAnsi" w:eastAsiaTheme="majorEastAsia" w:hAnsiTheme="majorHAnsi" w:cstheme="majorBidi"/>
                          <w:b/>
                          <w:i/>
                          <w:iCs/>
                          <w:color w:val="595959" w:themeColor="text1" w:themeTint="A6"/>
                          <w:sz w:val="20"/>
                        </w:rPr>
                        <w:t>Find the program name on the Reporting and Budget level maintenance screen in BFMS.</w:t>
                      </w:r>
                    </w:p>
                    <w:p w:rsidR="00281A0C" w:rsidRPr="00B75DCE" w:rsidRDefault="00DA5F19">
                      <w:pPr>
                        <w:rPr>
                          <w:rFonts w:asciiTheme="majorHAnsi" w:eastAsiaTheme="majorEastAsia" w:hAnsiTheme="majorHAnsi" w:cstheme="majorBidi"/>
                          <w:b/>
                          <w:i/>
                          <w:iCs/>
                          <w:color w:val="595959" w:themeColor="text1" w:themeTint="A6"/>
                          <w:sz w:val="20"/>
                        </w:rPr>
                      </w:pPr>
                      <w:r w:rsidRPr="00B75DCE">
                        <w:rPr>
                          <w:rFonts w:asciiTheme="majorHAnsi" w:eastAsiaTheme="majorEastAsia" w:hAnsiTheme="majorHAnsi" w:cstheme="majorBidi"/>
                          <w:b/>
                          <w:i/>
                          <w:iCs/>
                          <w:color w:val="595959" w:themeColor="text1" w:themeTint="A6"/>
                          <w:sz w:val="20"/>
                        </w:rPr>
                        <w:t>(</w:t>
                      </w:r>
                      <w:r w:rsidR="00281A0C" w:rsidRPr="00B75DCE">
                        <w:rPr>
                          <w:rFonts w:asciiTheme="majorHAnsi" w:eastAsiaTheme="majorEastAsia" w:hAnsiTheme="majorHAnsi" w:cstheme="majorBidi"/>
                          <w:b/>
                          <w:i/>
                          <w:iCs/>
                          <w:color w:val="595959" w:themeColor="text1" w:themeTint="A6"/>
                          <w:sz w:val="20"/>
                        </w:rPr>
                        <w:t>Admin&gt;Admin&gt;</w:t>
                      </w:r>
                      <w:r w:rsidRPr="00B75DCE">
                        <w:rPr>
                          <w:rFonts w:asciiTheme="majorHAnsi" w:eastAsiaTheme="majorEastAsia" w:hAnsiTheme="majorHAnsi" w:cstheme="majorBidi"/>
                          <w:b/>
                          <w:i/>
                          <w:iCs/>
                          <w:color w:val="595959" w:themeColor="text1" w:themeTint="A6"/>
                          <w:sz w:val="20"/>
                        </w:rPr>
                        <w:t>Reporting Levels&gt;Maintenance)</w:t>
                      </w:r>
                    </w:p>
                    <w:p w:rsidR="00DA5F19" w:rsidRPr="00B75DCE" w:rsidRDefault="00DA5F19">
                      <w:pPr>
                        <w:rPr>
                          <w:rFonts w:asciiTheme="majorHAnsi" w:eastAsiaTheme="majorEastAsia" w:hAnsiTheme="majorHAnsi" w:cstheme="majorBidi"/>
                          <w:b/>
                          <w:i/>
                          <w:iCs/>
                          <w:color w:val="595959" w:themeColor="text1" w:themeTint="A6"/>
                          <w:sz w:val="20"/>
                        </w:rPr>
                      </w:pPr>
                      <w:r w:rsidRPr="00B75DCE">
                        <w:rPr>
                          <w:rFonts w:asciiTheme="majorHAnsi" w:eastAsiaTheme="majorEastAsia" w:hAnsiTheme="majorHAnsi" w:cstheme="majorBidi"/>
                          <w:b/>
                          <w:i/>
                          <w:iCs/>
                          <w:color w:val="595959" w:themeColor="text1" w:themeTint="A6"/>
                          <w:sz w:val="20"/>
                        </w:rPr>
                        <w:t>Use the Level 3 name for the associated appropriation</w:t>
                      </w:r>
                      <w:r w:rsidR="00CF1D29">
                        <w:rPr>
                          <w:rFonts w:asciiTheme="majorHAnsi" w:eastAsiaTheme="majorEastAsia" w:hAnsiTheme="majorHAnsi" w:cstheme="majorBidi"/>
                          <w:b/>
                          <w:i/>
                          <w:iCs/>
                          <w:color w:val="595959" w:themeColor="text1" w:themeTint="A6"/>
                          <w:sz w:val="20"/>
                        </w:rPr>
                        <w:t>.</w:t>
                      </w:r>
                      <w:r w:rsidRPr="00B75DCE">
                        <w:rPr>
                          <w:rFonts w:asciiTheme="majorHAnsi" w:eastAsiaTheme="majorEastAsia" w:hAnsiTheme="majorHAnsi" w:cstheme="majorBidi"/>
                          <w:b/>
                          <w:i/>
                          <w:iCs/>
                          <w:color w:val="595959" w:themeColor="text1" w:themeTint="A6"/>
                          <w:sz w:val="20"/>
                        </w:rPr>
                        <w:t xml:space="preserve"> </w:t>
                      </w:r>
                      <w:proofErr w:type="gramStart"/>
                      <w:r w:rsidRPr="00B75DCE">
                        <w:rPr>
                          <w:rFonts w:asciiTheme="majorHAnsi" w:eastAsiaTheme="majorEastAsia" w:hAnsiTheme="majorHAnsi" w:cstheme="majorBidi"/>
                          <w:b/>
                          <w:i/>
                          <w:iCs/>
                          <w:color w:val="595959" w:themeColor="text1" w:themeTint="A6"/>
                          <w:sz w:val="20"/>
                        </w:rPr>
                        <w:t>number</w:t>
                      </w:r>
                      <w:proofErr w:type="gramEnd"/>
                      <w:r w:rsidRPr="00B75DCE">
                        <w:rPr>
                          <w:rFonts w:asciiTheme="majorHAnsi" w:eastAsiaTheme="majorEastAsia" w:hAnsiTheme="majorHAnsi" w:cstheme="majorBidi"/>
                          <w:b/>
                          <w:i/>
                          <w:iCs/>
                          <w:color w:val="595959" w:themeColor="text1" w:themeTint="A6"/>
                          <w:sz w:val="20"/>
                        </w:rPr>
                        <w:t>.</w:t>
                      </w:r>
                    </w:p>
                  </w:txbxContent>
                </v:textbox>
                <w10:wrap type="square" anchorx="margin" anchory="margin"/>
              </v:shape>
            </w:pict>
          </mc:Fallback>
        </mc:AlternateContent>
      </w:r>
      <w:r w:rsidR="006231A5">
        <w:t>T</w:t>
      </w:r>
      <w:r w:rsidR="00184C79">
        <w:t xml:space="preserve">he </w:t>
      </w:r>
      <w:r w:rsidR="00184C79" w:rsidRPr="002C0597">
        <w:t>title of the state program</w:t>
      </w:r>
      <w:r w:rsidR="00184C79">
        <w:t xml:space="preserve"> for which the l</w:t>
      </w:r>
      <w:r w:rsidR="00184C79" w:rsidRPr="002C0597">
        <w:t>egislature appropriates or allocates fund</w:t>
      </w:r>
      <w:r w:rsidR="00184C79">
        <w:t>s should be used rather than the account title. The word “program” should follow the title. If the word “program” is included as part of the title it is</w:t>
      </w:r>
      <w:r w:rsidR="00184C79" w:rsidRPr="0074759A">
        <w:t xml:space="preserve"> capitalized</w:t>
      </w:r>
      <w:r w:rsidR="00184C79">
        <w:t>, otherwise it is not</w:t>
      </w:r>
      <w:r w:rsidR="00184C79" w:rsidRPr="0074759A">
        <w:t>.</w:t>
      </w:r>
      <w:r w:rsidR="00281A0C">
        <w:t xml:space="preserve"> (</w:t>
      </w:r>
      <w:r w:rsidR="000E5083">
        <w:t>Elderly Tax Deferral Program or</w:t>
      </w:r>
      <w:r w:rsidR="00281A0C">
        <w:t xml:space="preserve"> Solid Waste </w:t>
      </w:r>
      <w:r w:rsidR="00D10463">
        <w:t>M</w:t>
      </w:r>
      <w:r w:rsidR="00281A0C">
        <w:t>anagement Fund program)</w:t>
      </w:r>
      <w:r w:rsidR="00184C79">
        <w:t xml:space="preserve">  (</w:t>
      </w:r>
      <w:r w:rsidR="00B53230">
        <w:t xml:space="preserve">see </w:t>
      </w:r>
      <w:r w:rsidR="00184C79">
        <w:t>examples 1</w:t>
      </w:r>
      <w:r w:rsidR="004535F6">
        <w:t>2</w:t>
      </w:r>
      <w:r w:rsidR="00184C79">
        <w:t>, 1</w:t>
      </w:r>
      <w:r w:rsidR="004535F6">
        <w:t>8</w:t>
      </w:r>
      <w:r w:rsidR="00184C79">
        <w:t>)</w:t>
      </w:r>
      <w:r w:rsidR="000C0261">
        <w:t xml:space="preserve">  </w:t>
      </w:r>
    </w:p>
    <w:p w:rsidR="00547850" w:rsidRDefault="00547850" w:rsidP="00547850">
      <w:pPr>
        <w:ind w:left="1080"/>
      </w:pPr>
    </w:p>
    <w:p w:rsidR="00DA5F19" w:rsidRDefault="00DA5F19" w:rsidP="00DA5F19">
      <w:pPr>
        <w:ind w:left="1080"/>
      </w:pPr>
    </w:p>
    <w:p w:rsidR="000A4F4D" w:rsidRDefault="000A4F4D" w:rsidP="000A4F4D">
      <w:pPr>
        <w:numPr>
          <w:ilvl w:val="0"/>
          <w:numId w:val="2"/>
        </w:numPr>
      </w:pPr>
      <w:r>
        <w:t>It is not necessary to include the fund title unless the initiative involves more than one fund or program.  (</w:t>
      </w:r>
      <w:r w:rsidR="00B53230">
        <w:t xml:space="preserve">see </w:t>
      </w:r>
      <w:r>
        <w:t xml:space="preserve">examples </w:t>
      </w:r>
      <w:r w:rsidR="004535F6">
        <w:t>10</w:t>
      </w:r>
      <w:r>
        <w:t>, 1</w:t>
      </w:r>
      <w:r w:rsidR="004535F6">
        <w:t>8</w:t>
      </w:r>
      <w:r>
        <w:t>)</w:t>
      </w:r>
    </w:p>
    <w:p w:rsidR="00DA5F19" w:rsidRDefault="00DA5F19" w:rsidP="000D03B9">
      <w:pPr>
        <w:pStyle w:val="ListParagraph"/>
      </w:pPr>
    </w:p>
    <w:p w:rsidR="000D03B9" w:rsidRDefault="000D03B9" w:rsidP="000A4F4D">
      <w:pPr>
        <w:numPr>
          <w:ilvl w:val="0"/>
          <w:numId w:val="2"/>
        </w:numPr>
      </w:pPr>
      <w:r>
        <w:t>Common fund titles:</w:t>
      </w:r>
    </w:p>
    <w:p w:rsidR="000D03B9" w:rsidRDefault="000D03B9" w:rsidP="000D03B9">
      <w:pPr>
        <w:numPr>
          <w:ilvl w:val="1"/>
          <w:numId w:val="2"/>
        </w:numPr>
      </w:pPr>
      <w:r>
        <w:t>General Fund</w:t>
      </w:r>
    </w:p>
    <w:p w:rsidR="000D03B9" w:rsidRDefault="000D03B9" w:rsidP="000D03B9">
      <w:pPr>
        <w:numPr>
          <w:ilvl w:val="1"/>
          <w:numId w:val="2"/>
        </w:numPr>
      </w:pPr>
      <w:r>
        <w:t>Highway Fund</w:t>
      </w:r>
    </w:p>
    <w:p w:rsidR="000D03B9" w:rsidRDefault="000D03B9" w:rsidP="000D03B9">
      <w:pPr>
        <w:numPr>
          <w:ilvl w:val="1"/>
          <w:numId w:val="2"/>
        </w:numPr>
      </w:pPr>
      <w:r>
        <w:t>Federal Expenditures Fund</w:t>
      </w:r>
    </w:p>
    <w:p w:rsidR="000D03B9" w:rsidRDefault="000D03B9" w:rsidP="000D03B9">
      <w:pPr>
        <w:numPr>
          <w:ilvl w:val="1"/>
          <w:numId w:val="2"/>
        </w:numPr>
      </w:pPr>
      <w:r>
        <w:t>Other Special Revenue Fund</w:t>
      </w:r>
      <w:r w:rsidR="004A5BCA">
        <w:t>s</w:t>
      </w:r>
    </w:p>
    <w:p w:rsidR="008241F0" w:rsidRDefault="008241F0" w:rsidP="000D03B9">
      <w:pPr>
        <w:numPr>
          <w:ilvl w:val="1"/>
          <w:numId w:val="2"/>
        </w:numPr>
      </w:pPr>
      <w:r>
        <w:t>Federal Block Grant Fund</w:t>
      </w:r>
    </w:p>
    <w:p w:rsidR="00015EED" w:rsidRDefault="00015EED" w:rsidP="00015EED">
      <w:pPr>
        <w:pStyle w:val="ListParagraph"/>
      </w:pPr>
    </w:p>
    <w:p w:rsidR="00015EED" w:rsidRDefault="00015EED" w:rsidP="00015EED">
      <w:pPr>
        <w:numPr>
          <w:ilvl w:val="0"/>
          <w:numId w:val="2"/>
        </w:numPr>
      </w:pPr>
      <w:r>
        <w:t>When transferring between programs, both the “from” and “to” programs must be identified, except when “withi</w:t>
      </w:r>
      <w:r w:rsidR="00DD4ACE">
        <w:t>n the same program”.  (</w:t>
      </w:r>
      <w:r w:rsidR="00B53230">
        <w:t xml:space="preserve">see </w:t>
      </w:r>
      <w:r w:rsidR="00DD4ACE">
        <w:t xml:space="preserve">examples </w:t>
      </w:r>
      <w:r>
        <w:t>1</w:t>
      </w:r>
      <w:r w:rsidR="004535F6">
        <w:t>1</w:t>
      </w:r>
      <w:r>
        <w:t>, 1</w:t>
      </w:r>
      <w:r w:rsidR="004535F6">
        <w:t>2</w:t>
      </w:r>
      <w:r>
        <w:t>)</w:t>
      </w:r>
    </w:p>
    <w:p w:rsidR="00BD259C" w:rsidRDefault="00BD259C" w:rsidP="00BD259C"/>
    <w:p w:rsidR="00BD259C" w:rsidRDefault="00BD259C" w:rsidP="000E5A23">
      <w:pPr>
        <w:numPr>
          <w:ilvl w:val="0"/>
          <w:numId w:val="2"/>
        </w:numPr>
      </w:pPr>
      <w:r>
        <w:t xml:space="preserve">A comma should </w:t>
      </w:r>
      <w:r w:rsidRPr="00AD7EB1">
        <w:rPr>
          <w:b/>
          <w:u w:val="single"/>
        </w:rPr>
        <w:t>not</w:t>
      </w:r>
      <w:r>
        <w:t xml:space="preserve"> be inserted between the next to the last item and the last item of a series.</w:t>
      </w:r>
      <w:r w:rsidR="003147AA">
        <w:t xml:space="preserve">  (example</w:t>
      </w:r>
      <w:r w:rsidR="00325AD7">
        <w:t xml:space="preserve"> </w:t>
      </w:r>
      <w:r w:rsidR="004535F6">
        <w:t>5</w:t>
      </w:r>
      <w:r w:rsidR="00325AD7">
        <w:t>)</w:t>
      </w:r>
    </w:p>
    <w:p w:rsidR="00BD259C" w:rsidRDefault="00BD259C" w:rsidP="00BD259C"/>
    <w:p w:rsidR="009B4345" w:rsidRDefault="009B4345" w:rsidP="00996226">
      <w:pPr>
        <w:numPr>
          <w:ilvl w:val="0"/>
          <w:numId w:val="2"/>
        </w:numPr>
      </w:pPr>
      <w:r w:rsidRPr="006A7051">
        <w:rPr>
          <w:b/>
        </w:rPr>
        <w:t>Hyp</w:t>
      </w:r>
      <w:r w:rsidR="008B3526">
        <w:rPr>
          <w:b/>
        </w:rPr>
        <w:t>h</w:t>
      </w:r>
      <w:r w:rsidRPr="006A7051">
        <w:rPr>
          <w:b/>
        </w:rPr>
        <w:t>enate</w:t>
      </w:r>
      <w:r>
        <w:t>:</w:t>
      </w:r>
      <w:r>
        <w:tab/>
      </w:r>
      <w:r>
        <w:tab/>
      </w:r>
      <w:r>
        <w:tab/>
      </w:r>
      <w:r w:rsidRPr="006A7051">
        <w:rPr>
          <w:b/>
        </w:rPr>
        <w:t>Do Not Hyphenate</w:t>
      </w:r>
      <w:r>
        <w:t>:</w:t>
      </w:r>
    </w:p>
    <w:p w:rsidR="009B4345" w:rsidRDefault="009B4345" w:rsidP="009B4345">
      <w:pPr>
        <w:pStyle w:val="ListParagraph"/>
        <w:ind w:left="1080"/>
      </w:pPr>
      <w:r>
        <w:t>Cost-effective</w:t>
      </w:r>
      <w:r>
        <w:tab/>
      </w:r>
      <w:r>
        <w:tab/>
      </w:r>
      <w:r>
        <w:tab/>
        <w:t>Departmentwide</w:t>
      </w:r>
      <w:r>
        <w:tab/>
      </w:r>
    </w:p>
    <w:p w:rsidR="009B4345" w:rsidRDefault="009B4345" w:rsidP="009B4345">
      <w:pPr>
        <w:pStyle w:val="ListParagraph"/>
        <w:ind w:left="1080"/>
      </w:pPr>
      <w:r>
        <w:t>Federally-funded</w:t>
      </w:r>
      <w:r>
        <w:tab/>
      </w:r>
      <w:r>
        <w:tab/>
      </w:r>
      <w:r>
        <w:tab/>
        <w:t>Nonprofit</w:t>
      </w:r>
    </w:p>
    <w:p w:rsidR="009B4345" w:rsidRDefault="009B4345" w:rsidP="009B4345">
      <w:pPr>
        <w:pStyle w:val="ListParagraph"/>
        <w:ind w:left="1080"/>
      </w:pPr>
      <w:r>
        <w:t>In-state</w:t>
      </w:r>
      <w:r>
        <w:tab/>
      </w:r>
      <w:r>
        <w:tab/>
      </w:r>
      <w:r>
        <w:tab/>
      </w:r>
      <w:r>
        <w:tab/>
        <w:t>Ongoing</w:t>
      </w:r>
    </w:p>
    <w:p w:rsidR="009B4345" w:rsidRDefault="009B4345" w:rsidP="009B4345">
      <w:pPr>
        <w:pStyle w:val="ListParagraph"/>
        <w:ind w:left="1080"/>
      </w:pPr>
      <w:r>
        <w:t>Limited-period</w:t>
      </w:r>
      <w:r>
        <w:tab/>
      </w:r>
      <w:r>
        <w:tab/>
      </w:r>
      <w:r>
        <w:tab/>
        <w:t>Statewide</w:t>
      </w:r>
      <w:r>
        <w:tab/>
      </w:r>
    </w:p>
    <w:p w:rsidR="009B4345" w:rsidRDefault="009B4345" w:rsidP="009B4345">
      <w:pPr>
        <w:pStyle w:val="ListParagraph"/>
        <w:ind w:left="1080"/>
      </w:pPr>
      <w:r>
        <w:t>Low-income</w:t>
      </w:r>
    </w:p>
    <w:p w:rsidR="009B4345" w:rsidRDefault="009B4345" w:rsidP="009B4345">
      <w:pPr>
        <w:pStyle w:val="ListParagraph"/>
        <w:ind w:left="1080"/>
      </w:pPr>
      <w:r>
        <w:t>One-time</w:t>
      </w:r>
    </w:p>
    <w:p w:rsidR="00A175A5" w:rsidRDefault="00A175A5" w:rsidP="009B4345">
      <w:pPr>
        <w:pStyle w:val="ListParagraph"/>
        <w:ind w:left="1080"/>
      </w:pPr>
      <w:r>
        <w:t>Self-funded</w:t>
      </w:r>
    </w:p>
    <w:p w:rsidR="009B4345" w:rsidRDefault="009B4345" w:rsidP="009B4345">
      <w:pPr>
        <w:pStyle w:val="ListParagraph"/>
        <w:ind w:left="1080"/>
      </w:pPr>
      <w:r>
        <w:t>State-funded</w:t>
      </w:r>
    </w:p>
    <w:p w:rsidR="009B4345" w:rsidRDefault="009B4345" w:rsidP="009B4345">
      <w:pPr>
        <w:pStyle w:val="ListParagraph"/>
        <w:ind w:left="1080"/>
      </w:pPr>
      <w:r>
        <w:t>State-owned</w:t>
      </w:r>
    </w:p>
    <w:p w:rsidR="009B4345" w:rsidRDefault="009B4345" w:rsidP="009B4345">
      <w:pPr>
        <w:pStyle w:val="ListParagraph"/>
        <w:ind w:left="1080"/>
      </w:pPr>
    </w:p>
    <w:p w:rsidR="000F7995" w:rsidRDefault="006C2455" w:rsidP="00C310A7">
      <w:pPr>
        <w:numPr>
          <w:ilvl w:val="0"/>
          <w:numId w:val="2"/>
        </w:numPr>
      </w:pPr>
      <w:r>
        <w:t>The following words are capitalize</w:t>
      </w:r>
      <w:r w:rsidR="002B56BF">
        <w:t>d: Personal Services, All Other and</w:t>
      </w:r>
      <w:r>
        <w:t xml:space="preserve"> Capital</w:t>
      </w:r>
      <w:r w:rsidR="006E17A2">
        <w:t xml:space="preserve"> Expenditures</w:t>
      </w:r>
      <w:r>
        <w:t xml:space="preserve">, </w:t>
      </w:r>
      <w:r w:rsidR="00A362EE">
        <w:t>as well as all fund titles</w:t>
      </w:r>
      <w:r w:rsidR="007942C7">
        <w:t>, position titles and</w:t>
      </w:r>
      <w:r>
        <w:t xml:space="preserve"> proper names.</w:t>
      </w:r>
    </w:p>
    <w:p w:rsidR="0064790C" w:rsidRDefault="0064790C" w:rsidP="0064790C">
      <w:pPr>
        <w:ind w:left="1080"/>
      </w:pPr>
    </w:p>
    <w:p w:rsidR="00C310A7" w:rsidRDefault="000315D5" w:rsidP="00C310A7">
      <w:pPr>
        <w:numPr>
          <w:ilvl w:val="0"/>
          <w:numId w:val="2"/>
        </w:numPr>
      </w:pPr>
      <w:r>
        <w:t>Only capitalize t</w:t>
      </w:r>
      <w:r w:rsidR="00DF284D">
        <w:t>he following words: department, board, office, bureau, commissioner, legislature, state and federal</w:t>
      </w:r>
      <w:r w:rsidR="00146949">
        <w:t xml:space="preserve">, </w:t>
      </w:r>
      <w:r w:rsidR="00DF284D">
        <w:t xml:space="preserve">when part of an actual title or name (e.g. the department or the Department of Labor; the commissioner or Commissioner Jane Doe; </w:t>
      </w:r>
      <w:r w:rsidR="00C310A7">
        <w:t xml:space="preserve">state employees or employees of the State). </w:t>
      </w:r>
    </w:p>
    <w:p w:rsidR="00C67215" w:rsidRDefault="00C67215" w:rsidP="00C67215">
      <w:pPr>
        <w:pStyle w:val="ListParagraph"/>
      </w:pPr>
    </w:p>
    <w:p w:rsidR="00C67215" w:rsidRPr="0074759A" w:rsidRDefault="00C67215" w:rsidP="00C67215">
      <w:pPr>
        <w:numPr>
          <w:ilvl w:val="0"/>
          <w:numId w:val="2"/>
        </w:numPr>
      </w:pPr>
      <w:r>
        <w:lastRenderedPageBreak/>
        <w:t>Capitalize</w:t>
      </w:r>
      <w:r w:rsidR="0031460F">
        <w:t xml:space="preserve"> the words</w:t>
      </w:r>
      <w:r>
        <w:t xml:space="preserve"> “financial order” only when referencing a specific </w:t>
      </w:r>
      <w:r w:rsidR="0031460F">
        <w:t>order</w:t>
      </w:r>
      <w:r>
        <w:t xml:space="preserve"> (e.g. Financial Order 003328 F8)</w:t>
      </w:r>
      <w:r w:rsidR="0031460F">
        <w:t xml:space="preserve">. </w:t>
      </w:r>
      <w:r>
        <w:t xml:space="preserve">  (</w:t>
      </w:r>
      <w:r w:rsidR="00B53230">
        <w:t xml:space="preserve">see </w:t>
      </w:r>
      <w:r>
        <w:t xml:space="preserve">example </w:t>
      </w:r>
      <w:r w:rsidR="00615E00">
        <w:t>3</w:t>
      </w:r>
      <w:r>
        <w:t>)</w:t>
      </w:r>
    </w:p>
    <w:p w:rsidR="00D433EA" w:rsidRDefault="00D433EA" w:rsidP="00D433EA">
      <w:pPr>
        <w:ind w:left="720"/>
      </w:pPr>
    </w:p>
    <w:p w:rsidR="003C2106" w:rsidRDefault="003C2106" w:rsidP="003C2106">
      <w:pPr>
        <w:numPr>
          <w:ilvl w:val="0"/>
          <w:numId w:val="2"/>
        </w:numPr>
      </w:pPr>
      <w:r>
        <w:t xml:space="preserve">If a request generates revenue for the General Fund, the description </w:t>
      </w:r>
      <w:r w:rsidR="00C26124">
        <w:t xml:space="preserve">field </w:t>
      </w:r>
      <w:r>
        <w:t xml:space="preserve">should </w:t>
      </w:r>
      <w:r w:rsidR="00C26124">
        <w:t>contain a statement indicating the amount of revenue anticipated. (</w:t>
      </w:r>
      <w:r w:rsidR="004603B0">
        <w:rPr>
          <w:i/>
        </w:rPr>
        <w:t>e.g.</w:t>
      </w:r>
      <w:r w:rsidR="00C26124">
        <w:t xml:space="preserve"> </w:t>
      </w:r>
      <w:r>
        <w:t xml:space="preserve"> “this request will generate $xx,xxx in General Fund unded</w:t>
      </w:r>
      <w:r w:rsidR="00347B56">
        <w:t>icated revenue in fiscal year 20</w:t>
      </w:r>
      <w:r>
        <w:t>xx-xx”.</w:t>
      </w:r>
      <w:r w:rsidR="003147AA">
        <w:t xml:space="preserve">  (</w:t>
      </w:r>
      <w:r w:rsidR="00B53230">
        <w:t xml:space="preserve">see </w:t>
      </w:r>
      <w:r w:rsidR="003147AA">
        <w:t>example</w:t>
      </w:r>
      <w:r w:rsidR="00325AD7">
        <w:t xml:space="preserve"> 2)</w:t>
      </w:r>
    </w:p>
    <w:p w:rsidR="003C2106" w:rsidRDefault="003C2106" w:rsidP="003C2106"/>
    <w:p w:rsidR="00BA4252" w:rsidRDefault="00BA4252" w:rsidP="007A0E3B">
      <w:pPr>
        <w:numPr>
          <w:ilvl w:val="0"/>
          <w:numId w:val="2"/>
        </w:numPr>
      </w:pPr>
      <w:r>
        <w:t>If an initiative is to be funded through a line category transfer, then the transfer should be</w:t>
      </w:r>
      <w:r w:rsidR="00146949">
        <w:t xml:space="preserve"> stated </w:t>
      </w:r>
      <w:r w:rsidR="0065136A">
        <w:t>as part of</w:t>
      </w:r>
      <w:r w:rsidR="00146949">
        <w:t xml:space="preserve"> the initiative (e.g.</w:t>
      </w:r>
      <w:r>
        <w:t xml:space="preserve"> </w:t>
      </w:r>
      <w:r w:rsidR="009B32FD">
        <w:t>“</w:t>
      </w:r>
      <w:r w:rsidR="0065136A">
        <w:t>…t</w:t>
      </w:r>
      <w:r>
        <w:t xml:space="preserve">ransfers </w:t>
      </w:r>
      <w:r w:rsidR="0065136A">
        <w:t xml:space="preserve">funding from </w:t>
      </w:r>
      <w:proofErr w:type="gramStart"/>
      <w:r>
        <w:t>All</w:t>
      </w:r>
      <w:proofErr w:type="gramEnd"/>
      <w:r>
        <w:t xml:space="preserve"> Other to Persona</w:t>
      </w:r>
      <w:r w:rsidR="00146949">
        <w:t>l Services to fund the position</w:t>
      </w:r>
      <w:r w:rsidR="009B32FD">
        <w:t>…”</w:t>
      </w:r>
      <w:r>
        <w:t xml:space="preserve"> or </w:t>
      </w:r>
      <w:r w:rsidR="009B32FD">
        <w:t>“</w:t>
      </w:r>
      <w:r w:rsidR="003147AA">
        <w:t>…</w:t>
      </w:r>
      <w:r w:rsidR="00146949">
        <w:t>t</w:t>
      </w:r>
      <w:r>
        <w:t>ransfers</w:t>
      </w:r>
      <w:r w:rsidR="0065136A">
        <w:t xml:space="preserve"> funding from </w:t>
      </w:r>
      <w:r>
        <w:t xml:space="preserve">All Other to Capital </w:t>
      </w:r>
      <w:r w:rsidR="0065136A">
        <w:t xml:space="preserve">Expenditures </w:t>
      </w:r>
      <w:r>
        <w:t xml:space="preserve">to fund </w:t>
      </w:r>
      <w:r w:rsidR="009B32FD">
        <w:t>the purchase of….”</w:t>
      </w:r>
      <w:r>
        <w:t>.)</w:t>
      </w:r>
      <w:r w:rsidR="003147AA">
        <w:t xml:space="preserve">  (</w:t>
      </w:r>
      <w:r w:rsidR="004C3B2A">
        <w:t xml:space="preserve">see </w:t>
      </w:r>
      <w:r w:rsidR="003147AA">
        <w:t>examples</w:t>
      </w:r>
      <w:r w:rsidR="00325AD7">
        <w:t xml:space="preserve"> </w:t>
      </w:r>
      <w:r w:rsidR="004535F6">
        <w:t>6</w:t>
      </w:r>
      <w:r w:rsidR="00325AD7">
        <w:t xml:space="preserve">, </w:t>
      </w:r>
      <w:r w:rsidR="004535F6">
        <w:t>7</w:t>
      </w:r>
      <w:r w:rsidR="00325AD7">
        <w:t>)</w:t>
      </w:r>
    </w:p>
    <w:p w:rsidR="00F32617" w:rsidRDefault="00F32617" w:rsidP="00F32617">
      <w:pPr>
        <w:pStyle w:val="ListParagraph"/>
      </w:pPr>
    </w:p>
    <w:p w:rsidR="00F32617" w:rsidRDefault="00F32617" w:rsidP="007A0E3B">
      <w:pPr>
        <w:numPr>
          <w:ilvl w:val="0"/>
          <w:numId w:val="2"/>
        </w:numPr>
      </w:pPr>
      <w:r>
        <w:t>Requests for new capital equipment and requests for replacement pieces of capital equipment must appear in separate initiatives.</w:t>
      </w:r>
      <w:r w:rsidR="00027D4A">
        <w:t xml:space="preserve">  (</w:t>
      </w:r>
      <w:r w:rsidR="004C3B2A">
        <w:t xml:space="preserve">see </w:t>
      </w:r>
      <w:r w:rsidR="00027D4A">
        <w:t>examples 19, 20)</w:t>
      </w:r>
    </w:p>
    <w:p w:rsidR="003F74DE" w:rsidRDefault="003F74DE" w:rsidP="003F74DE">
      <w:pPr>
        <w:pStyle w:val="ListParagraph"/>
      </w:pPr>
    </w:p>
    <w:p w:rsidR="003F74DE" w:rsidRPr="001632A0" w:rsidRDefault="003F74DE" w:rsidP="003F74DE">
      <w:pPr>
        <w:ind w:left="1080"/>
        <w:rPr>
          <w:b/>
          <w:u w:val="single"/>
        </w:rPr>
      </w:pPr>
      <w:r w:rsidRPr="001632A0">
        <w:rPr>
          <w:b/>
          <w:u w:val="single"/>
        </w:rPr>
        <w:t>Information Specific to Positions</w:t>
      </w:r>
    </w:p>
    <w:p w:rsidR="002A37F9" w:rsidRPr="001632A0" w:rsidRDefault="002A37F9" w:rsidP="002A37F9">
      <w:pPr>
        <w:pStyle w:val="ListParagraph"/>
        <w:rPr>
          <w:u w:val="single"/>
        </w:rPr>
      </w:pPr>
    </w:p>
    <w:p w:rsidR="00013C42" w:rsidRDefault="002A37F9" w:rsidP="002A37F9">
      <w:pPr>
        <w:numPr>
          <w:ilvl w:val="0"/>
          <w:numId w:val="2"/>
        </w:numPr>
      </w:pPr>
      <w:r>
        <w:t xml:space="preserve">Use “Establishes” </w:t>
      </w:r>
      <w:r w:rsidR="00471BE1">
        <w:t>to request</w:t>
      </w:r>
      <w:r>
        <w:t xml:space="preserve"> a new position</w:t>
      </w:r>
      <w:r w:rsidR="000C5826">
        <w:t>.</w:t>
      </w:r>
      <w:r w:rsidR="00E46069">
        <w:t xml:space="preserve">  (see example</w:t>
      </w:r>
      <w:bookmarkStart w:id="0" w:name="_GoBack"/>
      <w:bookmarkEnd w:id="0"/>
      <w:r w:rsidR="00E46069">
        <w:t xml:space="preserve"> 1)</w:t>
      </w:r>
    </w:p>
    <w:p w:rsidR="000C5826" w:rsidRDefault="000C5826" w:rsidP="000C5826">
      <w:pPr>
        <w:ind w:left="1080"/>
      </w:pPr>
    </w:p>
    <w:p w:rsidR="000C5826" w:rsidRDefault="000C5826" w:rsidP="002A37F9">
      <w:pPr>
        <w:numPr>
          <w:ilvl w:val="0"/>
          <w:numId w:val="2"/>
        </w:numPr>
      </w:pPr>
      <w:r>
        <w:t xml:space="preserve">Use “Continues” to permanently establish a position that was previously established by financial order.  (see example 3) </w:t>
      </w:r>
    </w:p>
    <w:p w:rsidR="00013C42" w:rsidRDefault="00013C42" w:rsidP="00013C42">
      <w:pPr>
        <w:ind w:left="1080"/>
      </w:pPr>
    </w:p>
    <w:p w:rsidR="00C90DF8" w:rsidRDefault="00C90DF8" w:rsidP="002A37F9">
      <w:pPr>
        <w:numPr>
          <w:ilvl w:val="0"/>
          <w:numId w:val="2"/>
        </w:numPr>
      </w:pPr>
      <w:r>
        <w:t xml:space="preserve">Use </w:t>
      </w:r>
      <w:r w:rsidR="00471BE1">
        <w:t xml:space="preserve">“Continues” to continue a </w:t>
      </w:r>
      <w:r w:rsidR="000C5826">
        <w:t xml:space="preserve">limited-period </w:t>
      </w:r>
      <w:r w:rsidR="00471BE1">
        <w:t xml:space="preserve">position previously established by </w:t>
      </w:r>
      <w:r w:rsidR="00977661">
        <w:t xml:space="preserve">law or </w:t>
      </w:r>
      <w:r w:rsidR="00471BE1">
        <w:t>financial order</w:t>
      </w:r>
      <w:r>
        <w:t>.</w:t>
      </w:r>
      <w:r w:rsidR="00620833">
        <w:t xml:space="preserve">  (see example 4)</w:t>
      </w:r>
    </w:p>
    <w:p w:rsidR="00C90DF8" w:rsidRDefault="00C90DF8" w:rsidP="00C90DF8">
      <w:pPr>
        <w:pStyle w:val="ListParagraph"/>
      </w:pPr>
    </w:p>
    <w:p w:rsidR="002A37F9" w:rsidRDefault="00C90DF8" w:rsidP="002A37F9">
      <w:pPr>
        <w:numPr>
          <w:ilvl w:val="0"/>
          <w:numId w:val="2"/>
        </w:numPr>
      </w:pPr>
      <w:r>
        <w:t>Use</w:t>
      </w:r>
      <w:r w:rsidR="002A37F9">
        <w:t xml:space="preserve"> “Eliminates” when removing a position.  (</w:t>
      </w:r>
      <w:r w:rsidR="00000EE5">
        <w:t xml:space="preserve">see </w:t>
      </w:r>
      <w:r w:rsidR="002A37F9">
        <w:t>exam</w:t>
      </w:r>
      <w:r w:rsidR="00050763">
        <w:t xml:space="preserve">ple </w:t>
      </w:r>
      <w:r w:rsidR="00AD17DF">
        <w:t>8</w:t>
      </w:r>
      <w:r w:rsidR="002A37F9">
        <w:t>)</w:t>
      </w:r>
    </w:p>
    <w:p w:rsidR="00151BDF" w:rsidRDefault="00151BDF" w:rsidP="00151BDF">
      <w:pPr>
        <w:ind w:left="1080"/>
      </w:pPr>
    </w:p>
    <w:p w:rsidR="00151BDF" w:rsidRDefault="00151BDF" w:rsidP="002A37F9">
      <w:pPr>
        <w:numPr>
          <w:ilvl w:val="0"/>
          <w:numId w:val="2"/>
        </w:numPr>
      </w:pPr>
      <w:r>
        <w:t>Use “Transfers” when changing a position’s home account to a different account.</w:t>
      </w:r>
      <w:r w:rsidR="00AF4F9C">
        <w:t xml:space="preserve">  (see example 12)</w:t>
      </w:r>
    </w:p>
    <w:p w:rsidR="00FB7DCD" w:rsidRDefault="00FB7DCD" w:rsidP="00FB7DCD">
      <w:pPr>
        <w:pStyle w:val="ListParagraph"/>
      </w:pPr>
    </w:p>
    <w:p w:rsidR="00FB7DCD" w:rsidRDefault="00FB7DCD" w:rsidP="002A37F9">
      <w:pPr>
        <w:numPr>
          <w:ilvl w:val="0"/>
          <w:numId w:val="2"/>
        </w:numPr>
      </w:pPr>
      <w:r>
        <w:t>Use “Reallocates the costs” when changing the funding allocation of a position without changing the position’s home account.</w:t>
      </w:r>
      <w:r w:rsidR="008247F2">
        <w:t xml:space="preserve">  (see example 10)</w:t>
      </w:r>
    </w:p>
    <w:p w:rsidR="00D57475" w:rsidRDefault="00D57475" w:rsidP="00D57475">
      <w:pPr>
        <w:pStyle w:val="ListParagraph"/>
      </w:pPr>
    </w:p>
    <w:p w:rsidR="00D57475" w:rsidRDefault="00D57475" w:rsidP="002A37F9">
      <w:pPr>
        <w:numPr>
          <w:ilvl w:val="0"/>
          <w:numId w:val="2"/>
        </w:numPr>
      </w:pPr>
      <w:r>
        <w:t>Use “Transfers and reallocates” when changing both the funding allocation and the position’s home account.</w:t>
      </w:r>
      <w:r w:rsidR="00403BE3">
        <w:t xml:space="preserve">  (see example 11)</w:t>
      </w:r>
    </w:p>
    <w:p w:rsidR="003C2106" w:rsidRDefault="003C2106" w:rsidP="003C2106"/>
    <w:p w:rsidR="00A12507" w:rsidRDefault="007343EF" w:rsidP="003C2106">
      <w:pPr>
        <w:numPr>
          <w:ilvl w:val="0"/>
          <w:numId w:val="2"/>
        </w:numPr>
      </w:pPr>
      <w:r>
        <w:t>P</w:t>
      </w:r>
      <w:r w:rsidR="003C2106">
        <w:t xml:space="preserve">osition titles </w:t>
      </w:r>
      <w:r>
        <w:t xml:space="preserve">included in the initiative </w:t>
      </w:r>
      <w:r w:rsidR="003C2106">
        <w:t xml:space="preserve">must be </w:t>
      </w:r>
      <w:r w:rsidR="003C2106" w:rsidRPr="001B61AA">
        <w:rPr>
          <w:b/>
        </w:rPr>
        <w:t>the actual job classification title</w:t>
      </w:r>
      <w:r w:rsidR="001B61AA">
        <w:rPr>
          <w:b/>
        </w:rPr>
        <w:t xml:space="preserve"> </w:t>
      </w:r>
      <w:r w:rsidR="001B61AA" w:rsidRPr="001B61AA">
        <w:t>and must be capitalized</w:t>
      </w:r>
      <w:r w:rsidR="0065136A">
        <w:t>.</w:t>
      </w:r>
    </w:p>
    <w:p w:rsidR="00A12507" w:rsidRDefault="00A12507" w:rsidP="00A12507">
      <w:pPr>
        <w:pStyle w:val="ListParagraph"/>
      </w:pPr>
    </w:p>
    <w:p w:rsidR="00A12507" w:rsidRDefault="0065136A" w:rsidP="00A12507">
      <w:pPr>
        <w:numPr>
          <w:ilvl w:val="0"/>
          <w:numId w:val="2"/>
        </w:numPr>
      </w:pPr>
      <w:r>
        <w:t xml:space="preserve"> </w:t>
      </w:r>
      <w:r w:rsidR="00A12507">
        <w:t xml:space="preserve">A position level is noted </w:t>
      </w:r>
      <w:r w:rsidR="00EC4529">
        <w:t>with</w:t>
      </w:r>
      <w:r w:rsidR="00A12507">
        <w:t xml:space="preserve"> a </w:t>
      </w:r>
      <w:r w:rsidR="00EC4529">
        <w:t>R</w:t>
      </w:r>
      <w:r w:rsidR="00A12507">
        <w:t>oman numeral</w:t>
      </w:r>
      <w:r w:rsidR="001B01F9">
        <w:t>. (</w:t>
      </w:r>
      <w:proofErr w:type="gramStart"/>
      <w:r w:rsidR="001B01F9">
        <w:t>e.g</w:t>
      </w:r>
      <w:proofErr w:type="gramEnd"/>
      <w:r w:rsidR="001B01F9">
        <w:t>. Laborer II</w:t>
      </w:r>
      <w:r w:rsidR="00B46F0A">
        <w:t xml:space="preserve"> position</w:t>
      </w:r>
      <w:r w:rsidR="001B01F9">
        <w:t>, Plant Maintenance Engineer III</w:t>
      </w:r>
      <w:r w:rsidR="00B46F0A">
        <w:t xml:space="preserve"> position</w:t>
      </w:r>
      <w:r w:rsidR="001B01F9">
        <w:t>)</w:t>
      </w:r>
      <w:r w:rsidR="00A12507">
        <w:t xml:space="preserve">.  </w:t>
      </w:r>
    </w:p>
    <w:p w:rsidR="00A12507" w:rsidRDefault="00A12507" w:rsidP="00A12507">
      <w:pPr>
        <w:pStyle w:val="ListParagraph"/>
      </w:pPr>
    </w:p>
    <w:p w:rsidR="000B448D" w:rsidRDefault="007343EF" w:rsidP="003C2106">
      <w:pPr>
        <w:numPr>
          <w:ilvl w:val="0"/>
          <w:numId w:val="2"/>
        </w:numPr>
      </w:pPr>
      <w:r>
        <w:t xml:space="preserve">A count must precede each job classification title and the word “position” must follow each title. </w:t>
      </w:r>
      <w:r w:rsidR="00554727">
        <w:t>The word</w:t>
      </w:r>
      <w:r w:rsidR="003C2106">
        <w:t xml:space="preserve"> “one”</w:t>
      </w:r>
      <w:r w:rsidR="00554727">
        <w:t xml:space="preserve"> is used when a single position is involved; multiple </w:t>
      </w:r>
      <w:r w:rsidR="00554727">
        <w:lastRenderedPageBreak/>
        <w:t>positions</w:t>
      </w:r>
      <w:r>
        <w:t xml:space="preserve"> use numerals.</w:t>
      </w:r>
      <w:r w:rsidR="003C2106">
        <w:t xml:space="preserve"> (e.g. “</w:t>
      </w:r>
      <w:r w:rsidR="003C2106" w:rsidRPr="00633739">
        <w:rPr>
          <w:b/>
        </w:rPr>
        <w:t>one</w:t>
      </w:r>
      <w:r w:rsidR="003C2106">
        <w:t xml:space="preserve"> Office Associate II position” or “</w:t>
      </w:r>
      <w:r w:rsidR="003C2106" w:rsidRPr="00633739">
        <w:rPr>
          <w:b/>
        </w:rPr>
        <w:t>3</w:t>
      </w:r>
      <w:r w:rsidR="003C2106">
        <w:t xml:space="preserve"> Office Associate II positions”). </w:t>
      </w:r>
    </w:p>
    <w:p w:rsidR="00AB70C0" w:rsidRDefault="00AB70C0" w:rsidP="00AB70C0">
      <w:pPr>
        <w:pStyle w:val="ListParagraph"/>
      </w:pPr>
    </w:p>
    <w:p w:rsidR="00AB70C0" w:rsidRDefault="00AB70C0" w:rsidP="003C2106">
      <w:pPr>
        <w:numPr>
          <w:ilvl w:val="0"/>
          <w:numId w:val="2"/>
        </w:numPr>
      </w:pPr>
      <w:r>
        <w:t>Position numbers should not be included in the initiative</w:t>
      </w:r>
      <w:r w:rsidR="00E51B31">
        <w:t>s that will appear in the budget bill</w:t>
      </w:r>
      <w:r>
        <w:t>.</w:t>
      </w:r>
    </w:p>
    <w:p w:rsidR="00DC297A" w:rsidRDefault="00DC297A" w:rsidP="00DC297A"/>
    <w:p w:rsidR="00DC297A" w:rsidRDefault="00DC297A" w:rsidP="00DC297A">
      <w:pPr>
        <w:numPr>
          <w:ilvl w:val="0"/>
          <w:numId w:val="2"/>
        </w:numPr>
      </w:pPr>
      <w:r>
        <w:t xml:space="preserve">Positions </w:t>
      </w:r>
      <w:r w:rsidR="0055498D">
        <w:t xml:space="preserve">that are less than 40 hours per week </w:t>
      </w:r>
      <w:r>
        <w:t xml:space="preserve">are </w:t>
      </w:r>
      <w:r w:rsidR="004520DA">
        <w:t>identified</w:t>
      </w:r>
      <w:r>
        <w:t xml:space="preserve"> as “part-time.”</w:t>
      </w:r>
      <w:r w:rsidR="003147AA">
        <w:t xml:space="preserve">  (</w:t>
      </w:r>
      <w:r w:rsidR="004520DA">
        <w:t>one part-time Office Assistant II</w:t>
      </w:r>
      <w:r w:rsidR="00702389">
        <w:t xml:space="preserve"> position</w:t>
      </w:r>
      <w:r w:rsidR="004520DA">
        <w:t>)</w:t>
      </w:r>
    </w:p>
    <w:p w:rsidR="0065136A" w:rsidRDefault="0065136A" w:rsidP="0065136A"/>
    <w:p w:rsidR="006C2455" w:rsidRDefault="0065136A" w:rsidP="006C2455">
      <w:pPr>
        <w:numPr>
          <w:ilvl w:val="0"/>
          <w:numId w:val="2"/>
        </w:numPr>
      </w:pPr>
      <w:r>
        <w:t xml:space="preserve">When establishing positions with end dates, the position should be designated as </w:t>
      </w:r>
      <w:r w:rsidR="005A6AEB">
        <w:t>“</w:t>
      </w:r>
      <w:r>
        <w:t>limited-period</w:t>
      </w:r>
      <w:r w:rsidR="005A6AEB">
        <w:t>”</w:t>
      </w:r>
      <w:r>
        <w:t xml:space="preserve"> and the end date should be included</w:t>
      </w:r>
      <w:r w:rsidR="005E6E65">
        <w:t xml:space="preserve"> in the description field</w:t>
      </w:r>
      <w:r>
        <w:t xml:space="preserve">. </w:t>
      </w:r>
      <w:r w:rsidR="00AD17DF">
        <w:t>(</w:t>
      </w:r>
      <w:r w:rsidR="004C3B2A">
        <w:t xml:space="preserve">see </w:t>
      </w:r>
      <w:r w:rsidR="00AD17DF">
        <w:t>example</w:t>
      </w:r>
      <w:r w:rsidR="00D81EE6">
        <w:t>s 4 and</w:t>
      </w:r>
      <w:r w:rsidR="00AD17DF">
        <w:t xml:space="preserve"> 5)</w:t>
      </w:r>
    </w:p>
    <w:p w:rsidR="00AB70C0" w:rsidRDefault="00AB70C0" w:rsidP="00AB70C0">
      <w:pPr>
        <w:pStyle w:val="ListParagraph"/>
      </w:pPr>
    </w:p>
    <w:p w:rsidR="00A70E7B" w:rsidRDefault="001A66F6" w:rsidP="00A70E7B">
      <w:pPr>
        <w:numPr>
          <w:ilvl w:val="0"/>
          <w:numId w:val="2"/>
        </w:numPr>
      </w:pPr>
      <w:r>
        <w:t>Management initiated r</w:t>
      </w:r>
      <w:r w:rsidR="00A70E7B">
        <w:t>eorgan</w:t>
      </w:r>
      <w:r>
        <w:t>izations are Part A initiatives and are not retroactive.</w:t>
      </w:r>
      <w:r w:rsidR="00A70E7B">
        <w:t xml:space="preserve">  (</w:t>
      </w:r>
      <w:r w:rsidR="004C3B2A">
        <w:t xml:space="preserve">see </w:t>
      </w:r>
      <w:r w:rsidR="00A70E7B">
        <w:t>example 6)</w:t>
      </w:r>
    </w:p>
    <w:p w:rsidR="00A70E7B" w:rsidRDefault="00A70E7B" w:rsidP="00A70E7B">
      <w:pPr>
        <w:ind w:left="1080"/>
      </w:pPr>
    </w:p>
    <w:p w:rsidR="00A70E7B" w:rsidRDefault="00A70E7B" w:rsidP="00A70E7B">
      <w:pPr>
        <w:numPr>
          <w:ilvl w:val="0"/>
          <w:numId w:val="2"/>
        </w:numPr>
      </w:pPr>
      <w:r>
        <w:t xml:space="preserve">Bureau of Human Resources approved </w:t>
      </w:r>
      <w:r w:rsidR="0038164D">
        <w:t xml:space="preserve">employee initiated </w:t>
      </w:r>
      <w:r>
        <w:t xml:space="preserve">reclassifications </w:t>
      </w:r>
      <w:proofErr w:type="gramStart"/>
      <w:r w:rsidR="00977661">
        <w:t xml:space="preserve">if </w:t>
      </w:r>
      <w:r w:rsidR="0038164D">
        <w:t xml:space="preserve"> self</w:t>
      </w:r>
      <w:proofErr w:type="gramEnd"/>
      <w:r w:rsidR="0038164D">
        <w:t xml:space="preserve">-funded </w:t>
      </w:r>
      <w:r w:rsidR="00977661">
        <w:t xml:space="preserve">should be </w:t>
      </w:r>
      <w:r w:rsidR="0038164D">
        <w:t>submitted as</w:t>
      </w:r>
      <w:r>
        <w:t xml:space="preserve"> Part B initiatives</w:t>
      </w:r>
      <w:r w:rsidR="0038164D">
        <w:t xml:space="preserve">. However if the reclassification requires General Fund appropriation or Highway Fund allocation and the department cannot self-fund the </w:t>
      </w:r>
      <w:r w:rsidR="0028524B">
        <w:t xml:space="preserve">change, the </w:t>
      </w:r>
      <w:r w:rsidR="0038164D">
        <w:t>request</w:t>
      </w:r>
      <w:r w:rsidR="0028524B">
        <w:t xml:space="preserve"> for</w:t>
      </w:r>
      <w:r w:rsidR="0038164D">
        <w:t xml:space="preserve"> reclassification must be included in Part A.</w:t>
      </w:r>
      <w:r>
        <w:t xml:space="preserve">    (</w:t>
      </w:r>
      <w:r w:rsidR="004C3B2A">
        <w:t xml:space="preserve">see </w:t>
      </w:r>
      <w:r>
        <w:t>example 7</w:t>
      </w:r>
      <w:r w:rsidR="004C3B2A">
        <w:t xml:space="preserve"> for Part A</w:t>
      </w:r>
      <w:r>
        <w:t>)</w:t>
      </w:r>
    </w:p>
    <w:p w:rsidR="00151BDF" w:rsidRDefault="00151BDF" w:rsidP="00151BDF">
      <w:pPr>
        <w:pStyle w:val="ListParagraph"/>
      </w:pPr>
    </w:p>
    <w:p w:rsidR="00633739" w:rsidRDefault="00FD275E" w:rsidP="00633739">
      <w:pPr>
        <w:numPr>
          <w:ilvl w:val="0"/>
          <w:numId w:val="2"/>
        </w:numPr>
      </w:pPr>
      <w:r>
        <w:t xml:space="preserve">The use of the wording </w:t>
      </w:r>
      <w:r w:rsidR="00633739">
        <w:t xml:space="preserve">“Positions are on file in the Bureau of the Budget” </w:t>
      </w:r>
      <w:r>
        <w:t xml:space="preserve">in the budget initiative </w:t>
      </w:r>
      <w:r w:rsidR="00633739">
        <w:t xml:space="preserve">is not acceptable in most situations; please consult with your Budget Analyst before using. </w:t>
      </w:r>
    </w:p>
    <w:p w:rsidR="00EF4979" w:rsidRDefault="00EF4979" w:rsidP="00207949">
      <w:pPr>
        <w:jc w:val="center"/>
        <w:rPr>
          <w:b/>
        </w:rPr>
      </w:pPr>
    </w:p>
    <w:p w:rsidR="00D433EA" w:rsidRDefault="00D433EA"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E70640" w:rsidRDefault="00E70640" w:rsidP="00207949">
      <w:pPr>
        <w:jc w:val="center"/>
        <w:rPr>
          <w:b/>
        </w:rPr>
      </w:pPr>
    </w:p>
    <w:p w:rsidR="004B2A5D" w:rsidRDefault="00207949" w:rsidP="00207949">
      <w:pPr>
        <w:jc w:val="center"/>
        <w:rPr>
          <w:b/>
        </w:rPr>
      </w:pPr>
      <w:r>
        <w:rPr>
          <w:b/>
        </w:rPr>
        <w:lastRenderedPageBreak/>
        <w:t>EXAMPLES</w:t>
      </w:r>
    </w:p>
    <w:p w:rsidR="00502ADA" w:rsidRPr="00502ADA" w:rsidRDefault="00502ADA" w:rsidP="00975526">
      <w:pPr>
        <w:rPr>
          <w:b/>
          <w:i/>
        </w:rPr>
      </w:pPr>
      <w:r w:rsidRPr="00502ADA">
        <w:rPr>
          <w:b/>
          <w:i/>
        </w:rPr>
        <w:t xml:space="preserve">Note:  To </w:t>
      </w:r>
      <w:r w:rsidR="005B0D69">
        <w:rPr>
          <w:b/>
          <w:i/>
        </w:rPr>
        <w:t>conserve</w:t>
      </w:r>
      <w:r w:rsidRPr="00502ADA">
        <w:rPr>
          <w:b/>
          <w:i/>
        </w:rPr>
        <w:t xml:space="preserve"> space, </w:t>
      </w:r>
      <w:r w:rsidR="001D6EE0">
        <w:rPr>
          <w:b/>
          <w:i/>
        </w:rPr>
        <w:t xml:space="preserve">only some of </w:t>
      </w:r>
      <w:r w:rsidRPr="00502ADA">
        <w:rPr>
          <w:b/>
          <w:i/>
        </w:rPr>
        <w:t xml:space="preserve">the following examples show </w:t>
      </w:r>
      <w:r w:rsidR="001D6EE0">
        <w:rPr>
          <w:b/>
          <w:i/>
        </w:rPr>
        <w:t>text for the Justificatio</w:t>
      </w:r>
      <w:r w:rsidR="003B0091">
        <w:rPr>
          <w:b/>
          <w:i/>
        </w:rPr>
        <w:t>n part of the initiative</w:t>
      </w:r>
      <w:r w:rsidR="001D6EE0">
        <w:rPr>
          <w:b/>
          <w:i/>
        </w:rPr>
        <w:t>.  However, both fields are required as part of the budget initiative.</w:t>
      </w:r>
    </w:p>
    <w:p w:rsidR="00502ADA" w:rsidRDefault="00502ADA" w:rsidP="00975526"/>
    <w:p w:rsidR="002B7AC3" w:rsidRPr="002B7AC3" w:rsidRDefault="002B7AC3" w:rsidP="00975526">
      <w:pPr>
        <w:tabs>
          <w:tab w:val="left" w:pos="720"/>
          <w:tab w:val="left" w:pos="1440"/>
          <w:tab w:val="left" w:pos="2160"/>
          <w:tab w:val="right" w:pos="2880"/>
          <w:tab w:val="right" w:pos="7194"/>
          <w:tab w:val="right" w:pos="9354"/>
        </w:tabs>
        <w:ind w:right="522"/>
        <w:jc w:val="both"/>
        <w:rPr>
          <w:b/>
          <w:u w:val="single"/>
        </w:rPr>
      </w:pPr>
      <w:r w:rsidRPr="002B7AC3">
        <w:rPr>
          <w:b/>
          <w:u w:val="single"/>
        </w:rPr>
        <w:t xml:space="preserve">Personal Services </w:t>
      </w:r>
    </w:p>
    <w:p w:rsidR="006A6B69" w:rsidRPr="00036BD1" w:rsidRDefault="006A6B69" w:rsidP="002B7AC3">
      <w:pPr>
        <w:rPr>
          <w:b/>
        </w:rPr>
      </w:pPr>
    </w:p>
    <w:p w:rsidR="00860F68" w:rsidRDefault="006A6B69" w:rsidP="002B7AC3">
      <w:r w:rsidRPr="00036BD1">
        <w:rPr>
          <w:b/>
        </w:rPr>
        <w:t>1)</w:t>
      </w:r>
      <w:r>
        <w:t xml:space="preserve"> </w:t>
      </w:r>
      <w:r w:rsidR="00860F68" w:rsidRPr="00860F68">
        <w:rPr>
          <w:i/>
        </w:rPr>
        <w:t>Description</w:t>
      </w:r>
      <w:r w:rsidR="00860F68">
        <w:t xml:space="preserve">:  </w:t>
      </w:r>
      <w:r w:rsidR="002B7AC3" w:rsidRPr="004D25A3">
        <w:t>Establishes</w:t>
      </w:r>
      <w:r w:rsidR="003B1E8F">
        <w:t xml:space="preserve"> one </w:t>
      </w:r>
      <w:r w:rsidR="00860F68">
        <w:t xml:space="preserve">Senior </w:t>
      </w:r>
      <w:r w:rsidR="00245E3F">
        <w:t>Information System Support Specialist position</w:t>
      </w:r>
      <w:r w:rsidR="003B1E8F">
        <w:t>, 3 Information System Support Specialist</w:t>
      </w:r>
      <w:r w:rsidR="00860F68">
        <w:t xml:space="preserve"> II</w:t>
      </w:r>
      <w:r w:rsidR="003B1E8F">
        <w:t xml:space="preserve"> positions and one part-time Office Assistant</w:t>
      </w:r>
      <w:r w:rsidR="00EF4979">
        <w:t xml:space="preserve"> II position to support </w:t>
      </w:r>
      <w:r w:rsidR="00860F68" w:rsidRPr="00860F68">
        <w:t>statewide security and network maintenance</w:t>
      </w:r>
      <w:r w:rsidR="00860F68">
        <w:t xml:space="preserve"> </w:t>
      </w:r>
      <w:r w:rsidR="003B1E8F">
        <w:t>and provides funding for related All Other costs</w:t>
      </w:r>
      <w:r w:rsidR="002B7AC3">
        <w:t>.</w:t>
      </w:r>
      <w:r w:rsidR="00860F68" w:rsidRPr="00860F68">
        <w:t xml:space="preserve"> </w:t>
      </w:r>
    </w:p>
    <w:p w:rsidR="00860F68" w:rsidRDefault="00860F68" w:rsidP="002B7AC3">
      <w:r>
        <w:t xml:space="preserve">   </w:t>
      </w:r>
      <w:r w:rsidRPr="00860F68">
        <w:rPr>
          <w:i/>
        </w:rPr>
        <w:t>Justification</w:t>
      </w:r>
      <w:r>
        <w:t xml:space="preserve">: </w:t>
      </w:r>
      <w:r w:rsidRPr="00860F68">
        <w:t>This request establishes one Senior Information System Support Specialist position</w:t>
      </w:r>
      <w:r>
        <w:t>,</w:t>
      </w:r>
      <w:r w:rsidRPr="00860F68">
        <w:t xml:space="preserve"> 3 Information System Support Specialist II positions</w:t>
      </w:r>
      <w:r>
        <w:t xml:space="preserve"> and one part-time Office Assistant II position</w:t>
      </w:r>
      <w:r w:rsidRPr="00860F68">
        <w:t xml:space="preserve"> to provide MS Windows maintenance and security; manage the growth of state call centers and perform network and application analytics, installations, and upgrades in the Office of Information Technology core business area and provides associated All Other funding.</w:t>
      </w:r>
    </w:p>
    <w:p w:rsidR="0025633D" w:rsidRDefault="0025633D" w:rsidP="002B7AC3"/>
    <w:p w:rsidR="0025633D" w:rsidRDefault="006A6B69" w:rsidP="0025633D">
      <w:r w:rsidRPr="00036BD1">
        <w:rPr>
          <w:b/>
        </w:rPr>
        <w:t>2)</w:t>
      </w:r>
      <w:r>
        <w:t xml:space="preserve"> </w:t>
      </w:r>
      <w:r w:rsidR="00BA4A0D" w:rsidRPr="00860F68">
        <w:rPr>
          <w:i/>
        </w:rPr>
        <w:t>Description</w:t>
      </w:r>
      <w:r w:rsidR="00BA4A0D">
        <w:t xml:space="preserve">:  </w:t>
      </w:r>
      <w:r w:rsidR="0025633D">
        <w:t>Establishes one Senior Tax Examiner position and one Tax Examiner position assigned to the Collections Unit to collect unpaid business and trust fund taxes and provides funding for related All Other costs. This request will generate $901,550 in General Fund undedi</w:t>
      </w:r>
      <w:r w:rsidR="000B448D">
        <w:t>cated revenue in fiscal year 201</w:t>
      </w:r>
      <w:r w:rsidR="0025633D">
        <w:t>8-</w:t>
      </w:r>
      <w:r w:rsidR="000B448D">
        <w:t>1</w:t>
      </w:r>
      <w:r w:rsidR="0025633D">
        <w:t xml:space="preserve">9. </w:t>
      </w:r>
    </w:p>
    <w:p w:rsidR="00C76B9C" w:rsidRDefault="00C76B9C" w:rsidP="0025633D"/>
    <w:p w:rsidR="009F2CF1" w:rsidRDefault="00F30F00" w:rsidP="0025633D">
      <w:r w:rsidRPr="009F2CF1">
        <w:rPr>
          <w:b/>
        </w:rPr>
        <w:t>3)</w:t>
      </w:r>
      <w:r>
        <w:t xml:space="preserve"> </w:t>
      </w:r>
      <w:r w:rsidR="00BA4A0D" w:rsidRPr="00860F68">
        <w:rPr>
          <w:i/>
        </w:rPr>
        <w:t>Description</w:t>
      </w:r>
      <w:r w:rsidR="00BA4A0D">
        <w:t xml:space="preserve">:  </w:t>
      </w:r>
      <w:r w:rsidR="00435268">
        <w:t xml:space="preserve">Continues </w:t>
      </w:r>
      <w:r w:rsidR="00C76B9C" w:rsidRPr="00C76B9C">
        <w:t xml:space="preserve">2 Management Analyst I positions previously established by Financial Order 003354 F6 and reduces </w:t>
      </w:r>
      <w:proofErr w:type="gramStart"/>
      <w:r w:rsidR="00C76B9C" w:rsidRPr="00C76B9C">
        <w:t>All</w:t>
      </w:r>
      <w:proofErr w:type="gramEnd"/>
      <w:r w:rsidR="00C76B9C" w:rsidRPr="00C76B9C">
        <w:t xml:space="preserve"> Other to fund the positions.</w:t>
      </w:r>
    </w:p>
    <w:p w:rsidR="00C76B9C" w:rsidRPr="009F2CF1" w:rsidRDefault="009F2CF1" w:rsidP="0025633D">
      <w:pPr>
        <w:rPr>
          <w:i/>
        </w:rPr>
      </w:pPr>
      <w:r>
        <w:t xml:space="preserve"> </w:t>
      </w:r>
      <w:r w:rsidRPr="009F2CF1">
        <w:rPr>
          <w:i/>
        </w:rPr>
        <w:t>Permanently establishes the</w:t>
      </w:r>
      <w:r>
        <w:rPr>
          <w:i/>
        </w:rPr>
        <w:t xml:space="preserve"> </w:t>
      </w:r>
      <w:r w:rsidRPr="009F2CF1">
        <w:rPr>
          <w:i/>
        </w:rPr>
        <w:t xml:space="preserve">positions </w:t>
      </w:r>
      <w:r w:rsidR="00435268">
        <w:rPr>
          <w:i/>
        </w:rPr>
        <w:t xml:space="preserve">previously </w:t>
      </w:r>
      <w:r w:rsidRPr="009F2CF1">
        <w:rPr>
          <w:i/>
        </w:rPr>
        <w:t>created by the financial order.</w:t>
      </w:r>
    </w:p>
    <w:p w:rsidR="002B7AC3" w:rsidRPr="009F2CF1" w:rsidRDefault="002B7AC3" w:rsidP="002B7AC3">
      <w:pPr>
        <w:rPr>
          <w:i/>
        </w:rPr>
      </w:pPr>
    </w:p>
    <w:p w:rsidR="00A84559" w:rsidRDefault="009F2CF1" w:rsidP="002B7AC3">
      <w:r>
        <w:rPr>
          <w:b/>
        </w:rPr>
        <w:t>4</w:t>
      </w:r>
      <w:r w:rsidR="006A6B69" w:rsidRPr="006A6B69">
        <w:rPr>
          <w:b/>
        </w:rPr>
        <w:t>)</w:t>
      </w:r>
      <w:r w:rsidR="006A6B69">
        <w:t xml:space="preserve"> </w:t>
      </w:r>
      <w:r w:rsidR="00BA4A0D" w:rsidRPr="00860F68">
        <w:rPr>
          <w:i/>
        </w:rPr>
        <w:t>Description</w:t>
      </w:r>
      <w:r w:rsidR="00BA4A0D">
        <w:t xml:space="preserve">:  </w:t>
      </w:r>
      <w:r w:rsidR="00A84559">
        <w:t>Continues one limited-period Education Specialist III position</w:t>
      </w:r>
      <w:r w:rsidR="005D11EA">
        <w:t xml:space="preserve">, </w:t>
      </w:r>
      <w:r w:rsidR="00475A39">
        <w:t xml:space="preserve">previously </w:t>
      </w:r>
      <w:r w:rsidR="00A84559">
        <w:t xml:space="preserve">established by </w:t>
      </w:r>
      <w:r w:rsidR="00F3410E">
        <w:t>Public Law 2015, chapter 267</w:t>
      </w:r>
      <w:r w:rsidR="005D11EA" w:rsidRPr="005D11EA">
        <w:t xml:space="preserve"> </w:t>
      </w:r>
      <w:r w:rsidR="005D11EA">
        <w:t>through June 13, 20</w:t>
      </w:r>
      <w:r w:rsidR="000B448D">
        <w:t>17</w:t>
      </w:r>
      <w:r w:rsidR="005D11EA">
        <w:t>.</w:t>
      </w:r>
    </w:p>
    <w:p w:rsidR="009F2CF1" w:rsidRPr="009F2CF1" w:rsidRDefault="009F2CF1" w:rsidP="002B7AC3">
      <w:pPr>
        <w:rPr>
          <w:i/>
        </w:rPr>
      </w:pPr>
      <w:r w:rsidRPr="009F2CF1">
        <w:rPr>
          <w:i/>
        </w:rPr>
        <w:t xml:space="preserve">Continues the position as limited period </w:t>
      </w:r>
      <w:r>
        <w:rPr>
          <w:i/>
        </w:rPr>
        <w:t xml:space="preserve">and </w:t>
      </w:r>
      <w:r w:rsidRPr="009F2CF1">
        <w:rPr>
          <w:i/>
        </w:rPr>
        <w:t>provides an end date.</w:t>
      </w:r>
    </w:p>
    <w:p w:rsidR="00A84559" w:rsidRDefault="00A84559" w:rsidP="002B7AC3"/>
    <w:p w:rsidR="00A84559" w:rsidRDefault="009F2CF1" w:rsidP="002B7AC3">
      <w:r>
        <w:rPr>
          <w:b/>
        </w:rPr>
        <w:t>5</w:t>
      </w:r>
      <w:r w:rsidR="006A6B69" w:rsidRPr="006A6B69">
        <w:rPr>
          <w:b/>
        </w:rPr>
        <w:t>)</w:t>
      </w:r>
      <w:r w:rsidR="006A6B69">
        <w:t xml:space="preserve"> </w:t>
      </w:r>
      <w:r w:rsidR="00BA4A0D" w:rsidRPr="00860F68">
        <w:rPr>
          <w:i/>
        </w:rPr>
        <w:t>Description</w:t>
      </w:r>
      <w:r w:rsidR="00BA4A0D">
        <w:t xml:space="preserve">:  </w:t>
      </w:r>
      <w:r w:rsidR="007055E7" w:rsidRPr="007055E7">
        <w:t>Continues the following limited-period positions through June 30, 2017 that were previously authorized to continue in Public Law 2013, chapter 368: 4 Customer Representative Associate I Employment positions, one Hearings Examiner position and one Office Associate II position.  Also reallocates these positions from 100% Federal Expenditures Fund to 50% Federal Expenditures Fund and 50% Other Special Revenue Funds within the same program and provides funding for related All Other costs.</w:t>
      </w:r>
    </w:p>
    <w:p w:rsidR="007055E7" w:rsidRDefault="007055E7" w:rsidP="002B7AC3"/>
    <w:p w:rsidR="00BD3AC4" w:rsidRDefault="009F2CF1" w:rsidP="002B7AC3">
      <w:r>
        <w:rPr>
          <w:b/>
        </w:rPr>
        <w:t>6)</w:t>
      </w:r>
      <w:r w:rsidR="006A6B69">
        <w:t xml:space="preserve"> </w:t>
      </w:r>
      <w:r w:rsidR="00BA4A0D" w:rsidRPr="00860F68">
        <w:rPr>
          <w:i/>
        </w:rPr>
        <w:t>Description</w:t>
      </w:r>
      <w:r w:rsidR="00BA4A0D">
        <w:t xml:space="preserve">:  </w:t>
      </w:r>
      <w:r w:rsidR="00BD3AC4">
        <w:t xml:space="preserve">Reorganizes one Auditor II position to an Auditor III position and transfers </w:t>
      </w:r>
      <w:proofErr w:type="gramStart"/>
      <w:r w:rsidR="00BD3AC4">
        <w:t>All</w:t>
      </w:r>
      <w:proofErr w:type="gramEnd"/>
      <w:r w:rsidR="00BD3AC4">
        <w:t xml:space="preserve"> Other to Personal Services to fund the reorganization.</w:t>
      </w:r>
    </w:p>
    <w:p w:rsidR="00BD3AC4" w:rsidRDefault="00BD3AC4" w:rsidP="002B7AC3"/>
    <w:p w:rsidR="000C7844" w:rsidRPr="00DA0985" w:rsidRDefault="009F2CF1" w:rsidP="002B7AC3">
      <w:r>
        <w:rPr>
          <w:b/>
        </w:rPr>
        <w:t>7</w:t>
      </w:r>
      <w:r w:rsidR="006A6B69" w:rsidRPr="006A6B69">
        <w:rPr>
          <w:b/>
        </w:rPr>
        <w:t>)</w:t>
      </w:r>
      <w:r w:rsidR="006A6B69">
        <w:t xml:space="preserve"> </w:t>
      </w:r>
      <w:r w:rsidR="00BA4A0D" w:rsidRPr="00860F68">
        <w:rPr>
          <w:i/>
        </w:rPr>
        <w:t>Description</w:t>
      </w:r>
      <w:r w:rsidR="00BA4A0D">
        <w:t xml:space="preserve">:  </w:t>
      </w:r>
      <w:r w:rsidR="00DA0985" w:rsidRPr="00DA0985">
        <w:t xml:space="preserve">Provides funding for the approved </w:t>
      </w:r>
      <w:r w:rsidR="006711DA">
        <w:t>reclassification of</w:t>
      </w:r>
      <w:r w:rsidR="00DA0985" w:rsidRPr="00DA0985">
        <w:t xml:space="preserve"> </w:t>
      </w:r>
      <w:r w:rsidR="000C7844" w:rsidRPr="00DA0985">
        <w:t xml:space="preserve">one Public Service Manager III position from </w:t>
      </w:r>
      <w:r w:rsidR="00DA0985" w:rsidRPr="00DA0985">
        <w:t>range</w:t>
      </w:r>
      <w:r w:rsidR="000C7844" w:rsidRPr="00DA0985">
        <w:t xml:space="preserve"> 33 to </w:t>
      </w:r>
      <w:r w:rsidR="00DA0985" w:rsidRPr="00DA0985">
        <w:t>range</w:t>
      </w:r>
      <w:r w:rsidR="000C7844" w:rsidRPr="00DA0985">
        <w:t xml:space="preserve"> 34</w:t>
      </w:r>
      <w:r w:rsidR="00325570" w:rsidRPr="00DA0985">
        <w:t xml:space="preserve"> and transfers </w:t>
      </w:r>
      <w:proofErr w:type="gramStart"/>
      <w:r w:rsidR="00325570" w:rsidRPr="00DA0985">
        <w:t>All</w:t>
      </w:r>
      <w:proofErr w:type="gramEnd"/>
      <w:r w:rsidR="00325570" w:rsidRPr="00DA0985">
        <w:t xml:space="preserve"> Other to Personal Services to fund the re</w:t>
      </w:r>
      <w:r w:rsidR="006711DA">
        <w:t>classification</w:t>
      </w:r>
      <w:r w:rsidR="000C7844" w:rsidRPr="00DA0985">
        <w:t>.</w:t>
      </w:r>
    </w:p>
    <w:p w:rsidR="000C7844" w:rsidRDefault="000C7844" w:rsidP="002B7AC3"/>
    <w:p w:rsidR="00325570" w:rsidRDefault="009F2CF1" w:rsidP="00325570">
      <w:r>
        <w:rPr>
          <w:b/>
        </w:rPr>
        <w:t>8</w:t>
      </w:r>
      <w:r w:rsidR="006A6B69" w:rsidRPr="006A6B69">
        <w:rPr>
          <w:b/>
        </w:rPr>
        <w:t>)</w:t>
      </w:r>
      <w:r w:rsidR="006A6B69">
        <w:t xml:space="preserve"> </w:t>
      </w:r>
      <w:r w:rsidR="00BA4A0D" w:rsidRPr="00860F68">
        <w:rPr>
          <w:i/>
        </w:rPr>
        <w:t>Description</w:t>
      </w:r>
      <w:r w:rsidR="00BA4A0D">
        <w:t xml:space="preserve">:  </w:t>
      </w:r>
      <w:r w:rsidR="00325570">
        <w:t>Eliminates one Public Service Coordinator III position and reduces funding for related All Other costs.</w:t>
      </w:r>
    </w:p>
    <w:p w:rsidR="00325570" w:rsidRDefault="00325570" w:rsidP="002B7AC3"/>
    <w:p w:rsidR="000C7844" w:rsidRDefault="009F2CF1" w:rsidP="002B7AC3">
      <w:r>
        <w:rPr>
          <w:b/>
        </w:rPr>
        <w:lastRenderedPageBreak/>
        <w:t>9</w:t>
      </w:r>
      <w:r w:rsidR="006A6B69" w:rsidRPr="006A6B69">
        <w:rPr>
          <w:b/>
        </w:rPr>
        <w:t>)</w:t>
      </w:r>
      <w:r w:rsidR="006A6B69">
        <w:t xml:space="preserve"> </w:t>
      </w:r>
      <w:r w:rsidR="00BA4A0D" w:rsidRPr="00860F68">
        <w:rPr>
          <w:i/>
        </w:rPr>
        <w:t>Description</w:t>
      </w:r>
      <w:r w:rsidR="00BA4A0D">
        <w:t xml:space="preserve">:  </w:t>
      </w:r>
      <w:r w:rsidR="000C7844">
        <w:t>Reduces funding by decreasing the hours of one Office Assistant II position from 80 hours to 60 hours biweekly.</w:t>
      </w:r>
    </w:p>
    <w:p w:rsidR="00325570" w:rsidRDefault="00325570" w:rsidP="002B7AC3">
      <w:pPr>
        <w:rPr>
          <w:b/>
        </w:rPr>
      </w:pPr>
    </w:p>
    <w:p w:rsidR="00325570" w:rsidRDefault="009F2CF1" w:rsidP="002B7AC3">
      <w:r>
        <w:rPr>
          <w:b/>
        </w:rPr>
        <w:t>10</w:t>
      </w:r>
      <w:r w:rsidR="006A6B69" w:rsidRPr="006A6B69">
        <w:rPr>
          <w:b/>
        </w:rPr>
        <w:t>)</w:t>
      </w:r>
      <w:r w:rsidR="006A6B69">
        <w:t xml:space="preserve"> </w:t>
      </w:r>
      <w:r w:rsidR="00BA4A0D" w:rsidRPr="00860F68">
        <w:rPr>
          <w:i/>
        </w:rPr>
        <w:t>Description</w:t>
      </w:r>
      <w:r w:rsidR="00BA4A0D">
        <w:t xml:space="preserve">:  </w:t>
      </w:r>
      <w:r w:rsidR="00325570">
        <w:t>Reallocates the cost of one Civil Engineer I position from 100% General Fund to 80% General Fund and 20% Federal Expenditures Fund within the same program.</w:t>
      </w:r>
    </w:p>
    <w:p w:rsidR="00325570" w:rsidRDefault="00325570" w:rsidP="002B7AC3"/>
    <w:p w:rsidR="00325570" w:rsidRDefault="00036BD1" w:rsidP="002B7AC3">
      <w:r w:rsidRPr="00036BD1">
        <w:rPr>
          <w:b/>
        </w:rPr>
        <w:t>1</w:t>
      </w:r>
      <w:r w:rsidR="009F2CF1">
        <w:rPr>
          <w:b/>
        </w:rPr>
        <w:t>1</w:t>
      </w:r>
      <w:r w:rsidRPr="00036BD1">
        <w:rPr>
          <w:b/>
        </w:rPr>
        <w:t>)</w:t>
      </w:r>
      <w:r>
        <w:t xml:space="preserve"> </w:t>
      </w:r>
      <w:r w:rsidR="00BA4A0D" w:rsidRPr="00860F68">
        <w:rPr>
          <w:i/>
        </w:rPr>
        <w:t>Description</w:t>
      </w:r>
      <w:r w:rsidR="00BA4A0D">
        <w:t xml:space="preserve">:  </w:t>
      </w:r>
      <w:r w:rsidR="00325570">
        <w:t>Transfers one Contract Grant Specialist position and reallocates the cost from 100% General Fund to 30% General Fund and 70% Federal Expenditures Fund within the same program.</w:t>
      </w:r>
    </w:p>
    <w:p w:rsidR="00611203" w:rsidRPr="00611203" w:rsidRDefault="00611203" w:rsidP="002B7AC3">
      <w:pPr>
        <w:rPr>
          <w:i/>
        </w:rPr>
      </w:pPr>
      <w:r w:rsidRPr="00611203">
        <w:rPr>
          <w:i/>
        </w:rPr>
        <w:t>Transfers headcount from the General Fund to the Federal Expenditures Fund and reallocates the cost of the position.</w:t>
      </w:r>
    </w:p>
    <w:p w:rsidR="002B7AC3" w:rsidRDefault="002B7AC3" w:rsidP="002B7AC3"/>
    <w:p w:rsidR="00325570" w:rsidRDefault="00036BD1" w:rsidP="00325570">
      <w:r w:rsidRPr="00036BD1">
        <w:rPr>
          <w:b/>
        </w:rPr>
        <w:t>1</w:t>
      </w:r>
      <w:r w:rsidR="009F2CF1">
        <w:rPr>
          <w:b/>
        </w:rPr>
        <w:t>2</w:t>
      </w:r>
      <w:r w:rsidRPr="00036BD1">
        <w:rPr>
          <w:b/>
        </w:rPr>
        <w:t>)</w:t>
      </w:r>
      <w:r>
        <w:t xml:space="preserve"> </w:t>
      </w:r>
      <w:r w:rsidR="00BA4A0D" w:rsidRPr="00860F68">
        <w:rPr>
          <w:i/>
        </w:rPr>
        <w:t>Description</w:t>
      </w:r>
      <w:r w:rsidR="00BA4A0D">
        <w:t xml:space="preserve">:  </w:t>
      </w:r>
      <w:r w:rsidR="00325570" w:rsidRPr="00A76574">
        <w:t>Transfer</w:t>
      </w:r>
      <w:r w:rsidR="005C034C">
        <w:t>s one Program Manager, Employment and Training</w:t>
      </w:r>
      <w:r w:rsidR="00325570" w:rsidRPr="00A76574">
        <w:t xml:space="preserve"> position from </w:t>
      </w:r>
      <w:r w:rsidR="00325570">
        <w:t>the</w:t>
      </w:r>
      <w:r w:rsidR="00325570" w:rsidRPr="00A76574">
        <w:t xml:space="preserve"> </w:t>
      </w:r>
      <w:r w:rsidR="005C034C">
        <w:t xml:space="preserve">Governor’s Training Initiative Program, </w:t>
      </w:r>
      <w:r w:rsidR="00325570">
        <w:t xml:space="preserve">General Fund </w:t>
      </w:r>
      <w:r w:rsidR="00325570" w:rsidRPr="00A76574">
        <w:t xml:space="preserve">to the </w:t>
      </w:r>
      <w:r w:rsidR="005C034C">
        <w:t>Employee Services Activity program, Other Special Revenue Funds</w:t>
      </w:r>
      <w:r w:rsidR="00325570" w:rsidRPr="00A76574">
        <w:t>.</w:t>
      </w:r>
    </w:p>
    <w:p w:rsidR="00611203" w:rsidRDefault="00611203" w:rsidP="00325570"/>
    <w:p w:rsidR="00325570" w:rsidRDefault="00325570" w:rsidP="002B7AC3"/>
    <w:p w:rsidR="00D433EA" w:rsidRDefault="00D433EA" w:rsidP="00975526">
      <w:pPr>
        <w:tabs>
          <w:tab w:val="left" w:pos="720"/>
          <w:tab w:val="left" w:pos="1440"/>
          <w:tab w:val="left" w:pos="2160"/>
          <w:tab w:val="right" w:pos="2880"/>
          <w:tab w:val="right" w:pos="7194"/>
          <w:tab w:val="right" w:pos="9354"/>
        </w:tabs>
        <w:ind w:right="522"/>
        <w:jc w:val="both"/>
        <w:rPr>
          <w:b/>
          <w:u w:val="single"/>
        </w:rPr>
      </w:pPr>
    </w:p>
    <w:p w:rsidR="002B7AC3" w:rsidRPr="002B7AC3" w:rsidRDefault="002B7AC3" w:rsidP="00975526">
      <w:pPr>
        <w:tabs>
          <w:tab w:val="left" w:pos="720"/>
          <w:tab w:val="left" w:pos="1440"/>
          <w:tab w:val="left" w:pos="2160"/>
          <w:tab w:val="right" w:pos="2880"/>
          <w:tab w:val="right" w:pos="7194"/>
          <w:tab w:val="right" w:pos="9354"/>
        </w:tabs>
        <w:ind w:right="522"/>
        <w:jc w:val="both"/>
        <w:rPr>
          <w:b/>
          <w:u w:val="single"/>
        </w:rPr>
      </w:pPr>
      <w:r w:rsidRPr="002B7AC3">
        <w:rPr>
          <w:b/>
          <w:u w:val="single"/>
        </w:rPr>
        <w:t>All Other</w:t>
      </w:r>
    </w:p>
    <w:p w:rsidR="002B7AC3" w:rsidRDefault="002B7AC3" w:rsidP="00975526">
      <w:pPr>
        <w:tabs>
          <w:tab w:val="left" w:pos="720"/>
          <w:tab w:val="left" w:pos="1440"/>
          <w:tab w:val="left" w:pos="2160"/>
          <w:tab w:val="right" w:pos="2880"/>
          <w:tab w:val="right" w:pos="7194"/>
          <w:tab w:val="right" w:pos="9354"/>
        </w:tabs>
        <w:ind w:right="522"/>
        <w:jc w:val="both"/>
      </w:pPr>
    </w:p>
    <w:p w:rsidR="005A41D6" w:rsidRDefault="00036BD1" w:rsidP="00D05668">
      <w:pPr>
        <w:outlineLvl w:val="0"/>
      </w:pPr>
      <w:r w:rsidRPr="00036BD1">
        <w:rPr>
          <w:b/>
        </w:rPr>
        <w:t>1</w:t>
      </w:r>
      <w:r w:rsidR="009F2CF1">
        <w:rPr>
          <w:b/>
        </w:rPr>
        <w:t>3</w:t>
      </w:r>
      <w:r w:rsidRPr="00036BD1">
        <w:rPr>
          <w:b/>
        </w:rPr>
        <w:t>)</w:t>
      </w:r>
      <w:r w:rsidR="00D83A5C">
        <w:rPr>
          <w:b/>
        </w:rPr>
        <w:t xml:space="preserve"> </w:t>
      </w:r>
      <w:r>
        <w:t xml:space="preserve"> </w:t>
      </w:r>
      <w:r w:rsidR="00BA4A0D" w:rsidRPr="00860F68">
        <w:rPr>
          <w:i/>
        </w:rPr>
        <w:t>Description</w:t>
      </w:r>
      <w:r w:rsidR="00BA4A0D">
        <w:t xml:space="preserve">:  </w:t>
      </w:r>
      <w:r w:rsidR="005A41D6">
        <w:t>Provides funding for state vehicle operations due to increased fuel prices and larger fleet sizes.</w:t>
      </w:r>
    </w:p>
    <w:p w:rsidR="007B0F5E" w:rsidRDefault="007B0F5E" w:rsidP="00D05668">
      <w:pPr>
        <w:outlineLvl w:val="0"/>
      </w:pPr>
    </w:p>
    <w:p w:rsidR="00446C8C" w:rsidRDefault="00036BD1" w:rsidP="00D05668">
      <w:pPr>
        <w:outlineLvl w:val="0"/>
      </w:pPr>
      <w:r w:rsidRPr="00036BD1">
        <w:rPr>
          <w:b/>
        </w:rPr>
        <w:t>1</w:t>
      </w:r>
      <w:r w:rsidR="009F2CF1">
        <w:rPr>
          <w:b/>
        </w:rPr>
        <w:t>4</w:t>
      </w:r>
      <w:r w:rsidRPr="00036BD1">
        <w:rPr>
          <w:b/>
        </w:rPr>
        <w:t>)</w:t>
      </w:r>
      <w:r w:rsidR="00D83A5C">
        <w:rPr>
          <w:b/>
        </w:rPr>
        <w:t xml:space="preserve"> </w:t>
      </w:r>
      <w:r>
        <w:t xml:space="preserve"> </w:t>
      </w:r>
      <w:r w:rsidR="00BA4A0D" w:rsidRPr="00860F68">
        <w:rPr>
          <w:i/>
        </w:rPr>
        <w:t>Description</w:t>
      </w:r>
      <w:r w:rsidR="00BA4A0D">
        <w:t xml:space="preserve">:  </w:t>
      </w:r>
      <w:r w:rsidR="00446C8C">
        <w:t>Reduces funding by recognizing one-time savings achieved by delaying contractual computer consulting work.</w:t>
      </w:r>
    </w:p>
    <w:p w:rsidR="00446C8C" w:rsidRDefault="00446C8C" w:rsidP="00D05668">
      <w:pPr>
        <w:outlineLvl w:val="0"/>
      </w:pPr>
    </w:p>
    <w:p w:rsidR="00975526" w:rsidRDefault="00036BD1" w:rsidP="00975526">
      <w:r w:rsidRPr="00036BD1">
        <w:rPr>
          <w:b/>
        </w:rPr>
        <w:t>1</w:t>
      </w:r>
      <w:r w:rsidR="009F2CF1">
        <w:rPr>
          <w:b/>
        </w:rPr>
        <w:t>5</w:t>
      </w:r>
      <w:r w:rsidRPr="00036BD1">
        <w:rPr>
          <w:b/>
        </w:rPr>
        <w:t>)</w:t>
      </w:r>
      <w:r>
        <w:t xml:space="preserve"> </w:t>
      </w:r>
      <w:r w:rsidR="00BA4A0D" w:rsidRPr="00860F68">
        <w:rPr>
          <w:i/>
        </w:rPr>
        <w:t>Description</w:t>
      </w:r>
      <w:r w:rsidR="00BA4A0D">
        <w:t xml:space="preserve">:  </w:t>
      </w:r>
      <w:r w:rsidR="00D83A5C">
        <w:t xml:space="preserve"> </w:t>
      </w:r>
      <w:r w:rsidR="00975526">
        <w:t>Reduces f</w:t>
      </w:r>
      <w:r w:rsidR="005A41D6">
        <w:t>unding by restructuring the low-</w:t>
      </w:r>
      <w:r w:rsidR="00975526">
        <w:t>cost drugs for the elderly and disabled program to reflect a change in drug coverage for Medicare beneficiaries</w:t>
      </w:r>
      <w:r w:rsidR="00446C8C">
        <w:t xml:space="preserve">. </w:t>
      </w:r>
    </w:p>
    <w:p w:rsidR="00D83A5C" w:rsidRDefault="00D83A5C" w:rsidP="00975526"/>
    <w:p w:rsidR="00D83A5C" w:rsidRDefault="00D83A5C" w:rsidP="00975526">
      <w:r w:rsidRPr="00D83A5C">
        <w:rPr>
          <w:b/>
        </w:rPr>
        <w:t>1</w:t>
      </w:r>
      <w:r w:rsidR="009F2CF1">
        <w:rPr>
          <w:b/>
        </w:rPr>
        <w:t>6</w:t>
      </w:r>
      <w:r w:rsidRPr="00D83A5C">
        <w:rPr>
          <w:b/>
        </w:rPr>
        <w:t>)</w:t>
      </w:r>
      <w:r>
        <w:t xml:space="preserve">  </w:t>
      </w:r>
      <w:r w:rsidR="00BA4A0D" w:rsidRPr="00860F68">
        <w:rPr>
          <w:i/>
        </w:rPr>
        <w:t>Description</w:t>
      </w:r>
      <w:r w:rsidR="00BA4A0D">
        <w:t xml:space="preserve">:  </w:t>
      </w:r>
      <w:r>
        <w:t>Reduces funding to align allocations with projected available resources.</w:t>
      </w:r>
    </w:p>
    <w:p w:rsidR="007B0F5E" w:rsidRDefault="007B0F5E" w:rsidP="00975526"/>
    <w:p w:rsidR="00446C8C" w:rsidRDefault="00036BD1" w:rsidP="00446C8C">
      <w:pPr>
        <w:outlineLvl w:val="0"/>
      </w:pPr>
      <w:r w:rsidRPr="00036BD1">
        <w:rPr>
          <w:b/>
        </w:rPr>
        <w:t>1</w:t>
      </w:r>
      <w:r w:rsidR="009F2CF1">
        <w:rPr>
          <w:b/>
        </w:rPr>
        <w:t>7</w:t>
      </w:r>
      <w:r w:rsidRPr="00036BD1">
        <w:rPr>
          <w:b/>
        </w:rPr>
        <w:t>)</w:t>
      </w:r>
      <w:r>
        <w:t xml:space="preserve"> </w:t>
      </w:r>
      <w:r w:rsidR="00D83A5C">
        <w:t xml:space="preserve"> </w:t>
      </w:r>
      <w:r w:rsidR="00BA4A0D" w:rsidRPr="00860F68">
        <w:rPr>
          <w:i/>
        </w:rPr>
        <w:t>Description</w:t>
      </w:r>
      <w:r w:rsidR="00BA4A0D">
        <w:t xml:space="preserve">:  </w:t>
      </w:r>
      <w:r w:rsidR="00446C8C">
        <w:t>Adjusts funding to meet the current rates published by the Offic</w:t>
      </w:r>
      <w:r w:rsidR="00837CD2">
        <w:t xml:space="preserve">e of Information Technology for </w:t>
      </w:r>
      <w:r w:rsidR="00446C8C">
        <w:t>the replacement of desktop and laptop computers.</w:t>
      </w:r>
    </w:p>
    <w:p w:rsidR="00837CD2" w:rsidRDefault="00837CD2" w:rsidP="00446C8C">
      <w:pPr>
        <w:outlineLvl w:val="0"/>
      </w:pPr>
    </w:p>
    <w:p w:rsidR="00837CD2" w:rsidRDefault="00036BD1" w:rsidP="00446C8C">
      <w:pPr>
        <w:outlineLvl w:val="0"/>
      </w:pPr>
      <w:r w:rsidRPr="00036BD1">
        <w:rPr>
          <w:b/>
        </w:rPr>
        <w:t>1</w:t>
      </w:r>
      <w:r w:rsidR="009F2CF1">
        <w:rPr>
          <w:b/>
        </w:rPr>
        <w:t>8</w:t>
      </w:r>
      <w:r w:rsidRPr="00036BD1">
        <w:rPr>
          <w:b/>
        </w:rPr>
        <w:t>)</w:t>
      </w:r>
      <w:r>
        <w:t xml:space="preserve"> </w:t>
      </w:r>
      <w:r w:rsidR="00BA4A0D" w:rsidRPr="00860F68">
        <w:rPr>
          <w:i/>
        </w:rPr>
        <w:t>Description</w:t>
      </w:r>
      <w:r w:rsidR="00BA4A0D">
        <w:t xml:space="preserve">:  </w:t>
      </w:r>
      <w:r w:rsidR="00837CD2">
        <w:t>Transfers funding for administrative contracts from the Medical Care – Payments to Providers program to the Bureau of Medical Services program.</w:t>
      </w:r>
    </w:p>
    <w:p w:rsidR="007B0F5E" w:rsidRDefault="007B0F5E" w:rsidP="00975526"/>
    <w:p w:rsidR="004C4486" w:rsidRDefault="004C4486" w:rsidP="00975526"/>
    <w:p w:rsidR="004C4486" w:rsidRDefault="004C4486" w:rsidP="00975526">
      <w:pPr>
        <w:rPr>
          <w:b/>
          <w:u w:val="single"/>
        </w:rPr>
      </w:pPr>
      <w:r>
        <w:rPr>
          <w:b/>
          <w:u w:val="single"/>
        </w:rPr>
        <w:t>Capital Expenditures</w:t>
      </w:r>
    </w:p>
    <w:p w:rsidR="004C4486" w:rsidRDefault="004C4486" w:rsidP="00975526">
      <w:pPr>
        <w:rPr>
          <w:b/>
          <w:u w:val="single"/>
        </w:rPr>
      </w:pPr>
    </w:p>
    <w:p w:rsidR="00300D48" w:rsidRDefault="00036BD1" w:rsidP="004C4486">
      <w:r w:rsidRPr="008151BB">
        <w:rPr>
          <w:b/>
        </w:rPr>
        <w:t>1</w:t>
      </w:r>
      <w:r w:rsidR="009F2CF1">
        <w:rPr>
          <w:b/>
        </w:rPr>
        <w:t>9</w:t>
      </w:r>
      <w:r w:rsidRPr="008151BB">
        <w:rPr>
          <w:b/>
        </w:rPr>
        <w:t>)</w:t>
      </w:r>
      <w:r w:rsidR="00CE6629">
        <w:rPr>
          <w:b/>
        </w:rPr>
        <w:t xml:space="preserve"> </w:t>
      </w:r>
      <w:r>
        <w:t xml:space="preserve"> </w:t>
      </w:r>
      <w:r w:rsidR="0067032C" w:rsidRPr="0067032C">
        <w:rPr>
          <w:i/>
        </w:rPr>
        <w:t>Description:</w:t>
      </w:r>
      <w:r w:rsidR="0067032C">
        <w:t xml:space="preserve"> </w:t>
      </w:r>
      <w:r w:rsidR="00A45ED2">
        <w:t xml:space="preserve"> </w:t>
      </w:r>
      <w:r w:rsidR="00300D48" w:rsidRPr="00300D48">
        <w:t xml:space="preserve">Provides one-time funding for </w:t>
      </w:r>
      <w:r w:rsidR="00A411F8">
        <w:t xml:space="preserve">the purchase of </w:t>
      </w:r>
      <w:r w:rsidR="00596AB9">
        <w:t>one</w:t>
      </w:r>
      <w:r w:rsidR="004A40D1">
        <w:t xml:space="preserve"> additional </w:t>
      </w:r>
      <w:r w:rsidR="00A411F8">
        <w:t>autopsy table.</w:t>
      </w:r>
    </w:p>
    <w:p w:rsidR="007A6084" w:rsidRPr="00C637D6" w:rsidRDefault="007A6084" w:rsidP="004C4486">
      <w:r>
        <w:t xml:space="preserve">       </w:t>
      </w:r>
      <w:r w:rsidRPr="007A6084">
        <w:rPr>
          <w:i/>
        </w:rPr>
        <w:t>Justification:</w:t>
      </w:r>
      <w:r w:rsidR="00C637D6">
        <w:rPr>
          <w:i/>
        </w:rPr>
        <w:t xml:space="preserve"> </w:t>
      </w:r>
      <w:r w:rsidR="00A45ED2">
        <w:rPr>
          <w:i/>
        </w:rPr>
        <w:t xml:space="preserve">  </w:t>
      </w:r>
      <w:r w:rsidR="00C637D6" w:rsidRPr="00C637D6">
        <w:t xml:space="preserve">The cooler in the morgue can accommodate 6 </w:t>
      </w:r>
      <w:r w:rsidR="00A921D6">
        <w:t xml:space="preserve">autopsy </w:t>
      </w:r>
      <w:r w:rsidR="00C637D6" w:rsidRPr="00C637D6">
        <w:t xml:space="preserve">tables; the Medical Examiner's Office currently has five. </w:t>
      </w:r>
      <w:r w:rsidR="00A921D6">
        <w:t xml:space="preserve">Adding an additional </w:t>
      </w:r>
      <w:r w:rsidR="00C637D6" w:rsidRPr="00C637D6">
        <w:t>table increases capacity by 20%</w:t>
      </w:r>
      <w:r w:rsidR="00C637D6">
        <w:t xml:space="preserve"> and reduces delays due to lack of autopsy space.</w:t>
      </w:r>
    </w:p>
    <w:p w:rsidR="00300D48" w:rsidRDefault="00300D48" w:rsidP="004C4486"/>
    <w:p w:rsidR="0067032C" w:rsidRDefault="00300D48" w:rsidP="004C4486">
      <w:r w:rsidRPr="000A26D9">
        <w:rPr>
          <w:b/>
        </w:rPr>
        <w:lastRenderedPageBreak/>
        <w:t xml:space="preserve"> </w:t>
      </w:r>
      <w:r w:rsidR="0067032C" w:rsidRPr="000A26D9">
        <w:rPr>
          <w:b/>
        </w:rPr>
        <w:t>20)</w:t>
      </w:r>
      <w:r w:rsidR="0067032C">
        <w:t xml:space="preserve">  </w:t>
      </w:r>
      <w:r w:rsidR="0067032C" w:rsidRPr="000A26D9">
        <w:rPr>
          <w:i/>
        </w:rPr>
        <w:t>Description</w:t>
      </w:r>
      <w:r w:rsidR="0067032C">
        <w:t xml:space="preserve">: Transfers All Other to Capital to provide one-time funding for the replacement of </w:t>
      </w:r>
      <w:r w:rsidR="00C11B6B">
        <w:t>one dump truck used for the maintenance of state-owned grounds.</w:t>
      </w:r>
    </w:p>
    <w:p w:rsidR="00623F5D" w:rsidRPr="00192FD5" w:rsidRDefault="00623F5D" w:rsidP="00623F5D">
      <w:r>
        <w:rPr>
          <w:i/>
        </w:rPr>
        <w:t xml:space="preserve">       </w:t>
      </w:r>
      <w:r w:rsidRPr="007A6084">
        <w:rPr>
          <w:i/>
        </w:rPr>
        <w:t>Justification:</w:t>
      </w:r>
      <w:r>
        <w:rPr>
          <w:i/>
        </w:rPr>
        <w:t xml:space="preserve"> </w:t>
      </w:r>
      <w:r w:rsidR="00192FD5">
        <w:t xml:space="preserve"> The current dump truck is at the end of its life cycle.  Annual costs to maintain the truck are more than the value of the truck and the frequent breakdowns cause delays in scheduled grounds work.</w:t>
      </w:r>
    </w:p>
    <w:p w:rsidR="00BC5A58" w:rsidRDefault="00BC5A58" w:rsidP="00D433EA"/>
    <w:p w:rsidR="00F31414" w:rsidRDefault="00011336" w:rsidP="00F31414">
      <w:pPr>
        <w:rPr>
          <w:b/>
          <w:u w:val="single"/>
        </w:rPr>
      </w:pPr>
      <w:r w:rsidRPr="00011336">
        <w:rPr>
          <w:b/>
          <w:u w:val="single"/>
        </w:rPr>
        <w:t>Revenue</w:t>
      </w:r>
    </w:p>
    <w:p w:rsidR="00011336" w:rsidRPr="00011336" w:rsidRDefault="00011336" w:rsidP="00F31414">
      <w:pPr>
        <w:rPr>
          <w:b/>
          <w:u w:val="single"/>
        </w:rPr>
      </w:pPr>
    </w:p>
    <w:p w:rsidR="00011336" w:rsidRDefault="009F2CF1" w:rsidP="00F31414">
      <w:r>
        <w:rPr>
          <w:b/>
        </w:rPr>
        <w:t>2</w:t>
      </w:r>
      <w:r w:rsidR="000A26D9">
        <w:rPr>
          <w:b/>
        </w:rPr>
        <w:t>1</w:t>
      </w:r>
      <w:r w:rsidR="00011336" w:rsidRPr="00011336">
        <w:rPr>
          <w:b/>
        </w:rPr>
        <w:t>)</w:t>
      </w:r>
      <w:r w:rsidR="00011336">
        <w:t xml:space="preserve">  </w:t>
      </w:r>
      <w:r w:rsidR="00BA4A0D" w:rsidRPr="00860F68">
        <w:rPr>
          <w:i/>
        </w:rPr>
        <w:t>Description</w:t>
      </w:r>
      <w:r w:rsidR="00BA4A0D">
        <w:t xml:space="preserve">:  </w:t>
      </w:r>
      <w:r w:rsidR="00011336">
        <w:t>Adjusts revenue and transfers to reflect projected receipts.</w:t>
      </w:r>
    </w:p>
    <w:p w:rsidR="00466F8A" w:rsidRDefault="00466F8A" w:rsidP="00F31414"/>
    <w:p w:rsidR="00466F8A" w:rsidRDefault="00466F8A" w:rsidP="00F31414">
      <w:r w:rsidRPr="00466F8A">
        <w:rPr>
          <w:b/>
        </w:rPr>
        <w:t>2</w:t>
      </w:r>
      <w:r w:rsidR="000A26D9">
        <w:rPr>
          <w:b/>
        </w:rPr>
        <w:t>2</w:t>
      </w:r>
      <w:r w:rsidRPr="00466F8A">
        <w:rPr>
          <w:b/>
        </w:rPr>
        <w:t>)</w:t>
      </w:r>
      <w:r>
        <w:t xml:space="preserve">  </w:t>
      </w:r>
      <w:r w:rsidR="00BA4A0D" w:rsidRPr="00860F68">
        <w:rPr>
          <w:i/>
        </w:rPr>
        <w:t>Description</w:t>
      </w:r>
      <w:r w:rsidR="00BA4A0D">
        <w:t xml:space="preserve">:  </w:t>
      </w:r>
      <w:r>
        <w:t>Reallocates revenue to reflect budgeted sales and transfers.</w:t>
      </w:r>
    </w:p>
    <w:p w:rsidR="00283AC0" w:rsidRDefault="00283AC0" w:rsidP="00F31414"/>
    <w:p w:rsidR="009B28B2" w:rsidRDefault="00283AC0" w:rsidP="00F31414">
      <w:r w:rsidRPr="00283AC0">
        <w:rPr>
          <w:b/>
        </w:rPr>
        <w:t>2</w:t>
      </w:r>
      <w:r w:rsidR="000A26D9">
        <w:rPr>
          <w:b/>
        </w:rPr>
        <w:t>3</w:t>
      </w:r>
      <w:r w:rsidRPr="00283AC0">
        <w:rPr>
          <w:b/>
        </w:rPr>
        <w:t>)</w:t>
      </w:r>
      <w:r>
        <w:t xml:space="preserve">  </w:t>
      </w:r>
      <w:r w:rsidR="00BA4A0D" w:rsidRPr="00860F68">
        <w:rPr>
          <w:i/>
        </w:rPr>
        <w:t>Description</w:t>
      </w:r>
      <w:r w:rsidR="00BA4A0D">
        <w:t xml:space="preserve">:  </w:t>
      </w:r>
      <w:r w:rsidRPr="00283AC0">
        <w:t>Recognizes an increase to General Fund undedicated revenue due to the phase out and elimination of the Business Equipment Tax Reimbursement (BETR) program.</w:t>
      </w:r>
    </w:p>
    <w:p w:rsidR="00BA4A0D" w:rsidRDefault="00BA4A0D" w:rsidP="00F31414"/>
    <w:p w:rsidR="00BA4A0D" w:rsidRDefault="00BA4A0D" w:rsidP="00F31414"/>
    <w:p w:rsidR="009B28B2" w:rsidRDefault="009B28B2" w:rsidP="00F31414"/>
    <w:p w:rsidR="00F31414" w:rsidRDefault="009B28B2" w:rsidP="00F31414">
      <w:r>
        <w:t>Additional guidance can be found at</w:t>
      </w:r>
      <w:r w:rsidR="00F31414">
        <w:t xml:space="preserve">: </w:t>
      </w:r>
      <w:hyperlink r:id="rId9" w:history="1">
        <w:r w:rsidR="00F31414" w:rsidRPr="00C777BC">
          <w:rPr>
            <w:rStyle w:val="Hyperlink"/>
          </w:rPr>
          <w:t>http://maine.gov/legis/ros/manual/Draftman2009.pdf</w:t>
        </w:r>
      </w:hyperlink>
    </w:p>
    <w:p w:rsidR="00F31414" w:rsidRDefault="00F31414" w:rsidP="00D433EA"/>
    <w:sectPr w:rsidR="00F31414" w:rsidSect="006A3171">
      <w:headerReference w:type="default" r:id="rId10"/>
      <w:footerReference w:type="default" r:id="rId11"/>
      <w:pgSz w:w="12240" w:h="15840" w:code="1"/>
      <w:pgMar w:top="144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7E" w:rsidRDefault="0064247E">
      <w:r>
        <w:separator/>
      </w:r>
    </w:p>
  </w:endnote>
  <w:endnote w:type="continuationSeparator" w:id="0">
    <w:p w:rsidR="0064247E" w:rsidRDefault="0064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581885"/>
      <w:docPartObj>
        <w:docPartGallery w:val="Page Numbers (Bottom of Page)"/>
        <w:docPartUnique/>
      </w:docPartObj>
    </w:sdtPr>
    <w:sdtEndPr>
      <w:rPr>
        <w:noProof/>
      </w:rPr>
    </w:sdtEndPr>
    <w:sdtContent>
      <w:p w:rsidR="00CE1A48" w:rsidRDefault="00CE1A48">
        <w:pPr>
          <w:pStyle w:val="Footer"/>
          <w:jc w:val="right"/>
        </w:pPr>
        <w:r>
          <w:fldChar w:fldCharType="begin"/>
        </w:r>
        <w:r>
          <w:instrText xml:space="preserve"> PAGE   \* MERGEFORMAT </w:instrText>
        </w:r>
        <w:r>
          <w:fldChar w:fldCharType="separate"/>
        </w:r>
        <w:r w:rsidR="009D4B78">
          <w:rPr>
            <w:noProof/>
          </w:rPr>
          <w:t>3</w:t>
        </w:r>
        <w:r>
          <w:rPr>
            <w:noProof/>
          </w:rPr>
          <w:fldChar w:fldCharType="end"/>
        </w:r>
      </w:p>
    </w:sdtContent>
  </w:sdt>
  <w:p w:rsidR="00F71725" w:rsidRDefault="00F71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7E" w:rsidRDefault="0064247E">
      <w:r>
        <w:separator/>
      </w:r>
    </w:p>
  </w:footnote>
  <w:footnote w:type="continuationSeparator" w:id="0">
    <w:p w:rsidR="0064247E" w:rsidRDefault="00642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25" w:rsidRDefault="00F71725" w:rsidP="00207949">
    <w:pPr>
      <w:pStyle w:val="Header"/>
      <w:jc w:val="center"/>
      <w:rPr>
        <w:b/>
        <w:sz w:val="32"/>
        <w:szCs w:val="32"/>
      </w:rPr>
    </w:pPr>
    <w:r>
      <w:rPr>
        <w:b/>
        <w:sz w:val="32"/>
        <w:szCs w:val="32"/>
      </w:rPr>
      <w:t>Guidelines for W</w:t>
    </w:r>
    <w:r w:rsidRPr="002C5C1E">
      <w:rPr>
        <w:b/>
        <w:sz w:val="32"/>
        <w:szCs w:val="32"/>
      </w:rPr>
      <w:t xml:space="preserve">riting </w:t>
    </w:r>
    <w:r>
      <w:rPr>
        <w:b/>
        <w:sz w:val="32"/>
        <w:szCs w:val="32"/>
      </w:rPr>
      <w:t>Budget Bill Initiatives</w:t>
    </w:r>
  </w:p>
  <w:p w:rsidR="00F71725" w:rsidRPr="002C5C1E" w:rsidRDefault="00F71725" w:rsidP="00207949">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6BA92C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718EE170"/>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1D5F79C3"/>
    <w:multiLevelType w:val="hybridMultilevel"/>
    <w:tmpl w:val="5F9C59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567345"/>
    <w:multiLevelType w:val="hybridMultilevel"/>
    <w:tmpl w:val="B9E6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70056A"/>
    <w:multiLevelType w:val="hybridMultilevel"/>
    <w:tmpl w:val="C66C9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CBD288E"/>
    <w:multiLevelType w:val="hybridMultilevel"/>
    <w:tmpl w:val="1CD4449C"/>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5F"/>
    <w:rsid w:val="00000EE5"/>
    <w:rsid w:val="000053DB"/>
    <w:rsid w:val="00011336"/>
    <w:rsid w:val="00013C42"/>
    <w:rsid w:val="00015EED"/>
    <w:rsid w:val="00027D4A"/>
    <w:rsid w:val="000315D5"/>
    <w:rsid w:val="00033578"/>
    <w:rsid w:val="00036BD1"/>
    <w:rsid w:val="00050763"/>
    <w:rsid w:val="000608A0"/>
    <w:rsid w:val="00084D67"/>
    <w:rsid w:val="000A26D9"/>
    <w:rsid w:val="000A4F4D"/>
    <w:rsid w:val="000A58A6"/>
    <w:rsid w:val="000B29F7"/>
    <w:rsid w:val="000B448D"/>
    <w:rsid w:val="000B44A3"/>
    <w:rsid w:val="000B5ACE"/>
    <w:rsid w:val="000C0261"/>
    <w:rsid w:val="000C5826"/>
    <w:rsid w:val="000C7844"/>
    <w:rsid w:val="000D03B9"/>
    <w:rsid w:val="000D3D39"/>
    <w:rsid w:val="000E377D"/>
    <w:rsid w:val="000E5083"/>
    <w:rsid w:val="000E5A23"/>
    <w:rsid w:val="000F7995"/>
    <w:rsid w:val="0011194C"/>
    <w:rsid w:val="001310A7"/>
    <w:rsid w:val="00132AD8"/>
    <w:rsid w:val="00134590"/>
    <w:rsid w:val="00134A2C"/>
    <w:rsid w:val="00146949"/>
    <w:rsid w:val="00151BDF"/>
    <w:rsid w:val="001538B1"/>
    <w:rsid w:val="001632A0"/>
    <w:rsid w:val="00174EB7"/>
    <w:rsid w:val="00184C79"/>
    <w:rsid w:val="00192FD5"/>
    <w:rsid w:val="001A66F6"/>
    <w:rsid w:val="001B01F9"/>
    <w:rsid w:val="001B61AA"/>
    <w:rsid w:val="001B7CB8"/>
    <w:rsid w:val="001C366B"/>
    <w:rsid w:val="001D6EE0"/>
    <w:rsid w:val="001E1C7B"/>
    <w:rsid w:val="00203559"/>
    <w:rsid w:val="00207949"/>
    <w:rsid w:val="0021533E"/>
    <w:rsid w:val="00226EC9"/>
    <w:rsid w:val="002329D8"/>
    <w:rsid w:val="00245E3F"/>
    <w:rsid w:val="0025633D"/>
    <w:rsid w:val="00260E9F"/>
    <w:rsid w:val="0026342D"/>
    <w:rsid w:val="00281A0C"/>
    <w:rsid w:val="00283AC0"/>
    <w:rsid w:val="0028524B"/>
    <w:rsid w:val="00292E0F"/>
    <w:rsid w:val="0029364F"/>
    <w:rsid w:val="00294CF6"/>
    <w:rsid w:val="002A2CC5"/>
    <w:rsid w:val="002A37F9"/>
    <w:rsid w:val="002B0D44"/>
    <w:rsid w:val="002B3D04"/>
    <w:rsid w:val="002B56BF"/>
    <w:rsid w:val="002B7AC3"/>
    <w:rsid w:val="002C0597"/>
    <w:rsid w:val="002C5C1E"/>
    <w:rsid w:val="002E6CD9"/>
    <w:rsid w:val="002F3B42"/>
    <w:rsid w:val="00300D48"/>
    <w:rsid w:val="003047D6"/>
    <w:rsid w:val="00307D8B"/>
    <w:rsid w:val="0031460F"/>
    <w:rsid w:val="003147AA"/>
    <w:rsid w:val="00315A97"/>
    <w:rsid w:val="00325570"/>
    <w:rsid w:val="00325AD7"/>
    <w:rsid w:val="00331086"/>
    <w:rsid w:val="00331647"/>
    <w:rsid w:val="00347B56"/>
    <w:rsid w:val="00355933"/>
    <w:rsid w:val="00370FB8"/>
    <w:rsid w:val="00375438"/>
    <w:rsid w:val="00376550"/>
    <w:rsid w:val="0038164D"/>
    <w:rsid w:val="003854EE"/>
    <w:rsid w:val="003B0091"/>
    <w:rsid w:val="003B1E8F"/>
    <w:rsid w:val="003C2106"/>
    <w:rsid w:val="003D061A"/>
    <w:rsid w:val="003F2CCF"/>
    <w:rsid w:val="003F57EE"/>
    <w:rsid w:val="003F74DE"/>
    <w:rsid w:val="00403BE3"/>
    <w:rsid w:val="00405066"/>
    <w:rsid w:val="00405D79"/>
    <w:rsid w:val="00410F2C"/>
    <w:rsid w:val="00435268"/>
    <w:rsid w:val="00446C8C"/>
    <w:rsid w:val="004520DA"/>
    <w:rsid w:val="004535F6"/>
    <w:rsid w:val="004577B9"/>
    <w:rsid w:val="004603B0"/>
    <w:rsid w:val="00466F8A"/>
    <w:rsid w:val="00471BE1"/>
    <w:rsid w:val="00475A39"/>
    <w:rsid w:val="00487CC4"/>
    <w:rsid w:val="004A28EF"/>
    <w:rsid w:val="004A40D1"/>
    <w:rsid w:val="004A5BCA"/>
    <w:rsid w:val="004B2A5D"/>
    <w:rsid w:val="004B717C"/>
    <w:rsid w:val="004C3B2A"/>
    <w:rsid w:val="004C4486"/>
    <w:rsid w:val="004D05F7"/>
    <w:rsid w:val="004D404E"/>
    <w:rsid w:val="004E0CEB"/>
    <w:rsid w:val="004E4F4D"/>
    <w:rsid w:val="005010C0"/>
    <w:rsid w:val="00502ADA"/>
    <w:rsid w:val="005062E6"/>
    <w:rsid w:val="00507E3E"/>
    <w:rsid w:val="00512B05"/>
    <w:rsid w:val="005147D5"/>
    <w:rsid w:val="00530E36"/>
    <w:rsid w:val="00532191"/>
    <w:rsid w:val="005325F4"/>
    <w:rsid w:val="00537E85"/>
    <w:rsid w:val="005408B7"/>
    <w:rsid w:val="00542B45"/>
    <w:rsid w:val="00547850"/>
    <w:rsid w:val="00554727"/>
    <w:rsid w:val="0055498D"/>
    <w:rsid w:val="00571CE6"/>
    <w:rsid w:val="00584C0C"/>
    <w:rsid w:val="00596AB9"/>
    <w:rsid w:val="005A1BEC"/>
    <w:rsid w:val="005A41D6"/>
    <w:rsid w:val="005A6AEB"/>
    <w:rsid w:val="005B0D69"/>
    <w:rsid w:val="005B780D"/>
    <w:rsid w:val="005C034C"/>
    <w:rsid w:val="005C1662"/>
    <w:rsid w:val="005D00ED"/>
    <w:rsid w:val="005D11EA"/>
    <w:rsid w:val="005E6E65"/>
    <w:rsid w:val="005F2A02"/>
    <w:rsid w:val="00611203"/>
    <w:rsid w:val="00615E00"/>
    <w:rsid w:val="00620833"/>
    <w:rsid w:val="006231A5"/>
    <w:rsid w:val="00623F5D"/>
    <w:rsid w:val="00624D26"/>
    <w:rsid w:val="00633739"/>
    <w:rsid w:val="006365E7"/>
    <w:rsid w:val="0064247E"/>
    <w:rsid w:val="0064790C"/>
    <w:rsid w:val="0065136A"/>
    <w:rsid w:val="00657098"/>
    <w:rsid w:val="0067032C"/>
    <w:rsid w:val="006711DA"/>
    <w:rsid w:val="00672667"/>
    <w:rsid w:val="006A3171"/>
    <w:rsid w:val="006A6B69"/>
    <w:rsid w:val="006A7051"/>
    <w:rsid w:val="006B3C17"/>
    <w:rsid w:val="006C2455"/>
    <w:rsid w:val="006D1094"/>
    <w:rsid w:val="006D308B"/>
    <w:rsid w:val="006D5BCF"/>
    <w:rsid w:val="006E0EBC"/>
    <w:rsid w:val="006E17A2"/>
    <w:rsid w:val="006F45A7"/>
    <w:rsid w:val="006F6644"/>
    <w:rsid w:val="00702389"/>
    <w:rsid w:val="007055E7"/>
    <w:rsid w:val="007274A6"/>
    <w:rsid w:val="007343EF"/>
    <w:rsid w:val="00743494"/>
    <w:rsid w:val="00743662"/>
    <w:rsid w:val="0074387E"/>
    <w:rsid w:val="007457E1"/>
    <w:rsid w:val="0074759A"/>
    <w:rsid w:val="00762032"/>
    <w:rsid w:val="0077450B"/>
    <w:rsid w:val="00775332"/>
    <w:rsid w:val="0078377E"/>
    <w:rsid w:val="00784D5B"/>
    <w:rsid w:val="00791295"/>
    <w:rsid w:val="007942C7"/>
    <w:rsid w:val="00795AA6"/>
    <w:rsid w:val="00797DAA"/>
    <w:rsid w:val="007A0E3B"/>
    <w:rsid w:val="007A17BD"/>
    <w:rsid w:val="007A6084"/>
    <w:rsid w:val="007A6184"/>
    <w:rsid w:val="007B0F5E"/>
    <w:rsid w:val="007D160B"/>
    <w:rsid w:val="007D343A"/>
    <w:rsid w:val="007D5F79"/>
    <w:rsid w:val="007E216B"/>
    <w:rsid w:val="00804C8A"/>
    <w:rsid w:val="008151BB"/>
    <w:rsid w:val="008241F0"/>
    <w:rsid w:val="008247F2"/>
    <w:rsid w:val="00827FF4"/>
    <w:rsid w:val="00837CD2"/>
    <w:rsid w:val="0084277F"/>
    <w:rsid w:val="00857BB8"/>
    <w:rsid w:val="00860F68"/>
    <w:rsid w:val="0089206F"/>
    <w:rsid w:val="008A2644"/>
    <w:rsid w:val="008B276A"/>
    <w:rsid w:val="008B3526"/>
    <w:rsid w:val="008B6907"/>
    <w:rsid w:val="008D0E14"/>
    <w:rsid w:val="008F0487"/>
    <w:rsid w:val="008F085B"/>
    <w:rsid w:val="008F7A78"/>
    <w:rsid w:val="00900586"/>
    <w:rsid w:val="00905E76"/>
    <w:rsid w:val="009077AB"/>
    <w:rsid w:val="00921143"/>
    <w:rsid w:val="00925F4E"/>
    <w:rsid w:val="00960ED7"/>
    <w:rsid w:val="00975526"/>
    <w:rsid w:val="00977661"/>
    <w:rsid w:val="0098342B"/>
    <w:rsid w:val="00996226"/>
    <w:rsid w:val="009B168D"/>
    <w:rsid w:val="009B28B2"/>
    <w:rsid w:val="009B32FD"/>
    <w:rsid w:val="009B4345"/>
    <w:rsid w:val="009C54E3"/>
    <w:rsid w:val="009C7662"/>
    <w:rsid w:val="009D4B78"/>
    <w:rsid w:val="009F2CF1"/>
    <w:rsid w:val="009F5EF1"/>
    <w:rsid w:val="00A12507"/>
    <w:rsid w:val="00A161B2"/>
    <w:rsid w:val="00A175A5"/>
    <w:rsid w:val="00A362EE"/>
    <w:rsid w:val="00A40778"/>
    <w:rsid w:val="00A40CBA"/>
    <w:rsid w:val="00A411F8"/>
    <w:rsid w:val="00A419A8"/>
    <w:rsid w:val="00A43A49"/>
    <w:rsid w:val="00A45ED2"/>
    <w:rsid w:val="00A50947"/>
    <w:rsid w:val="00A55F35"/>
    <w:rsid w:val="00A6115A"/>
    <w:rsid w:val="00A650DA"/>
    <w:rsid w:val="00A70E7B"/>
    <w:rsid w:val="00A84559"/>
    <w:rsid w:val="00A912DC"/>
    <w:rsid w:val="00A921D6"/>
    <w:rsid w:val="00AB70C0"/>
    <w:rsid w:val="00AC227D"/>
    <w:rsid w:val="00AC53A0"/>
    <w:rsid w:val="00AD060B"/>
    <w:rsid w:val="00AD17DF"/>
    <w:rsid w:val="00AD309B"/>
    <w:rsid w:val="00AD4E83"/>
    <w:rsid w:val="00AD7EB1"/>
    <w:rsid w:val="00AE7E99"/>
    <w:rsid w:val="00AF4F9C"/>
    <w:rsid w:val="00AF5A25"/>
    <w:rsid w:val="00B2016B"/>
    <w:rsid w:val="00B263EB"/>
    <w:rsid w:val="00B30097"/>
    <w:rsid w:val="00B31750"/>
    <w:rsid w:val="00B36332"/>
    <w:rsid w:val="00B378DD"/>
    <w:rsid w:val="00B46F0A"/>
    <w:rsid w:val="00B53230"/>
    <w:rsid w:val="00B75DCE"/>
    <w:rsid w:val="00B7645F"/>
    <w:rsid w:val="00BA4252"/>
    <w:rsid w:val="00BA4A0D"/>
    <w:rsid w:val="00BB657C"/>
    <w:rsid w:val="00BC5A58"/>
    <w:rsid w:val="00BC7125"/>
    <w:rsid w:val="00BD259C"/>
    <w:rsid w:val="00BD3AC4"/>
    <w:rsid w:val="00BD70F4"/>
    <w:rsid w:val="00BE38CC"/>
    <w:rsid w:val="00BE4149"/>
    <w:rsid w:val="00BF2CBC"/>
    <w:rsid w:val="00BF3BD6"/>
    <w:rsid w:val="00C0252A"/>
    <w:rsid w:val="00C11B6B"/>
    <w:rsid w:val="00C21B3E"/>
    <w:rsid w:val="00C26124"/>
    <w:rsid w:val="00C310A7"/>
    <w:rsid w:val="00C63400"/>
    <w:rsid w:val="00C637D6"/>
    <w:rsid w:val="00C67215"/>
    <w:rsid w:val="00C76506"/>
    <w:rsid w:val="00C76B9C"/>
    <w:rsid w:val="00C80A55"/>
    <w:rsid w:val="00C833C0"/>
    <w:rsid w:val="00C87530"/>
    <w:rsid w:val="00C90DF8"/>
    <w:rsid w:val="00CA733C"/>
    <w:rsid w:val="00CB5B10"/>
    <w:rsid w:val="00CC065F"/>
    <w:rsid w:val="00CC7D5D"/>
    <w:rsid w:val="00CD1F59"/>
    <w:rsid w:val="00CD41E4"/>
    <w:rsid w:val="00CE1A48"/>
    <w:rsid w:val="00CE6629"/>
    <w:rsid w:val="00CE73E9"/>
    <w:rsid w:val="00CF1D29"/>
    <w:rsid w:val="00CF7E13"/>
    <w:rsid w:val="00D02DC6"/>
    <w:rsid w:val="00D05668"/>
    <w:rsid w:val="00D10463"/>
    <w:rsid w:val="00D22E0F"/>
    <w:rsid w:val="00D30A3B"/>
    <w:rsid w:val="00D4000D"/>
    <w:rsid w:val="00D433EA"/>
    <w:rsid w:val="00D44788"/>
    <w:rsid w:val="00D5145C"/>
    <w:rsid w:val="00D53165"/>
    <w:rsid w:val="00D55C1F"/>
    <w:rsid w:val="00D57475"/>
    <w:rsid w:val="00D642CC"/>
    <w:rsid w:val="00D76B52"/>
    <w:rsid w:val="00D81EE6"/>
    <w:rsid w:val="00D83A5C"/>
    <w:rsid w:val="00DA0985"/>
    <w:rsid w:val="00DA5F19"/>
    <w:rsid w:val="00DB7750"/>
    <w:rsid w:val="00DC297A"/>
    <w:rsid w:val="00DD4ACE"/>
    <w:rsid w:val="00DF284D"/>
    <w:rsid w:val="00E11A98"/>
    <w:rsid w:val="00E13785"/>
    <w:rsid w:val="00E17E89"/>
    <w:rsid w:val="00E201FD"/>
    <w:rsid w:val="00E21447"/>
    <w:rsid w:val="00E2188A"/>
    <w:rsid w:val="00E46069"/>
    <w:rsid w:val="00E479BB"/>
    <w:rsid w:val="00E51B31"/>
    <w:rsid w:val="00E61E8F"/>
    <w:rsid w:val="00E70640"/>
    <w:rsid w:val="00E714D9"/>
    <w:rsid w:val="00E870DA"/>
    <w:rsid w:val="00EB44C6"/>
    <w:rsid w:val="00EC4529"/>
    <w:rsid w:val="00EC7FAF"/>
    <w:rsid w:val="00ED6477"/>
    <w:rsid w:val="00EE18C7"/>
    <w:rsid w:val="00EF4979"/>
    <w:rsid w:val="00EF4E48"/>
    <w:rsid w:val="00F00621"/>
    <w:rsid w:val="00F2472F"/>
    <w:rsid w:val="00F30F00"/>
    <w:rsid w:val="00F31414"/>
    <w:rsid w:val="00F32617"/>
    <w:rsid w:val="00F3410E"/>
    <w:rsid w:val="00F41601"/>
    <w:rsid w:val="00F4526F"/>
    <w:rsid w:val="00F51D76"/>
    <w:rsid w:val="00F71725"/>
    <w:rsid w:val="00FA2497"/>
    <w:rsid w:val="00FB33D4"/>
    <w:rsid w:val="00FB4E16"/>
    <w:rsid w:val="00FB7DCD"/>
    <w:rsid w:val="00FC5D6D"/>
    <w:rsid w:val="00FD275E"/>
    <w:rsid w:val="00FD7ED8"/>
    <w:rsid w:val="00FE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1194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C1E"/>
    <w:pPr>
      <w:tabs>
        <w:tab w:val="center" w:pos="4320"/>
        <w:tab w:val="right" w:pos="8640"/>
      </w:tabs>
    </w:pPr>
  </w:style>
  <w:style w:type="paragraph" w:styleId="Footer">
    <w:name w:val="footer"/>
    <w:basedOn w:val="Normal"/>
    <w:link w:val="FooterChar"/>
    <w:uiPriority w:val="99"/>
    <w:rsid w:val="002C5C1E"/>
    <w:pPr>
      <w:tabs>
        <w:tab w:val="center" w:pos="4320"/>
        <w:tab w:val="right" w:pos="8640"/>
      </w:tabs>
    </w:pPr>
  </w:style>
  <w:style w:type="paragraph" w:styleId="DocumentMap">
    <w:name w:val="Document Map"/>
    <w:basedOn w:val="Normal"/>
    <w:semiHidden/>
    <w:rsid w:val="00D05668"/>
    <w:pPr>
      <w:shd w:val="clear" w:color="auto" w:fill="000080"/>
    </w:pPr>
    <w:rPr>
      <w:rFonts w:ascii="Tahoma" w:hAnsi="Tahoma" w:cs="Tahoma"/>
    </w:rPr>
  </w:style>
  <w:style w:type="paragraph" w:styleId="BalloonText">
    <w:name w:val="Balloon Text"/>
    <w:basedOn w:val="Normal"/>
    <w:semiHidden/>
    <w:rsid w:val="00784D5B"/>
    <w:rPr>
      <w:rFonts w:ascii="Tahoma" w:hAnsi="Tahoma" w:cs="Tahoma"/>
      <w:sz w:val="16"/>
      <w:szCs w:val="16"/>
    </w:rPr>
  </w:style>
  <w:style w:type="paragraph" w:styleId="ListBullet2">
    <w:name w:val="List Bullet 2"/>
    <w:basedOn w:val="Normal"/>
    <w:rsid w:val="0011194C"/>
    <w:pPr>
      <w:numPr>
        <w:numId w:val="5"/>
      </w:numPr>
    </w:pPr>
  </w:style>
  <w:style w:type="paragraph" w:styleId="ListBullet3">
    <w:name w:val="List Bullet 3"/>
    <w:basedOn w:val="Normal"/>
    <w:rsid w:val="0011194C"/>
    <w:pPr>
      <w:numPr>
        <w:numId w:val="6"/>
      </w:numPr>
    </w:pPr>
  </w:style>
  <w:style w:type="paragraph" w:styleId="BodyText">
    <w:name w:val="Body Text"/>
    <w:basedOn w:val="Normal"/>
    <w:rsid w:val="0011194C"/>
    <w:pPr>
      <w:spacing w:after="120"/>
    </w:pPr>
  </w:style>
  <w:style w:type="paragraph" w:styleId="BodyTextIndent">
    <w:name w:val="Body Text Indent"/>
    <w:basedOn w:val="Normal"/>
    <w:rsid w:val="0011194C"/>
    <w:pPr>
      <w:spacing w:after="120"/>
      <w:ind w:left="360"/>
    </w:pPr>
  </w:style>
  <w:style w:type="paragraph" w:styleId="BodyTextFirstIndent2">
    <w:name w:val="Body Text First Indent 2"/>
    <w:basedOn w:val="BodyTextIndent"/>
    <w:rsid w:val="0011194C"/>
    <w:pPr>
      <w:ind w:firstLine="210"/>
    </w:pPr>
  </w:style>
  <w:style w:type="character" w:styleId="Hyperlink">
    <w:name w:val="Hyperlink"/>
    <w:rsid w:val="00C310A7"/>
    <w:rPr>
      <w:color w:val="0000FF"/>
      <w:u w:val="single"/>
    </w:rPr>
  </w:style>
  <w:style w:type="character" w:styleId="FollowedHyperlink">
    <w:name w:val="FollowedHyperlink"/>
    <w:rsid w:val="00B263EB"/>
    <w:rPr>
      <w:color w:val="800080"/>
      <w:u w:val="single"/>
    </w:rPr>
  </w:style>
  <w:style w:type="paragraph" w:styleId="ListParagraph">
    <w:name w:val="List Paragraph"/>
    <w:basedOn w:val="Normal"/>
    <w:uiPriority w:val="34"/>
    <w:qFormat/>
    <w:rsid w:val="00184C79"/>
    <w:pPr>
      <w:ind w:left="720"/>
      <w:contextualSpacing/>
    </w:pPr>
  </w:style>
  <w:style w:type="character" w:customStyle="1" w:styleId="Heading1Char">
    <w:name w:val="Heading 1 Char"/>
    <w:basedOn w:val="DefaultParagraphFont"/>
    <w:link w:val="Heading1"/>
    <w:uiPriority w:val="9"/>
    <w:rsid w:val="00281A0C"/>
    <w:rPr>
      <w:rFonts w:ascii="Arial" w:hAnsi="Arial" w:cs="Arial"/>
      <w:b/>
      <w:bCs/>
      <w:kern w:val="32"/>
      <w:sz w:val="32"/>
      <w:szCs w:val="32"/>
    </w:rPr>
  </w:style>
  <w:style w:type="character" w:customStyle="1" w:styleId="FooterChar">
    <w:name w:val="Footer Char"/>
    <w:basedOn w:val="DefaultParagraphFont"/>
    <w:link w:val="Footer"/>
    <w:uiPriority w:val="99"/>
    <w:rsid w:val="00CE1A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1194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C1E"/>
    <w:pPr>
      <w:tabs>
        <w:tab w:val="center" w:pos="4320"/>
        <w:tab w:val="right" w:pos="8640"/>
      </w:tabs>
    </w:pPr>
  </w:style>
  <w:style w:type="paragraph" w:styleId="Footer">
    <w:name w:val="footer"/>
    <w:basedOn w:val="Normal"/>
    <w:link w:val="FooterChar"/>
    <w:uiPriority w:val="99"/>
    <w:rsid w:val="002C5C1E"/>
    <w:pPr>
      <w:tabs>
        <w:tab w:val="center" w:pos="4320"/>
        <w:tab w:val="right" w:pos="8640"/>
      </w:tabs>
    </w:pPr>
  </w:style>
  <w:style w:type="paragraph" w:styleId="DocumentMap">
    <w:name w:val="Document Map"/>
    <w:basedOn w:val="Normal"/>
    <w:semiHidden/>
    <w:rsid w:val="00D05668"/>
    <w:pPr>
      <w:shd w:val="clear" w:color="auto" w:fill="000080"/>
    </w:pPr>
    <w:rPr>
      <w:rFonts w:ascii="Tahoma" w:hAnsi="Tahoma" w:cs="Tahoma"/>
    </w:rPr>
  </w:style>
  <w:style w:type="paragraph" w:styleId="BalloonText">
    <w:name w:val="Balloon Text"/>
    <w:basedOn w:val="Normal"/>
    <w:semiHidden/>
    <w:rsid w:val="00784D5B"/>
    <w:rPr>
      <w:rFonts w:ascii="Tahoma" w:hAnsi="Tahoma" w:cs="Tahoma"/>
      <w:sz w:val="16"/>
      <w:szCs w:val="16"/>
    </w:rPr>
  </w:style>
  <w:style w:type="paragraph" w:styleId="ListBullet2">
    <w:name w:val="List Bullet 2"/>
    <w:basedOn w:val="Normal"/>
    <w:rsid w:val="0011194C"/>
    <w:pPr>
      <w:numPr>
        <w:numId w:val="5"/>
      </w:numPr>
    </w:pPr>
  </w:style>
  <w:style w:type="paragraph" w:styleId="ListBullet3">
    <w:name w:val="List Bullet 3"/>
    <w:basedOn w:val="Normal"/>
    <w:rsid w:val="0011194C"/>
    <w:pPr>
      <w:numPr>
        <w:numId w:val="6"/>
      </w:numPr>
    </w:pPr>
  </w:style>
  <w:style w:type="paragraph" w:styleId="BodyText">
    <w:name w:val="Body Text"/>
    <w:basedOn w:val="Normal"/>
    <w:rsid w:val="0011194C"/>
    <w:pPr>
      <w:spacing w:after="120"/>
    </w:pPr>
  </w:style>
  <w:style w:type="paragraph" w:styleId="BodyTextIndent">
    <w:name w:val="Body Text Indent"/>
    <w:basedOn w:val="Normal"/>
    <w:rsid w:val="0011194C"/>
    <w:pPr>
      <w:spacing w:after="120"/>
      <w:ind w:left="360"/>
    </w:pPr>
  </w:style>
  <w:style w:type="paragraph" w:styleId="BodyTextFirstIndent2">
    <w:name w:val="Body Text First Indent 2"/>
    <w:basedOn w:val="BodyTextIndent"/>
    <w:rsid w:val="0011194C"/>
    <w:pPr>
      <w:ind w:firstLine="210"/>
    </w:pPr>
  </w:style>
  <w:style w:type="character" w:styleId="Hyperlink">
    <w:name w:val="Hyperlink"/>
    <w:rsid w:val="00C310A7"/>
    <w:rPr>
      <w:color w:val="0000FF"/>
      <w:u w:val="single"/>
    </w:rPr>
  </w:style>
  <w:style w:type="character" w:styleId="FollowedHyperlink">
    <w:name w:val="FollowedHyperlink"/>
    <w:rsid w:val="00B263EB"/>
    <w:rPr>
      <w:color w:val="800080"/>
      <w:u w:val="single"/>
    </w:rPr>
  </w:style>
  <w:style w:type="paragraph" w:styleId="ListParagraph">
    <w:name w:val="List Paragraph"/>
    <w:basedOn w:val="Normal"/>
    <w:uiPriority w:val="34"/>
    <w:qFormat/>
    <w:rsid w:val="00184C79"/>
    <w:pPr>
      <w:ind w:left="720"/>
      <w:contextualSpacing/>
    </w:pPr>
  </w:style>
  <w:style w:type="character" w:customStyle="1" w:styleId="Heading1Char">
    <w:name w:val="Heading 1 Char"/>
    <w:basedOn w:val="DefaultParagraphFont"/>
    <w:link w:val="Heading1"/>
    <w:uiPriority w:val="9"/>
    <w:rsid w:val="00281A0C"/>
    <w:rPr>
      <w:rFonts w:ascii="Arial" w:hAnsi="Arial" w:cs="Arial"/>
      <w:b/>
      <w:bCs/>
      <w:kern w:val="32"/>
      <w:sz w:val="32"/>
      <w:szCs w:val="32"/>
    </w:rPr>
  </w:style>
  <w:style w:type="character" w:customStyle="1" w:styleId="FooterChar">
    <w:name w:val="Footer Char"/>
    <w:basedOn w:val="DefaultParagraphFont"/>
    <w:link w:val="Footer"/>
    <w:uiPriority w:val="99"/>
    <w:rsid w:val="00CE1A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ine.gov/legis/ros/manual/Draftman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3307-1DAA-4B24-91F2-63AB50E8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1848</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t:lpstr>
    </vt:vector>
  </TitlesOfParts>
  <Company>State Of Maine</Company>
  <LinksUpToDate>false</LinksUpToDate>
  <CharactersWithSpaces>12566</CharactersWithSpaces>
  <SharedDoc>false</SharedDoc>
  <HLinks>
    <vt:vector size="6" baseType="variant">
      <vt:variant>
        <vt:i4>6750251</vt:i4>
      </vt:variant>
      <vt:variant>
        <vt:i4>0</vt:i4>
      </vt:variant>
      <vt:variant>
        <vt:i4>0</vt:i4>
      </vt:variant>
      <vt:variant>
        <vt:i4>5</vt:i4>
      </vt:variant>
      <vt:variant>
        <vt:lpwstr>http://maine.gov/legis/ros/manual/Draftman2009.pdf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State of Maine</dc:creator>
  <cp:lastModifiedBy>Wilson, Lisa</cp:lastModifiedBy>
  <cp:revision>4</cp:revision>
  <cp:lastPrinted>2016-07-11T13:33:00Z</cp:lastPrinted>
  <dcterms:created xsi:type="dcterms:W3CDTF">2016-07-26T14:00:00Z</dcterms:created>
  <dcterms:modified xsi:type="dcterms:W3CDTF">2016-07-26T17:48:00Z</dcterms:modified>
</cp:coreProperties>
</file>