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FE2" w:rsidRDefault="007D4FE2" w:rsidP="00C53EEB">
      <w:pPr>
        <w:jc w:val="center"/>
        <w:outlineLvl w:val="0"/>
        <w:rPr>
          <w:b/>
          <w:sz w:val="52"/>
          <w:szCs w:val="52"/>
        </w:rPr>
      </w:pPr>
      <w:r w:rsidRPr="00D70181">
        <w:rPr>
          <w:b/>
          <w:sz w:val="52"/>
          <w:szCs w:val="52"/>
        </w:rPr>
        <w:t>Streamlining</w:t>
      </w:r>
      <w:r>
        <w:rPr>
          <w:b/>
          <w:sz w:val="52"/>
          <w:szCs w:val="52"/>
        </w:rPr>
        <w:t>:</w:t>
      </w:r>
    </w:p>
    <w:p w:rsidR="007D4FE2" w:rsidRPr="00023CFD" w:rsidRDefault="007D4FE2" w:rsidP="00C53EEB">
      <w:pPr>
        <w:pStyle w:val="NoSpacing"/>
        <w:jc w:val="center"/>
        <w:outlineLvl w:val="0"/>
        <w:rPr>
          <w:b/>
          <w:sz w:val="56"/>
          <w:szCs w:val="56"/>
        </w:rPr>
      </w:pPr>
      <w:r w:rsidRPr="00023CFD">
        <w:rPr>
          <w:b/>
          <w:sz w:val="56"/>
          <w:szCs w:val="56"/>
        </w:rPr>
        <w:t>Projected Energy Savings</w:t>
      </w:r>
    </w:p>
    <w:p w:rsidR="007D4FE2" w:rsidRPr="00023CFD" w:rsidRDefault="007D4FE2" w:rsidP="00C53EEB">
      <w:pPr>
        <w:pStyle w:val="NoSpacing"/>
        <w:jc w:val="center"/>
        <w:outlineLvl w:val="0"/>
        <w:rPr>
          <w:b/>
          <w:sz w:val="56"/>
          <w:szCs w:val="56"/>
        </w:rPr>
      </w:pPr>
      <w:r w:rsidRPr="00023CFD">
        <w:rPr>
          <w:b/>
          <w:sz w:val="56"/>
          <w:szCs w:val="56"/>
        </w:rPr>
        <w:t>from the Use of Natural Gas</w:t>
      </w:r>
    </w:p>
    <w:p w:rsidR="007D4FE2" w:rsidRDefault="007D4FE2" w:rsidP="00D70181">
      <w:pPr>
        <w:pStyle w:val="NoSpacing"/>
        <w:rPr>
          <w:sz w:val="24"/>
          <w:szCs w:val="24"/>
        </w:rPr>
      </w:pPr>
    </w:p>
    <w:p w:rsidR="007D4FE2" w:rsidRDefault="007D4FE2" w:rsidP="00D70181">
      <w:pPr>
        <w:pStyle w:val="NoSpacing"/>
        <w:rPr>
          <w:sz w:val="24"/>
          <w:szCs w:val="24"/>
        </w:rPr>
      </w:pPr>
      <w:r w:rsidRPr="00D70181">
        <w:rPr>
          <w:sz w:val="24"/>
          <w:szCs w:val="24"/>
        </w:rPr>
        <w:t xml:space="preserve">Considerable progress is now being made </w:t>
      </w:r>
      <w:r>
        <w:rPr>
          <w:sz w:val="24"/>
          <w:szCs w:val="24"/>
        </w:rPr>
        <w:t xml:space="preserve">on several fronts </w:t>
      </w:r>
      <w:r w:rsidRPr="00D70181">
        <w:rPr>
          <w:sz w:val="24"/>
          <w:szCs w:val="24"/>
        </w:rPr>
        <w:t>with respect to the</w:t>
      </w:r>
      <w:r>
        <w:rPr>
          <w:sz w:val="24"/>
          <w:szCs w:val="24"/>
        </w:rPr>
        <w:t xml:space="preserve"> development of natural gas as a significant source of energy for </w:t>
      </w:r>
      <w:smartTag w:uri="urn:schemas-microsoft-com:office:smarttags" w:element="place">
        <w:smartTag w:uri="urn:schemas-microsoft-com:office:smarttags" w:element="State">
          <w:r>
            <w:rPr>
              <w:sz w:val="24"/>
              <w:szCs w:val="24"/>
            </w:rPr>
            <w:t>Maine</w:t>
          </w:r>
        </w:smartTag>
      </w:smartTag>
      <w:r>
        <w:rPr>
          <w:sz w:val="24"/>
          <w:szCs w:val="24"/>
        </w:rPr>
        <w:t xml:space="preserve">. A major part of this thrust is the placement of new natural gas infrastructure connecting the </w:t>
      </w:r>
      <w:smartTag w:uri="urn:schemas-microsoft-com:office:smarttags" w:element="City">
        <w:r>
          <w:rPr>
            <w:sz w:val="24"/>
            <w:szCs w:val="24"/>
          </w:rPr>
          <w:t>Augusta</w:t>
        </w:r>
      </w:smartTag>
      <w:r>
        <w:rPr>
          <w:sz w:val="24"/>
          <w:szCs w:val="24"/>
        </w:rPr>
        <w:t xml:space="preserve"> and </w:t>
      </w:r>
      <w:smartTag w:uri="urn:schemas-microsoft-com:office:smarttags" w:element="City">
        <w:r>
          <w:rPr>
            <w:sz w:val="24"/>
            <w:szCs w:val="24"/>
          </w:rPr>
          <w:t>Rockland</w:t>
        </w:r>
      </w:smartTag>
      <w:r>
        <w:rPr>
          <w:sz w:val="24"/>
          <w:szCs w:val="24"/>
        </w:rPr>
        <w:t xml:space="preserve"> areas to the existing natural gas pipeline that draws its supply from Canadian facilities and already passes through </w:t>
      </w:r>
      <w:smartTag w:uri="urn:schemas-microsoft-com:office:smarttags" w:element="place">
        <w:smartTag w:uri="urn:schemas-microsoft-com:office:smarttags" w:element="State">
          <w:r>
            <w:rPr>
              <w:sz w:val="24"/>
              <w:szCs w:val="24"/>
            </w:rPr>
            <w:t>Maine</w:t>
          </w:r>
        </w:smartTag>
      </w:smartTag>
      <w:r>
        <w:rPr>
          <w:sz w:val="24"/>
          <w:szCs w:val="24"/>
        </w:rPr>
        <w:t>.</w:t>
      </w:r>
    </w:p>
    <w:p w:rsidR="007D4FE2" w:rsidRDefault="007D4FE2" w:rsidP="00D70181">
      <w:pPr>
        <w:pStyle w:val="NoSpacing"/>
        <w:rPr>
          <w:sz w:val="24"/>
          <w:szCs w:val="24"/>
        </w:rPr>
      </w:pPr>
    </w:p>
    <w:p w:rsidR="007D4FE2" w:rsidRDefault="007D4FE2" w:rsidP="00D70181">
      <w:pPr>
        <w:pStyle w:val="NoSpacing"/>
        <w:rPr>
          <w:sz w:val="24"/>
          <w:szCs w:val="24"/>
        </w:rPr>
      </w:pPr>
      <w:r>
        <w:rPr>
          <w:sz w:val="24"/>
          <w:szCs w:val="24"/>
        </w:rPr>
        <w:t>One company proposes to construct an 8-inch line connecting to the main gas pipeline as it passes through the Town of Windsor, one branch extending 10 miles due west to Augusta, the other 35 miles east-southeast to Rockland. This project is entirely a private-sector initiative. The company will shortly begin the process of contacting potential major energy users in both markets and could conceivably be ready to begin pipeline construction in 2012.</w:t>
      </w:r>
    </w:p>
    <w:p w:rsidR="007D4FE2" w:rsidRDefault="007D4FE2" w:rsidP="00B239AD">
      <w:pPr>
        <w:pStyle w:val="NoSpacing"/>
        <w:rPr>
          <w:sz w:val="24"/>
          <w:szCs w:val="24"/>
        </w:rPr>
      </w:pPr>
    </w:p>
    <w:p w:rsidR="007D4FE2" w:rsidRPr="00D70181" w:rsidRDefault="007D4FE2" w:rsidP="00B239AD">
      <w:pPr>
        <w:pStyle w:val="NoSpacing"/>
        <w:rPr>
          <w:sz w:val="24"/>
          <w:szCs w:val="24"/>
        </w:rPr>
      </w:pPr>
      <w:r>
        <w:rPr>
          <w:sz w:val="24"/>
          <w:szCs w:val="24"/>
        </w:rPr>
        <w:t xml:space="preserve">Under current market conditions, natural gas is available for about $9 to $11 per million BTU (MMBTU), whereas heating oil currently costs approximately $25 per MMBTU. A quick calculation reveals possible savings </w:t>
      </w:r>
      <w:r w:rsidRPr="009329B1">
        <w:rPr>
          <w:i/>
          <w:sz w:val="24"/>
          <w:szCs w:val="24"/>
        </w:rPr>
        <w:t>at least</w:t>
      </w:r>
      <w:r>
        <w:rPr>
          <w:sz w:val="24"/>
          <w:szCs w:val="24"/>
        </w:rPr>
        <w:t xml:space="preserve"> a 2:1 savings in energy costs.</w:t>
      </w:r>
    </w:p>
    <w:p w:rsidR="007D4FE2" w:rsidRDefault="007D4FE2" w:rsidP="00D70181">
      <w:pPr>
        <w:pStyle w:val="NoSpacing"/>
        <w:rPr>
          <w:sz w:val="24"/>
          <w:szCs w:val="24"/>
        </w:rPr>
      </w:pPr>
    </w:p>
    <w:p w:rsidR="007D4FE2" w:rsidRDefault="007D4FE2" w:rsidP="00D70181">
      <w:pPr>
        <w:pStyle w:val="NoSpacing"/>
        <w:rPr>
          <w:sz w:val="24"/>
          <w:szCs w:val="24"/>
        </w:rPr>
      </w:pPr>
      <w:r>
        <w:rPr>
          <w:sz w:val="24"/>
          <w:szCs w:val="24"/>
        </w:rPr>
        <w:t>The state’s interest in this project is the availability of natural gas to provide heat and electricity several state facilities, including the Maine State Prison complex in Warren; the Ferry Terminal in Rockland; the East Campus complex of state buildings in Augusta; and, of course, the State Capitol Building, the Cross Office Building and other state office complexes throughout the Augusta area. Some sites will require a conversion to natural gas capability that could cost several hundred thousand dollars, but this would be a one-time conversion cost.</w:t>
      </w:r>
    </w:p>
    <w:p w:rsidR="007D4FE2" w:rsidRDefault="007D4FE2" w:rsidP="00D70181">
      <w:pPr>
        <w:pStyle w:val="NoSpacing"/>
        <w:rPr>
          <w:sz w:val="24"/>
          <w:szCs w:val="24"/>
        </w:rPr>
      </w:pPr>
    </w:p>
    <w:p w:rsidR="007D4FE2" w:rsidRDefault="007D4FE2" w:rsidP="00C53EEB">
      <w:pPr>
        <w:pStyle w:val="NoSpacing"/>
        <w:outlineLvl w:val="0"/>
        <w:rPr>
          <w:sz w:val="24"/>
          <w:szCs w:val="24"/>
        </w:rPr>
      </w:pPr>
      <w:r>
        <w:rPr>
          <w:sz w:val="24"/>
          <w:szCs w:val="24"/>
        </w:rPr>
        <w:t>Currently,</w:t>
      </w:r>
    </w:p>
    <w:p w:rsidR="007D4FE2" w:rsidRDefault="007D4FE2" w:rsidP="00D70181">
      <w:pPr>
        <w:pStyle w:val="NoSpacing"/>
        <w:rPr>
          <w:sz w:val="24"/>
          <w:szCs w:val="24"/>
        </w:rPr>
      </w:pPr>
    </w:p>
    <w:tbl>
      <w:tblPr>
        <w:tblW w:w="9260" w:type="dxa"/>
        <w:tblInd w:w="93" w:type="dxa"/>
        <w:tblLook w:val="00A0"/>
      </w:tblPr>
      <w:tblGrid>
        <w:gridCol w:w="2620"/>
        <w:gridCol w:w="1260"/>
        <w:gridCol w:w="1240"/>
        <w:gridCol w:w="1480"/>
        <w:gridCol w:w="1360"/>
        <w:gridCol w:w="1300"/>
      </w:tblGrid>
      <w:tr w:rsidR="007D4FE2" w:rsidRPr="00B67B3C" w:rsidTr="00A05C21">
        <w:trPr>
          <w:trHeight w:val="300"/>
        </w:trPr>
        <w:tc>
          <w:tcPr>
            <w:tcW w:w="2620" w:type="dxa"/>
            <w:tcBorders>
              <w:top w:val="nil"/>
              <w:left w:val="nil"/>
              <w:bottom w:val="nil"/>
              <w:right w:val="nil"/>
            </w:tcBorders>
            <w:noWrap/>
            <w:vAlign w:val="bottom"/>
          </w:tcPr>
          <w:p w:rsidR="007D4FE2" w:rsidRPr="00A05C21" w:rsidRDefault="007D4FE2" w:rsidP="00A05C21">
            <w:pPr>
              <w:spacing w:after="0" w:line="240" w:lineRule="auto"/>
              <w:rPr>
                <w:rFonts w:cs="Calibri"/>
                <w:color w:val="000000"/>
                <w:sz w:val="20"/>
                <w:szCs w:val="20"/>
              </w:rPr>
            </w:pPr>
          </w:p>
        </w:tc>
        <w:tc>
          <w:tcPr>
            <w:tcW w:w="1260" w:type="dxa"/>
            <w:tcBorders>
              <w:top w:val="nil"/>
              <w:left w:val="nil"/>
              <w:bottom w:val="nil"/>
              <w:right w:val="nil"/>
            </w:tcBorders>
            <w:shd w:val="clear" w:color="000000" w:fill="000000"/>
            <w:noWrap/>
            <w:vAlign w:val="bottom"/>
          </w:tcPr>
          <w:p w:rsidR="007D4FE2" w:rsidRPr="00A05C21" w:rsidRDefault="007D4FE2" w:rsidP="00A05C21">
            <w:pPr>
              <w:spacing w:after="0" w:line="240" w:lineRule="auto"/>
              <w:rPr>
                <w:rFonts w:cs="Calibri"/>
                <w:color w:val="FFFFFF"/>
                <w:sz w:val="20"/>
                <w:szCs w:val="20"/>
              </w:rPr>
            </w:pPr>
            <w:r w:rsidRPr="00A05C21">
              <w:rPr>
                <w:rFonts w:cs="Calibri"/>
                <w:color w:val="FFFFFF"/>
                <w:sz w:val="20"/>
                <w:szCs w:val="20"/>
              </w:rPr>
              <w:t> </w:t>
            </w:r>
          </w:p>
        </w:tc>
        <w:tc>
          <w:tcPr>
            <w:tcW w:w="1240" w:type="dxa"/>
            <w:tcBorders>
              <w:top w:val="nil"/>
              <w:left w:val="nil"/>
              <w:bottom w:val="nil"/>
              <w:right w:val="nil"/>
            </w:tcBorders>
            <w:shd w:val="clear" w:color="000000" w:fill="000000"/>
            <w:noWrap/>
            <w:vAlign w:val="bottom"/>
          </w:tcPr>
          <w:p w:rsidR="007D4FE2" w:rsidRPr="00A05C21" w:rsidRDefault="007D4FE2" w:rsidP="00A05C21">
            <w:pPr>
              <w:spacing w:after="0" w:line="240" w:lineRule="auto"/>
              <w:jc w:val="center"/>
              <w:rPr>
                <w:rFonts w:cs="Calibri"/>
                <w:b/>
                <w:bCs/>
                <w:color w:val="FFFFFF"/>
                <w:sz w:val="20"/>
                <w:szCs w:val="20"/>
              </w:rPr>
            </w:pPr>
            <w:r w:rsidRPr="00A05C21">
              <w:rPr>
                <w:rFonts w:cs="Calibri"/>
                <w:b/>
                <w:bCs/>
                <w:color w:val="FFFFFF"/>
                <w:sz w:val="20"/>
                <w:szCs w:val="20"/>
              </w:rPr>
              <w:t>FY12</w:t>
            </w:r>
          </w:p>
        </w:tc>
        <w:tc>
          <w:tcPr>
            <w:tcW w:w="1480" w:type="dxa"/>
            <w:tcBorders>
              <w:top w:val="nil"/>
              <w:left w:val="nil"/>
              <w:bottom w:val="nil"/>
              <w:right w:val="nil"/>
            </w:tcBorders>
            <w:shd w:val="clear" w:color="000000" w:fill="000000"/>
            <w:noWrap/>
            <w:vAlign w:val="bottom"/>
          </w:tcPr>
          <w:p w:rsidR="007D4FE2" w:rsidRPr="00A05C21" w:rsidRDefault="007D4FE2" w:rsidP="00A05C21">
            <w:pPr>
              <w:spacing w:after="0" w:line="240" w:lineRule="auto"/>
              <w:jc w:val="center"/>
              <w:rPr>
                <w:rFonts w:cs="Calibri"/>
                <w:b/>
                <w:bCs/>
                <w:color w:val="FFFFFF"/>
                <w:sz w:val="20"/>
                <w:szCs w:val="20"/>
              </w:rPr>
            </w:pPr>
            <w:r w:rsidRPr="00A05C21">
              <w:rPr>
                <w:rFonts w:cs="Calibri"/>
                <w:b/>
                <w:bCs/>
                <w:color w:val="FFFFFF"/>
                <w:sz w:val="20"/>
                <w:szCs w:val="20"/>
              </w:rPr>
              <w:t>FY12</w:t>
            </w:r>
          </w:p>
        </w:tc>
        <w:tc>
          <w:tcPr>
            <w:tcW w:w="1360" w:type="dxa"/>
            <w:tcBorders>
              <w:top w:val="nil"/>
              <w:left w:val="nil"/>
              <w:bottom w:val="nil"/>
              <w:right w:val="nil"/>
            </w:tcBorders>
            <w:shd w:val="clear" w:color="000000" w:fill="000000"/>
            <w:noWrap/>
            <w:vAlign w:val="bottom"/>
          </w:tcPr>
          <w:p w:rsidR="007D4FE2" w:rsidRPr="00A05C21" w:rsidRDefault="007D4FE2" w:rsidP="00A05C21">
            <w:pPr>
              <w:spacing w:after="0" w:line="240" w:lineRule="auto"/>
              <w:jc w:val="center"/>
              <w:rPr>
                <w:rFonts w:cs="Calibri"/>
                <w:b/>
                <w:bCs/>
                <w:color w:val="FFFFFF"/>
                <w:sz w:val="20"/>
                <w:szCs w:val="20"/>
              </w:rPr>
            </w:pPr>
            <w:r w:rsidRPr="00A05C21">
              <w:rPr>
                <w:rFonts w:cs="Calibri"/>
                <w:b/>
                <w:bCs/>
                <w:color w:val="FFFFFF"/>
                <w:sz w:val="20"/>
                <w:szCs w:val="20"/>
              </w:rPr>
              <w:t>FY12</w:t>
            </w:r>
          </w:p>
        </w:tc>
        <w:tc>
          <w:tcPr>
            <w:tcW w:w="1300" w:type="dxa"/>
            <w:tcBorders>
              <w:top w:val="nil"/>
              <w:left w:val="nil"/>
              <w:bottom w:val="nil"/>
              <w:right w:val="nil"/>
            </w:tcBorders>
            <w:shd w:val="clear" w:color="000000" w:fill="000000"/>
            <w:noWrap/>
            <w:vAlign w:val="bottom"/>
          </w:tcPr>
          <w:p w:rsidR="007D4FE2" w:rsidRPr="00A05C21" w:rsidRDefault="007D4FE2" w:rsidP="00A05C21">
            <w:pPr>
              <w:spacing w:after="0" w:line="240" w:lineRule="auto"/>
              <w:rPr>
                <w:rFonts w:cs="Calibri"/>
                <w:color w:val="FFFFFF"/>
                <w:sz w:val="20"/>
                <w:szCs w:val="20"/>
              </w:rPr>
            </w:pPr>
            <w:r w:rsidRPr="00A05C21">
              <w:rPr>
                <w:rFonts w:cs="Calibri"/>
                <w:color w:val="FFFFFF"/>
                <w:sz w:val="20"/>
                <w:szCs w:val="20"/>
              </w:rPr>
              <w:t> </w:t>
            </w:r>
          </w:p>
        </w:tc>
      </w:tr>
      <w:tr w:rsidR="007D4FE2" w:rsidRPr="00B67B3C" w:rsidTr="00A05C21">
        <w:trPr>
          <w:trHeight w:val="300"/>
        </w:trPr>
        <w:tc>
          <w:tcPr>
            <w:tcW w:w="2620" w:type="dxa"/>
            <w:tcBorders>
              <w:top w:val="nil"/>
              <w:left w:val="nil"/>
              <w:bottom w:val="nil"/>
              <w:right w:val="nil"/>
            </w:tcBorders>
            <w:noWrap/>
            <w:vAlign w:val="bottom"/>
          </w:tcPr>
          <w:p w:rsidR="007D4FE2" w:rsidRPr="00A05C21" w:rsidRDefault="007D4FE2" w:rsidP="00A05C21">
            <w:pPr>
              <w:spacing w:after="0" w:line="240" w:lineRule="auto"/>
              <w:rPr>
                <w:rFonts w:cs="Calibri"/>
                <w:color w:val="000000"/>
                <w:sz w:val="20"/>
                <w:szCs w:val="20"/>
              </w:rPr>
            </w:pPr>
          </w:p>
        </w:tc>
        <w:tc>
          <w:tcPr>
            <w:tcW w:w="1260" w:type="dxa"/>
            <w:tcBorders>
              <w:top w:val="nil"/>
              <w:left w:val="nil"/>
              <w:bottom w:val="nil"/>
              <w:right w:val="nil"/>
            </w:tcBorders>
            <w:shd w:val="clear" w:color="000000" w:fill="000000"/>
            <w:noWrap/>
            <w:vAlign w:val="bottom"/>
          </w:tcPr>
          <w:p w:rsidR="007D4FE2" w:rsidRPr="00A05C21" w:rsidRDefault="007D4FE2" w:rsidP="00A05C21">
            <w:pPr>
              <w:spacing w:after="0" w:line="240" w:lineRule="auto"/>
              <w:jc w:val="center"/>
              <w:rPr>
                <w:rFonts w:cs="Calibri"/>
                <w:b/>
                <w:bCs/>
                <w:color w:val="FFFFFF"/>
                <w:sz w:val="20"/>
                <w:szCs w:val="20"/>
              </w:rPr>
            </w:pPr>
            <w:r w:rsidRPr="00A05C21">
              <w:rPr>
                <w:rFonts w:cs="Calibri"/>
                <w:b/>
                <w:bCs/>
                <w:color w:val="FFFFFF"/>
                <w:sz w:val="20"/>
                <w:szCs w:val="20"/>
              </w:rPr>
              <w:t>Fuel Oil</w:t>
            </w:r>
          </w:p>
        </w:tc>
        <w:tc>
          <w:tcPr>
            <w:tcW w:w="1240" w:type="dxa"/>
            <w:tcBorders>
              <w:top w:val="nil"/>
              <w:left w:val="nil"/>
              <w:bottom w:val="nil"/>
              <w:right w:val="nil"/>
            </w:tcBorders>
            <w:shd w:val="clear" w:color="000000" w:fill="000000"/>
            <w:noWrap/>
            <w:vAlign w:val="bottom"/>
          </w:tcPr>
          <w:p w:rsidR="007D4FE2" w:rsidRPr="00A05C21" w:rsidRDefault="007D4FE2" w:rsidP="00A05C21">
            <w:pPr>
              <w:spacing w:after="0" w:line="240" w:lineRule="auto"/>
              <w:rPr>
                <w:rFonts w:cs="Calibri"/>
                <w:color w:val="FFFFFF"/>
                <w:sz w:val="20"/>
                <w:szCs w:val="20"/>
              </w:rPr>
            </w:pPr>
            <w:r w:rsidRPr="00A05C21">
              <w:rPr>
                <w:rFonts w:cs="Calibri"/>
                <w:color w:val="FFFFFF"/>
                <w:sz w:val="20"/>
                <w:szCs w:val="20"/>
              </w:rPr>
              <w:t> </w:t>
            </w:r>
          </w:p>
        </w:tc>
        <w:tc>
          <w:tcPr>
            <w:tcW w:w="1480" w:type="dxa"/>
            <w:tcBorders>
              <w:top w:val="nil"/>
              <w:left w:val="nil"/>
              <w:bottom w:val="nil"/>
              <w:right w:val="nil"/>
            </w:tcBorders>
            <w:shd w:val="clear" w:color="000000" w:fill="000000"/>
            <w:noWrap/>
            <w:vAlign w:val="bottom"/>
          </w:tcPr>
          <w:p w:rsidR="007D4FE2" w:rsidRPr="00A05C21" w:rsidRDefault="007D4FE2" w:rsidP="00A05C21">
            <w:pPr>
              <w:spacing w:after="0" w:line="240" w:lineRule="auto"/>
              <w:jc w:val="center"/>
              <w:rPr>
                <w:rFonts w:cs="Calibri"/>
                <w:b/>
                <w:bCs/>
                <w:color w:val="FFFFFF"/>
                <w:sz w:val="20"/>
                <w:szCs w:val="20"/>
              </w:rPr>
            </w:pPr>
            <w:r w:rsidRPr="00A05C21">
              <w:rPr>
                <w:rFonts w:cs="Calibri"/>
                <w:b/>
                <w:bCs/>
                <w:color w:val="FFFFFF"/>
                <w:sz w:val="20"/>
                <w:szCs w:val="20"/>
              </w:rPr>
              <w:t>Annual</w:t>
            </w:r>
          </w:p>
        </w:tc>
        <w:tc>
          <w:tcPr>
            <w:tcW w:w="1360" w:type="dxa"/>
            <w:tcBorders>
              <w:top w:val="nil"/>
              <w:left w:val="nil"/>
              <w:bottom w:val="nil"/>
              <w:right w:val="nil"/>
            </w:tcBorders>
            <w:shd w:val="clear" w:color="000000" w:fill="000000"/>
            <w:noWrap/>
            <w:vAlign w:val="bottom"/>
          </w:tcPr>
          <w:p w:rsidR="007D4FE2" w:rsidRPr="00A05C21" w:rsidRDefault="007D4FE2" w:rsidP="00A05C21">
            <w:pPr>
              <w:spacing w:after="0" w:line="240" w:lineRule="auto"/>
              <w:jc w:val="center"/>
              <w:rPr>
                <w:rFonts w:cs="Calibri"/>
                <w:b/>
                <w:bCs/>
                <w:color w:val="FFFFFF"/>
                <w:sz w:val="20"/>
                <w:szCs w:val="20"/>
              </w:rPr>
            </w:pPr>
            <w:r w:rsidRPr="00A05C21">
              <w:rPr>
                <w:rFonts w:cs="Calibri"/>
                <w:b/>
                <w:bCs/>
                <w:color w:val="FFFFFF"/>
                <w:sz w:val="20"/>
                <w:szCs w:val="20"/>
              </w:rPr>
              <w:t>Equivalent</w:t>
            </w:r>
          </w:p>
        </w:tc>
        <w:tc>
          <w:tcPr>
            <w:tcW w:w="1300" w:type="dxa"/>
            <w:tcBorders>
              <w:top w:val="nil"/>
              <w:left w:val="nil"/>
              <w:bottom w:val="nil"/>
              <w:right w:val="nil"/>
            </w:tcBorders>
            <w:shd w:val="clear" w:color="000000" w:fill="000000"/>
            <w:noWrap/>
            <w:vAlign w:val="bottom"/>
          </w:tcPr>
          <w:p w:rsidR="007D4FE2" w:rsidRPr="00EB543B" w:rsidRDefault="007D4FE2" w:rsidP="00EB543B">
            <w:pPr>
              <w:spacing w:after="0" w:line="240" w:lineRule="auto"/>
              <w:jc w:val="center"/>
              <w:rPr>
                <w:rFonts w:cs="Calibri"/>
                <w:b/>
                <w:color w:val="FFFFFF"/>
                <w:sz w:val="20"/>
                <w:szCs w:val="20"/>
              </w:rPr>
            </w:pPr>
            <w:r w:rsidRPr="00EB543B">
              <w:rPr>
                <w:rFonts w:cs="Calibri"/>
                <w:b/>
                <w:color w:val="FFFFFF"/>
                <w:sz w:val="20"/>
                <w:szCs w:val="20"/>
              </w:rPr>
              <w:t>Possible</w:t>
            </w:r>
          </w:p>
        </w:tc>
      </w:tr>
      <w:tr w:rsidR="007D4FE2" w:rsidRPr="00B67B3C" w:rsidTr="00A05C21">
        <w:trPr>
          <w:trHeight w:val="300"/>
        </w:trPr>
        <w:tc>
          <w:tcPr>
            <w:tcW w:w="2620" w:type="dxa"/>
            <w:tcBorders>
              <w:top w:val="nil"/>
              <w:left w:val="nil"/>
              <w:bottom w:val="nil"/>
              <w:right w:val="nil"/>
            </w:tcBorders>
            <w:noWrap/>
            <w:vAlign w:val="bottom"/>
          </w:tcPr>
          <w:p w:rsidR="007D4FE2" w:rsidRPr="00A05C21" w:rsidRDefault="007D4FE2" w:rsidP="00A05C21">
            <w:pPr>
              <w:spacing w:after="0" w:line="240" w:lineRule="auto"/>
              <w:rPr>
                <w:rFonts w:cs="Calibri"/>
                <w:color w:val="000000"/>
                <w:sz w:val="20"/>
                <w:szCs w:val="20"/>
              </w:rPr>
            </w:pPr>
          </w:p>
        </w:tc>
        <w:tc>
          <w:tcPr>
            <w:tcW w:w="1260" w:type="dxa"/>
            <w:tcBorders>
              <w:top w:val="nil"/>
              <w:left w:val="nil"/>
              <w:bottom w:val="nil"/>
              <w:right w:val="nil"/>
            </w:tcBorders>
            <w:shd w:val="clear" w:color="000000" w:fill="000000"/>
            <w:noWrap/>
            <w:vAlign w:val="bottom"/>
          </w:tcPr>
          <w:p w:rsidR="007D4FE2" w:rsidRPr="00A05C21" w:rsidRDefault="007D4FE2" w:rsidP="00A05C21">
            <w:pPr>
              <w:spacing w:after="0" w:line="240" w:lineRule="auto"/>
              <w:jc w:val="center"/>
              <w:rPr>
                <w:rFonts w:cs="Calibri"/>
                <w:b/>
                <w:bCs/>
                <w:color w:val="FFFFFF"/>
                <w:sz w:val="20"/>
                <w:szCs w:val="20"/>
              </w:rPr>
            </w:pPr>
            <w:r w:rsidRPr="00A05C21">
              <w:rPr>
                <w:rFonts w:cs="Calibri"/>
                <w:b/>
                <w:bCs/>
                <w:color w:val="FFFFFF"/>
                <w:sz w:val="20"/>
                <w:szCs w:val="20"/>
              </w:rPr>
              <w:t>Usage</w:t>
            </w:r>
          </w:p>
        </w:tc>
        <w:tc>
          <w:tcPr>
            <w:tcW w:w="1240" w:type="dxa"/>
            <w:tcBorders>
              <w:top w:val="nil"/>
              <w:left w:val="nil"/>
              <w:bottom w:val="nil"/>
              <w:right w:val="nil"/>
            </w:tcBorders>
            <w:shd w:val="clear" w:color="000000" w:fill="000000"/>
            <w:noWrap/>
            <w:vAlign w:val="bottom"/>
          </w:tcPr>
          <w:p w:rsidR="007D4FE2" w:rsidRPr="00A05C21" w:rsidRDefault="007D4FE2" w:rsidP="00A05C21">
            <w:pPr>
              <w:spacing w:after="0" w:line="240" w:lineRule="auto"/>
              <w:jc w:val="center"/>
              <w:rPr>
                <w:rFonts w:cs="Calibri"/>
                <w:b/>
                <w:bCs/>
                <w:color w:val="FFFFFF"/>
                <w:sz w:val="20"/>
                <w:szCs w:val="20"/>
              </w:rPr>
            </w:pPr>
            <w:r w:rsidRPr="00A05C21">
              <w:rPr>
                <w:rFonts w:cs="Calibri"/>
                <w:b/>
                <w:bCs/>
                <w:color w:val="FFFFFF"/>
                <w:sz w:val="20"/>
                <w:szCs w:val="20"/>
              </w:rPr>
              <w:t>Fuel Oil</w:t>
            </w:r>
          </w:p>
        </w:tc>
        <w:tc>
          <w:tcPr>
            <w:tcW w:w="1480" w:type="dxa"/>
            <w:tcBorders>
              <w:top w:val="nil"/>
              <w:left w:val="nil"/>
              <w:bottom w:val="nil"/>
              <w:right w:val="nil"/>
            </w:tcBorders>
            <w:shd w:val="clear" w:color="000000" w:fill="000000"/>
            <w:noWrap/>
            <w:vAlign w:val="bottom"/>
          </w:tcPr>
          <w:p w:rsidR="007D4FE2" w:rsidRPr="00A05C21" w:rsidRDefault="007D4FE2" w:rsidP="00A05C21">
            <w:pPr>
              <w:spacing w:after="0" w:line="240" w:lineRule="auto"/>
              <w:jc w:val="center"/>
              <w:rPr>
                <w:rFonts w:cs="Calibri"/>
                <w:b/>
                <w:bCs/>
                <w:color w:val="FFFFFF"/>
                <w:sz w:val="20"/>
                <w:szCs w:val="20"/>
              </w:rPr>
            </w:pPr>
            <w:r w:rsidRPr="00A05C21">
              <w:rPr>
                <w:rFonts w:cs="Calibri"/>
                <w:b/>
                <w:bCs/>
                <w:color w:val="FFFFFF"/>
                <w:sz w:val="20"/>
                <w:szCs w:val="20"/>
              </w:rPr>
              <w:t>Fuel Oil</w:t>
            </w:r>
          </w:p>
        </w:tc>
        <w:tc>
          <w:tcPr>
            <w:tcW w:w="1360" w:type="dxa"/>
            <w:tcBorders>
              <w:top w:val="nil"/>
              <w:left w:val="nil"/>
              <w:bottom w:val="nil"/>
              <w:right w:val="nil"/>
            </w:tcBorders>
            <w:shd w:val="clear" w:color="000000" w:fill="000000"/>
            <w:noWrap/>
            <w:vAlign w:val="bottom"/>
          </w:tcPr>
          <w:p w:rsidR="007D4FE2" w:rsidRPr="00A05C21" w:rsidRDefault="007D4FE2" w:rsidP="00A05C21">
            <w:pPr>
              <w:spacing w:after="0" w:line="240" w:lineRule="auto"/>
              <w:jc w:val="center"/>
              <w:rPr>
                <w:rFonts w:cs="Calibri"/>
                <w:b/>
                <w:bCs/>
                <w:color w:val="FFFFFF"/>
                <w:sz w:val="20"/>
                <w:szCs w:val="20"/>
              </w:rPr>
            </w:pPr>
            <w:r w:rsidRPr="00A05C21">
              <w:rPr>
                <w:rFonts w:cs="Calibri"/>
                <w:b/>
                <w:bCs/>
                <w:color w:val="FFFFFF"/>
                <w:sz w:val="20"/>
                <w:szCs w:val="20"/>
              </w:rPr>
              <w:t>Natural Gas</w:t>
            </w:r>
          </w:p>
        </w:tc>
        <w:tc>
          <w:tcPr>
            <w:tcW w:w="1300" w:type="dxa"/>
            <w:tcBorders>
              <w:top w:val="nil"/>
              <w:left w:val="nil"/>
              <w:bottom w:val="nil"/>
              <w:right w:val="nil"/>
            </w:tcBorders>
            <w:shd w:val="clear" w:color="000000" w:fill="000000"/>
            <w:noWrap/>
            <w:vAlign w:val="bottom"/>
          </w:tcPr>
          <w:p w:rsidR="007D4FE2" w:rsidRPr="00EB543B" w:rsidRDefault="007D4FE2" w:rsidP="00EB543B">
            <w:pPr>
              <w:spacing w:after="0" w:line="240" w:lineRule="auto"/>
              <w:jc w:val="center"/>
              <w:rPr>
                <w:rFonts w:cs="Calibri"/>
                <w:b/>
                <w:bCs/>
                <w:color w:val="FFFFFF"/>
                <w:sz w:val="20"/>
                <w:szCs w:val="20"/>
              </w:rPr>
            </w:pPr>
            <w:r w:rsidRPr="00EB543B">
              <w:rPr>
                <w:rFonts w:cs="Calibri"/>
                <w:b/>
                <w:bCs/>
                <w:color w:val="FFFFFF"/>
                <w:sz w:val="20"/>
                <w:szCs w:val="20"/>
              </w:rPr>
              <w:t>Future</w:t>
            </w:r>
          </w:p>
        </w:tc>
      </w:tr>
      <w:tr w:rsidR="007D4FE2" w:rsidRPr="00B67B3C" w:rsidTr="00A05C21">
        <w:trPr>
          <w:trHeight w:val="315"/>
        </w:trPr>
        <w:tc>
          <w:tcPr>
            <w:tcW w:w="2620" w:type="dxa"/>
            <w:tcBorders>
              <w:top w:val="nil"/>
              <w:left w:val="nil"/>
              <w:bottom w:val="nil"/>
              <w:right w:val="nil"/>
            </w:tcBorders>
            <w:noWrap/>
            <w:vAlign w:val="bottom"/>
          </w:tcPr>
          <w:p w:rsidR="007D4FE2" w:rsidRPr="00A05C21" w:rsidRDefault="007D4FE2" w:rsidP="00A05C21">
            <w:pPr>
              <w:spacing w:after="0" w:line="240" w:lineRule="auto"/>
              <w:rPr>
                <w:rFonts w:cs="Calibri"/>
                <w:color w:val="000000"/>
                <w:sz w:val="20"/>
                <w:szCs w:val="20"/>
              </w:rPr>
            </w:pPr>
          </w:p>
        </w:tc>
        <w:tc>
          <w:tcPr>
            <w:tcW w:w="1260" w:type="dxa"/>
            <w:tcBorders>
              <w:top w:val="nil"/>
              <w:left w:val="nil"/>
              <w:bottom w:val="nil"/>
              <w:right w:val="nil"/>
            </w:tcBorders>
            <w:shd w:val="clear" w:color="000000" w:fill="000000"/>
            <w:noWrap/>
            <w:vAlign w:val="bottom"/>
          </w:tcPr>
          <w:p w:rsidR="007D4FE2" w:rsidRPr="00A05C21" w:rsidRDefault="007D4FE2" w:rsidP="00A05C21">
            <w:pPr>
              <w:spacing w:after="0" w:line="240" w:lineRule="auto"/>
              <w:jc w:val="center"/>
              <w:rPr>
                <w:rFonts w:cs="Calibri"/>
                <w:b/>
                <w:bCs/>
                <w:color w:val="FFFFFF"/>
                <w:sz w:val="20"/>
                <w:szCs w:val="20"/>
              </w:rPr>
            </w:pPr>
            <w:r w:rsidRPr="00A05C21">
              <w:rPr>
                <w:rFonts w:cs="Calibri"/>
                <w:b/>
                <w:bCs/>
                <w:color w:val="FFFFFF"/>
                <w:sz w:val="20"/>
                <w:szCs w:val="20"/>
              </w:rPr>
              <w:t>Gal/year</w:t>
            </w:r>
          </w:p>
        </w:tc>
        <w:tc>
          <w:tcPr>
            <w:tcW w:w="1240" w:type="dxa"/>
            <w:tcBorders>
              <w:top w:val="nil"/>
              <w:left w:val="nil"/>
              <w:bottom w:val="nil"/>
              <w:right w:val="nil"/>
            </w:tcBorders>
            <w:shd w:val="clear" w:color="000000" w:fill="000000"/>
            <w:noWrap/>
            <w:vAlign w:val="bottom"/>
          </w:tcPr>
          <w:p w:rsidR="007D4FE2" w:rsidRPr="00A05C21" w:rsidRDefault="007D4FE2" w:rsidP="00A05C21">
            <w:pPr>
              <w:spacing w:after="0" w:line="240" w:lineRule="auto"/>
              <w:jc w:val="center"/>
              <w:rPr>
                <w:rFonts w:cs="Calibri"/>
                <w:b/>
                <w:bCs/>
                <w:color w:val="FFFFFF"/>
                <w:sz w:val="20"/>
                <w:szCs w:val="20"/>
              </w:rPr>
            </w:pPr>
            <w:r w:rsidRPr="00A05C21">
              <w:rPr>
                <w:rFonts w:cs="Calibri"/>
                <w:b/>
                <w:bCs/>
                <w:color w:val="FFFFFF"/>
                <w:sz w:val="20"/>
                <w:szCs w:val="20"/>
              </w:rPr>
              <w:t>Price/Gal</w:t>
            </w:r>
          </w:p>
        </w:tc>
        <w:tc>
          <w:tcPr>
            <w:tcW w:w="1480" w:type="dxa"/>
            <w:tcBorders>
              <w:top w:val="nil"/>
              <w:left w:val="nil"/>
              <w:bottom w:val="nil"/>
              <w:right w:val="nil"/>
            </w:tcBorders>
            <w:shd w:val="clear" w:color="000000" w:fill="000000"/>
            <w:noWrap/>
            <w:vAlign w:val="bottom"/>
          </w:tcPr>
          <w:p w:rsidR="007D4FE2" w:rsidRPr="00A05C21" w:rsidRDefault="007D4FE2" w:rsidP="00A05C21">
            <w:pPr>
              <w:spacing w:after="0" w:line="240" w:lineRule="auto"/>
              <w:jc w:val="center"/>
              <w:rPr>
                <w:rFonts w:cs="Calibri"/>
                <w:b/>
                <w:bCs/>
                <w:color w:val="FFFFFF"/>
                <w:sz w:val="20"/>
                <w:szCs w:val="20"/>
              </w:rPr>
            </w:pPr>
            <w:r w:rsidRPr="00A05C21">
              <w:rPr>
                <w:rFonts w:cs="Calibri"/>
                <w:b/>
                <w:bCs/>
                <w:color w:val="FFFFFF"/>
                <w:sz w:val="20"/>
                <w:szCs w:val="20"/>
              </w:rPr>
              <w:t>Cost</w:t>
            </w:r>
          </w:p>
        </w:tc>
        <w:tc>
          <w:tcPr>
            <w:tcW w:w="1360" w:type="dxa"/>
            <w:tcBorders>
              <w:top w:val="nil"/>
              <w:left w:val="nil"/>
              <w:bottom w:val="nil"/>
              <w:right w:val="nil"/>
            </w:tcBorders>
            <w:shd w:val="clear" w:color="000000" w:fill="000000"/>
            <w:noWrap/>
            <w:vAlign w:val="bottom"/>
          </w:tcPr>
          <w:p w:rsidR="007D4FE2" w:rsidRPr="00A05C21" w:rsidRDefault="007D4FE2" w:rsidP="00A05C21">
            <w:pPr>
              <w:spacing w:after="0" w:line="240" w:lineRule="auto"/>
              <w:jc w:val="center"/>
              <w:rPr>
                <w:rFonts w:cs="Calibri"/>
                <w:b/>
                <w:bCs/>
                <w:color w:val="FFFFFF"/>
                <w:sz w:val="20"/>
                <w:szCs w:val="20"/>
              </w:rPr>
            </w:pPr>
            <w:r w:rsidRPr="00A05C21">
              <w:rPr>
                <w:rFonts w:cs="Calibri"/>
                <w:b/>
                <w:bCs/>
                <w:color w:val="FFFFFF"/>
                <w:sz w:val="20"/>
                <w:szCs w:val="20"/>
              </w:rPr>
              <w:t>Cost*</w:t>
            </w:r>
          </w:p>
        </w:tc>
        <w:tc>
          <w:tcPr>
            <w:tcW w:w="1300" w:type="dxa"/>
            <w:tcBorders>
              <w:top w:val="nil"/>
              <w:left w:val="nil"/>
              <w:bottom w:val="nil"/>
              <w:right w:val="nil"/>
            </w:tcBorders>
            <w:shd w:val="clear" w:color="000000" w:fill="000000"/>
            <w:noWrap/>
            <w:vAlign w:val="bottom"/>
          </w:tcPr>
          <w:p w:rsidR="007D4FE2" w:rsidRPr="00EB543B" w:rsidRDefault="007D4FE2" w:rsidP="00EB543B">
            <w:pPr>
              <w:spacing w:after="0" w:line="240" w:lineRule="auto"/>
              <w:jc w:val="center"/>
              <w:rPr>
                <w:rFonts w:cs="Calibri"/>
                <w:b/>
                <w:bCs/>
                <w:color w:val="FFFFFF"/>
                <w:sz w:val="20"/>
                <w:szCs w:val="20"/>
              </w:rPr>
            </w:pPr>
            <w:r w:rsidRPr="00EB543B">
              <w:rPr>
                <w:rFonts w:cs="Calibri"/>
                <w:b/>
                <w:bCs/>
                <w:color w:val="FFFFFF"/>
                <w:sz w:val="20"/>
                <w:szCs w:val="20"/>
              </w:rPr>
              <w:t>Savings*</w:t>
            </w:r>
          </w:p>
        </w:tc>
      </w:tr>
      <w:tr w:rsidR="007D4FE2" w:rsidRPr="00B67B3C" w:rsidTr="00A05C21">
        <w:trPr>
          <w:trHeight w:val="315"/>
        </w:trPr>
        <w:tc>
          <w:tcPr>
            <w:tcW w:w="2620" w:type="dxa"/>
            <w:tcBorders>
              <w:top w:val="nil"/>
              <w:left w:val="nil"/>
              <w:bottom w:val="nil"/>
              <w:right w:val="nil"/>
            </w:tcBorders>
            <w:noWrap/>
            <w:vAlign w:val="bottom"/>
          </w:tcPr>
          <w:p w:rsidR="007D4FE2" w:rsidRPr="00A05C21" w:rsidRDefault="007D4FE2" w:rsidP="00A05C21">
            <w:pPr>
              <w:spacing w:after="0" w:line="240" w:lineRule="auto"/>
              <w:rPr>
                <w:rFonts w:cs="Calibri"/>
                <w:b/>
                <w:bCs/>
                <w:color w:val="000000"/>
                <w:sz w:val="20"/>
                <w:szCs w:val="20"/>
              </w:rPr>
            </w:pPr>
            <w:smartTag w:uri="urn:schemas-microsoft-com:office:smarttags" w:element="place">
              <w:smartTag w:uri="urn:schemas-microsoft-com:office:smarttags" w:element="State">
                <w:r w:rsidRPr="00A05C21">
                  <w:rPr>
                    <w:rFonts w:cs="Calibri"/>
                    <w:b/>
                    <w:bCs/>
                    <w:color w:val="000000"/>
                    <w:sz w:val="20"/>
                    <w:szCs w:val="20"/>
                  </w:rPr>
                  <w:t>Maine</w:t>
                </w:r>
              </w:smartTag>
            </w:smartTag>
            <w:r w:rsidRPr="00A05C21">
              <w:rPr>
                <w:rFonts w:cs="Calibri"/>
                <w:b/>
                <w:bCs/>
                <w:color w:val="000000"/>
                <w:sz w:val="20"/>
                <w:szCs w:val="20"/>
              </w:rPr>
              <w:t xml:space="preserve"> State Prison</w:t>
            </w:r>
          </w:p>
        </w:tc>
        <w:tc>
          <w:tcPr>
            <w:tcW w:w="1260" w:type="dxa"/>
            <w:tcBorders>
              <w:top w:val="nil"/>
              <w:left w:val="nil"/>
              <w:bottom w:val="nil"/>
              <w:right w:val="nil"/>
            </w:tcBorders>
            <w:noWrap/>
            <w:vAlign w:val="bottom"/>
          </w:tcPr>
          <w:p w:rsidR="007D4FE2" w:rsidRPr="00A05C21" w:rsidRDefault="007D4FE2" w:rsidP="00A05C21">
            <w:pPr>
              <w:spacing w:after="0" w:line="240" w:lineRule="auto"/>
              <w:jc w:val="center"/>
              <w:rPr>
                <w:rFonts w:cs="Calibri"/>
                <w:color w:val="000000"/>
                <w:sz w:val="20"/>
                <w:szCs w:val="20"/>
              </w:rPr>
            </w:pPr>
            <w:r w:rsidRPr="00A05C21">
              <w:rPr>
                <w:rFonts w:cs="Calibri"/>
                <w:color w:val="000000"/>
                <w:sz w:val="20"/>
                <w:szCs w:val="20"/>
              </w:rPr>
              <w:t>440,000</w:t>
            </w:r>
          </w:p>
        </w:tc>
        <w:tc>
          <w:tcPr>
            <w:tcW w:w="1240" w:type="dxa"/>
            <w:tcBorders>
              <w:top w:val="nil"/>
              <w:left w:val="nil"/>
              <w:bottom w:val="nil"/>
              <w:right w:val="nil"/>
            </w:tcBorders>
            <w:noWrap/>
            <w:vAlign w:val="bottom"/>
          </w:tcPr>
          <w:p w:rsidR="007D4FE2" w:rsidRPr="00A05C21" w:rsidRDefault="007D4FE2" w:rsidP="00A05C21">
            <w:pPr>
              <w:spacing w:after="0" w:line="240" w:lineRule="auto"/>
              <w:jc w:val="center"/>
              <w:rPr>
                <w:rFonts w:cs="Calibri"/>
                <w:color w:val="000000"/>
                <w:sz w:val="20"/>
                <w:szCs w:val="20"/>
              </w:rPr>
            </w:pPr>
            <w:r w:rsidRPr="00A05C21">
              <w:rPr>
                <w:rFonts w:cs="Calibri"/>
                <w:color w:val="000000"/>
                <w:sz w:val="20"/>
                <w:szCs w:val="20"/>
              </w:rPr>
              <w:t>$3.11</w:t>
            </w:r>
          </w:p>
        </w:tc>
        <w:tc>
          <w:tcPr>
            <w:tcW w:w="1480" w:type="dxa"/>
            <w:tcBorders>
              <w:top w:val="nil"/>
              <w:left w:val="nil"/>
              <w:bottom w:val="nil"/>
              <w:right w:val="nil"/>
            </w:tcBorders>
            <w:noWrap/>
            <w:vAlign w:val="bottom"/>
          </w:tcPr>
          <w:p w:rsidR="007D4FE2" w:rsidRPr="00A05C21" w:rsidRDefault="007D4FE2" w:rsidP="00A05C21">
            <w:pPr>
              <w:spacing w:after="0" w:line="240" w:lineRule="auto"/>
              <w:jc w:val="center"/>
              <w:rPr>
                <w:rFonts w:cs="Calibri"/>
                <w:color w:val="000000"/>
                <w:sz w:val="20"/>
                <w:szCs w:val="20"/>
              </w:rPr>
            </w:pPr>
            <w:r w:rsidRPr="00A05C21">
              <w:rPr>
                <w:rFonts w:cs="Calibri"/>
                <w:color w:val="000000"/>
                <w:sz w:val="20"/>
                <w:szCs w:val="20"/>
              </w:rPr>
              <w:t>$1,370,000</w:t>
            </w:r>
          </w:p>
        </w:tc>
        <w:tc>
          <w:tcPr>
            <w:tcW w:w="1360" w:type="dxa"/>
            <w:tcBorders>
              <w:top w:val="nil"/>
              <w:left w:val="nil"/>
              <w:bottom w:val="nil"/>
              <w:right w:val="nil"/>
            </w:tcBorders>
            <w:noWrap/>
            <w:vAlign w:val="bottom"/>
          </w:tcPr>
          <w:p w:rsidR="007D4FE2" w:rsidRPr="00A05C21" w:rsidRDefault="007D4FE2" w:rsidP="00A05C21">
            <w:pPr>
              <w:spacing w:after="0" w:line="240" w:lineRule="auto"/>
              <w:jc w:val="center"/>
              <w:rPr>
                <w:rFonts w:cs="Calibri"/>
                <w:color w:val="000000"/>
                <w:sz w:val="20"/>
                <w:szCs w:val="20"/>
              </w:rPr>
            </w:pPr>
            <w:r w:rsidRPr="00A05C21">
              <w:rPr>
                <w:rFonts w:cs="Calibri"/>
                <w:color w:val="000000"/>
                <w:sz w:val="20"/>
                <w:szCs w:val="20"/>
              </w:rPr>
              <w:t>$685,000</w:t>
            </w:r>
          </w:p>
        </w:tc>
        <w:tc>
          <w:tcPr>
            <w:tcW w:w="1300" w:type="dxa"/>
            <w:tcBorders>
              <w:top w:val="nil"/>
              <w:left w:val="nil"/>
              <w:bottom w:val="nil"/>
              <w:right w:val="nil"/>
            </w:tcBorders>
            <w:noWrap/>
            <w:vAlign w:val="bottom"/>
          </w:tcPr>
          <w:p w:rsidR="007D4FE2" w:rsidRPr="00A05C21" w:rsidRDefault="007D4FE2" w:rsidP="00A05C21">
            <w:pPr>
              <w:spacing w:after="0" w:line="240" w:lineRule="auto"/>
              <w:jc w:val="center"/>
              <w:rPr>
                <w:rFonts w:cs="Calibri"/>
                <w:color w:val="000000"/>
                <w:sz w:val="20"/>
                <w:szCs w:val="20"/>
              </w:rPr>
            </w:pPr>
            <w:r w:rsidRPr="00A05C21">
              <w:rPr>
                <w:rFonts w:cs="Calibri"/>
                <w:color w:val="000000"/>
                <w:sz w:val="20"/>
                <w:szCs w:val="20"/>
              </w:rPr>
              <w:t>$685,000</w:t>
            </w:r>
          </w:p>
        </w:tc>
      </w:tr>
      <w:tr w:rsidR="007D4FE2" w:rsidRPr="00B67B3C" w:rsidTr="00A05C21">
        <w:trPr>
          <w:trHeight w:val="315"/>
        </w:trPr>
        <w:tc>
          <w:tcPr>
            <w:tcW w:w="2620" w:type="dxa"/>
            <w:tcBorders>
              <w:top w:val="nil"/>
              <w:left w:val="nil"/>
              <w:bottom w:val="nil"/>
              <w:right w:val="nil"/>
            </w:tcBorders>
            <w:noWrap/>
            <w:vAlign w:val="bottom"/>
          </w:tcPr>
          <w:p w:rsidR="007D4FE2" w:rsidRPr="00A05C21" w:rsidRDefault="007D4FE2" w:rsidP="00A05C21">
            <w:pPr>
              <w:spacing w:after="0" w:line="240" w:lineRule="auto"/>
              <w:rPr>
                <w:rFonts w:cs="Calibri"/>
                <w:b/>
                <w:bCs/>
                <w:color w:val="000000"/>
                <w:sz w:val="20"/>
                <w:szCs w:val="20"/>
              </w:rPr>
            </w:pPr>
            <w:smartTag w:uri="urn:schemas-microsoft-com:office:smarttags" w:element="place">
              <w:smartTag w:uri="urn:schemas-microsoft-com:office:smarttags" w:element="PlaceName">
                <w:r w:rsidRPr="00A05C21">
                  <w:rPr>
                    <w:rFonts w:cs="Calibri"/>
                    <w:b/>
                    <w:bCs/>
                    <w:color w:val="000000"/>
                    <w:sz w:val="20"/>
                    <w:szCs w:val="20"/>
                  </w:rPr>
                  <w:t>Augusta</w:t>
                </w:r>
              </w:smartTag>
              <w:r w:rsidRPr="00A05C21">
                <w:rPr>
                  <w:rFonts w:cs="Calibri"/>
                  <w:b/>
                  <w:bCs/>
                  <w:color w:val="000000"/>
                  <w:sz w:val="20"/>
                  <w:szCs w:val="20"/>
                </w:rPr>
                <w:t xml:space="preserve"> </w:t>
              </w:r>
              <w:smartTag w:uri="urn:schemas-microsoft-com:office:smarttags" w:element="PlaceName">
                <w:r w:rsidRPr="00A05C21">
                  <w:rPr>
                    <w:rFonts w:cs="Calibri"/>
                    <w:b/>
                    <w:bCs/>
                    <w:color w:val="000000"/>
                    <w:sz w:val="20"/>
                    <w:szCs w:val="20"/>
                  </w:rPr>
                  <w:t>Area</w:t>
                </w:r>
              </w:smartTag>
              <w:r w:rsidRPr="00A05C21">
                <w:rPr>
                  <w:rFonts w:cs="Calibri"/>
                  <w:b/>
                  <w:bCs/>
                  <w:color w:val="000000"/>
                  <w:sz w:val="20"/>
                  <w:szCs w:val="20"/>
                </w:rPr>
                <w:t xml:space="preserve"> </w:t>
              </w:r>
              <w:smartTag w:uri="urn:schemas-microsoft-com:office:smarttags" w:element="PlaceType">
                <w:r w:rsidRPr="00A05C21">
                  <w:rPr>
                    <w:rFonts w:cs="Calibri"/>
                    <w:b/>
                    <w:bCs/>
                    <w:color w:val="000000"/>
                    <w:sz w:val="20"/>
                    <w:szCs w:val="20"/>
                  </w:rPr>
                  <w:t>State</w:t>
                </w:r>
              </w:smartTag>
            </w:smartTag>
            <w:r w:rsidRPr="00A05C21">
              <w:rPr>
                <w:rFonts w:cs="Calibri"/>
                <w:b/>
                <w:bCs/>
                <w:color w:val="000000"/>
                <w:sz w:val="20"/>
                <w:szCs w:val="20"/>
              </w:rPr>
              <w:t xml:space="preserve"> Facilities</w:t>
            </w:r>
          </w:p>
        </w:tc>
        <w:tc>
          <w:tcPr>
            <w:tcW w:w="1260" w:type="dxa"/>
            <w:tcBorders>
              <w:top w:val="nil"/>
              <w:left w:val="nil"/>
              <w:bottom w:val="nil"/>
              <w:right w:val="nil"/>
            </w:tcBorders>
            <w:noWrap/>
            <w:vAlign w:val="bottom"/>
          </w:tcPr>
          <w:p w:rsidR="007D4FE2" w:rsidRPr="00A05C21" w:rsidRDefault="007D4FE2" w:rsidP="00A05C21">
            <w:pPr>
              <w:spacing w:after="0" w:line="240" w:lineRule="auto"/>
              <w:jc w:val="center"/>
              <w:rPr>
                <w:rFonts w:cs="Calibri"/>
                <w:color w:val="000000"/>
                <w:sz w:val="20"/>
                <w:szCs w:val="20"/>
              </w:rPr>
            </w:pPr>
            <w:r w:rsidRPr="00A05C21">
              <w:rPr>
                <w:rFonts w:cs="Calibri"/>
                <w:color w:val="000000"/>
                <w:sz w:val="20"/>
                <w:szCs w:val="20"/>
              </w:rPr>
              <w:t>1,200,000</w:t>
            </w:r>
          </w:p>
        </w:tc>
        <w:tc>
          <w:tcPr>
            <w:tcW w:w="1240" w:type="dxa"/>
            <w:tcBorders>
              <w:top w:val="nil"/>
              <w:left w:val="nil"/>
              <w:bottom w:val="nil"/>
              <w:right w:val="nil"/>
            </w:tcBorders>
            <w:noWrap/>
            <w:vAlign w:val="bottom"/>
          </w:tcPr>
          <w:p w:rsidR="007D4FE2" w:rsidRPr="00A05C21" w:rsidRDefault="007D4FE2" w:rsidP="00A05C21">
            <w:pPr>
              <w:spacing w:after="0" w:line="240" w:lineRule="auto"/>
              <w:jc w:val="center"/>
              <w:rPr>
                <w:rFonts w:cs="Calibri"/>
                <w:color w:val="000000"/>
                <w:sz w:val="20"/>
                <w:szCs w:val="20"/>
              </w:rPr>
            </w:pPr>
            <w:r w:rsidRPr="00A05C21">
              <w:rPr>
                <w:rFonts w:cs="Calibri"/>
                <w:color w:val="000000"/>
                <w:sz w:val="20"/>
                <w:szCs w:val="20"/>
              </w:rPr>
              <w:t xml:space="preserve">$3.21 </w:t>
            </w:r>
          </w:p>
        </w:tc>
        <w:tc>
          <w:tcPr>
            <w:tcW w:w="1480" w:type="dxa"/>
            <w:tcBorders>
              <w:top w:val="nil"/>
              <w:left w:val="nil"/>
              <w:bottom w:val="nil"/>
              <w:right w:val="nil"/>
            </w:tcBorders>
            <w:noWrap/>
            <w:vAlign w:val="bottom"/>
          </w:tcPr>
          <w:p w:rsidR="007D4FE2" w:rsidRPr="00A05C21" w:rsidRDefault="007D4FE2" w:rsidP="00A05C21">
            <w:pPr>
              <w:spacing w:after="0" w:line="240" w:lineRule="auto"/>
              <w:jc w:val="center"/>
              <w:rPr>
                <w:rFonts w:cs="Calibri"/>
                <w:color w:val="000000"/>
                <w:sz w:val="20"/>
                <w:szCs w:val="20"/>
              </w:rPr>
            </w:pPr>
            <w:r w:rsidRPr="00A05C21">
              <w:rPr>
                <w:rFonts w:cs="Calibri"/>
                <w:color w:val="000000"/>
                <w:sz w:val="20"/>
                <w:szCs w:val="20"/>
              </w:rPr>
              <w:t>$3,850,000</w:t>
            </w:r>
          </w:p>
        </w:tc>
        <w:tc>
          <w:tcPr>
            <w:tcW w:w="1360" w:type="dxa"/>
            <w:tcBorders>
              <w:top w:val="nil"/>
              <w:left w:val="nil"/>
              <w:bottom w:val="nil"/>
              <w:right w:val="nil"/>
            </w:tcBorders>
            <w:noWrap/>
            <w:vAlign w:val="bottom"/>
          </w:tcPr>
          <w:p w:rsidR="007D4FE2" w:rsidRPr="00A05C21" w:rsidRDefault="007D4FE2" w:rsidP="00A05C21">
            <w:pPr>
              <w:spacing w:after="0" w:line="240" w:lineRule="auto"/>
              <w:jc w:val="center"/>
              <w:rPr>
                <w:rFonts w:cs="Calibri"/>
                <w:color w:val="000000"/>
                <w:sz w:val="20"/>
                <w:szCs w:val="20"/>
              </w:rPr>
            </w:pPr>
            <w:r w:rsidRPr="00A05C21">
              <w:rPr>
                <w:rFonts w:cs="Calibri"/>
                <w:color w:val="000000"/>
                <w:sz w:val="20"/>
                <w:szCs w:val="20"/>
              </w:rPr>
              <w:t>$1,925,000</w:t>
            </w:r>
          </w:p>
        </w:tc>
        <w:tc>
          <w:tcPr>
            <w:tcW w:w="1300" w:type="dxa"/>
            <w:tcBorders>
              <w:top w:val="nil"/>
              <w:left w:val="nil"/>
              <w:bottom w:val="nil"/>
              <w:right w:val="nil"/>
            </w:tcBorders>
            <w:noWrap/>
            <w:vAlign w:val="bottom"/>
          </w:tcPr>
          <w:p w:rsidR="007D4FE2" w:rsidRPr="00A05C21" w:rsidRDefault="007D4FE2" w:rsidP="00A05C21">
            <w:pPr>
              <w:spacing w:after="0" w:line="240" w:lineRule="auto"/>
              <w:jc w:val="center"/>
              <w:rPr>
                <w:rFonts w:cs="Calibri"/>
                <w:color w:val="000000"/>
                <w:sz w:val="20"/>
                <w:szCs w:val="20"/>
              </w:rPr>
            </w:pPr>
            <w:r w:rsidRPr="00A05C21">
              <w:rPr>
                <w:rFonts w:cs="Calibri"/>
                <w:color w:val="000000"/>
                <w:sz w:val="20"/>
                <w:szCs w:val="20"/>
              </w:rPr>
              <w:t>$1,925,000</w:t>
            </w:r>
          </w:p>
        </w:tc>
      </w:tr>
    </w:tbl>
    <w:p w:rsidR="007D4FE2" w:rsidRPr="00A05C21" w:rsidRDefault="007D4FE2" w:rsidP="00A05C21">
      <w:pPr>
        <w:pStyle w:val="NoSpacing"/>
        <w:jc w:val="center"/>
        <w:rPr>
          <w:i/>
        </w:rPr>
      </w:pPr>
      <w:r w:rsidRPr="00A05C21">
        <w:rPr>
          <w:i/>
        </w:rPr>
        <w:t xml:space="preserve">*Based on the cost </w:t>
      </w:r>
      <w:r>
        <w:rPr>
          <w:i/>
        </w:rPr>
        <w:t>of</w:t>
      </w:r>
      <w:r w:rsidRPr="00A05C21">
        <w:rPr>
          <w:i/>
        </w:rPr>
        <w:t xml:space="preserve"> natural gas being 50% of the equivalent energy-equivalent of fuel oil</w:t>
      </w:r>
      <w:r>
        <w:rPr>
          <w:i/>
        </w:rPr>
        <w:t>.</w:t>
      </w:r>
    </w:p>
    <w:p w:rsidR="007D4FE2" w:rsidRDefault="007D4FE2" w:rsidP="00D70181">
      <w:pPr>
        <w:pStyle w:val="NoSpacing"/>
        <w:rPr>
          <w:i/>
        </w:rPr>
      </w:pPr>
      <w:r>
        <w:rPr>
          <w:i/>
        </w:rPr>
        <w:t xml:space="preserve">             </w:t>
      </w:r>
      <w:r w:rsidRPr="00023CFD">
        <w:rPr>
          <w:i/>
        </w:rPr>
        <w:t xml:space="preserve">NOTE that these projections are based upon current FY12 figures, but that natural gas will </w:t>
      </w:r>
      <w:r>
        <w:rPr>
          <w:i/>
        </w:rPr>
        <w:t>most</w:t>
      </w:r>
    </w:p>
    <w:p w:rsidR="007D4FE2" w:rsidRPr="00023CFD" w:rsidRDefault="007D4FE2" w:rsidP="00D70181">
      <w:pPr>
        <w:pStyle w:val="NoSpacing"/>
        <w:rPr>
          <w:i/>
        </w:rPr>
      </w:pPr>
      <w:r>
        <w:rPr>
          <w:i/>
        </w:rPr>
        <w:t xml:space="preserve">             likely </w:t>
      </w:r>
      <w:r w:rsidRPr="00023CFD">
        <w:rPr>
          <w:i/>
        </w:rPr>
        <w:t>not</w:t>
      </w:r>
      <w:r>
        <w:rPr>
          <w:i/>
        </w:rPr>
        <w:t xml:space="preserve"> </w:t>
      </w:r>
      <w:r w:rsidRPr="00023CFD">
        <w:rPr>
          <w:i/>
        </w:rPr>
        <w:t>be available in most locations until FY14</w:t>
      </w:r>
    </w:p>
    <w:p w:rsidR="007D4FE2" w:rsidRDefault="007D4FE2" w:rsidP="00EB543B">
      <w:pPr>
        <w:pStyle w:val="NoSpacing"/>
        <w:numPr>
          <w:ilvl w:val="0"/>
          <w:numId w:val="3"/>
        </w:numPr>
        <w:rPr>
          <w:sz w:val="24"/>
          <w:szCs w:val="24"/>
        </w:rPr>
      </w:pPr>
      <w:r>
        <w:rPr>
          <w:sz w:val="24"/>
          <w:szCs w:val="24"/>
        </w:rPr>
        <w:t xml:space="preserve">If natural gas was </w:t>
      </w:r>
      <w:r w:rsidRPr="00023CFD">
        <w:rPr>
          <w:i/>
          <w:sz w:val="24"/>
          <w:szCs w:val="24"/>
        </w:rPr>
        <w:t>now</w:t>
      </w:r>
      <w:r>
        <w:rPr>
          <w:sz w:val="24"/>
          <w:szCs w:val="24"/>
        </w:rPr>
        <w:t xml:space="preserve"> available to serve all State facilities in the Augusta/Hallowell area and at the Maine State Prison, the savings to the State of </w:t>
      </w:r>
      <w:smartTag w:uri="urn:schemas-microsoft-com:office:smarttags" w:element="place">
        <w:smartTag w:uri="urn:schemas-microsoft-com:office:smarttags" w:element="State">
          <w:r>
            <w:rPr>
              <w:sz w:val="24"/>
              <w:szCs w:val="24"/>
            </w:rPr>
            <w:t>Maine</w:t>
          </w:r>
        </w:smartTag>
      </w:smartTag>
      <w:r>
        <w:rPr>
          <w:sz w:val="24"/>
          <w:szCs w:val="24"/>
        </w:rPr>
        <w:t xml:space="preserve"> would be on the order of $2.5 million to $3.0 million in FY12 based upon current consumption patterns and pricing. Gas will most likely not be available in most of these locations until FY14.</w:t>
      </w:r>
      <w:bookmarkStart w:id="0" w:name="_GoBack"/>
      <w:bookmarkEnd w:id="0"/>
    </w:p>
    <w:p w:rsidR="007D4FE2" w:rsidRDefault="007D4FE2" w:rsidP="00D70181">
      <w:pPr>
        <w:pStyle w:val="NoSpacing"/>
        <w:rPr>
          <w:sz w:val="24"/>
          <w:szCs w:val="24"/>
        </w:rPr>
      </w:pPr>
    </w:p>
    <w:p w:rsidR="007D4FE2" w:rsidRDefault="007D4FE2" w:rsidP="00D70181">
      <w:pPr>
        <w:pStyle w:val="NoSpacing"/>
        <w:rPr>
          <w:sz w:val="24"/>
          <w:szCs w:val="24"/>
        </w:rPr>
      </w:pPr>
      <w:r>
        <w:rPr>
          <w:sz w:val="24"/>
          <w:szCs w:val="24"/>
        </w:rPr>
        <w:t>The Bureau of General Services is now drafting an RFP to identify companies capable of supplying natural gas to these state facilities. It is expected to be issued in January, 2012 in anticipation of natural gas being possibly available at some locations in 2013.</w:t>
      </w:r>
    </w:p>
    <w:p w:rsidR="007D4FE2" w:rsidRDefault="007D4FE2" w:rsidP="00D70181">
      <w:pPr>
        <w:pStyle w:val="NoSpacing"/>
        <w:rPr>
          <w:sz w:val="24"/>
          <w:szCs w:val="24"/>
        </w:rPr>
      </w:pPr>
    </w:p>
    <w:p w:rsidR="007D4FE2" w:rsidRDefault="007D4FE2" w:rsidP="00D70181">
      <w:pPr>
        <w:pStyle w:val="NoSpacing"/>
        <w:rPr>
          <w:sz w:val="24"/>
          <w:szCs w:val="24"/>
        </w:rPr>
      </w:pPr>
      <w:r>
        <w:rPr>
          <w:sz w:val="24"/>
          <w:szCs w:val="24"/>
        </w:rPr>
        <w:t>The Maine State Prison is of particular interest because it has a system capable of using natural gas (but requiring a $10,000 - $25,000 retrofit). Moreover, is possible to supply the prison with natural gas in the near-term via truck. This strategy would require the installation of gas-storage equipment at the prison site for use until the pipeline has been completed, at which time the gas-storage equipment would be removed and the site would be connected permanently to the new gas pipeline.</w:t>
      </w:r>
    </w:p>
    <w:p w:rsidR="007D4FE2" w:rsidRDefault="007D4FE2" w:rsidP="00D70181">
      <w:pPr>
        <w:pStyle w:val="NoSpacing"/>
        <w:rPr>
          <w:sz w:val="24"/>
          <w:szCs w:val="24"/>
        </w:rPr>
      </w:pPr>
    </w:p>
    <w:p w:rsidR="007D4FE2" w:rsidRDefault="007D4FE2" w:rsidP="00D70181">
      <w:pPr>
        <w:pStyle w:val="NoSpacing"/>
        <w:rPr>
          <w:sz w:val="24"/>
          <w:szCs w:val="24"/>
        </w:rPr>
      </w:pPr>
      <w:r>
        <w:rPr>
          <w:sz w:val="24"/>
          <w:szCs w:val="24"/>
        </w:rPr>
        <w:t>Assuming the all-in cost of supplying trucked natural gas is 75% of the energy-equivalent of fuel oil, the savings at the prison complex for FY13 would be:</w:t>
      </w:r>
    </w:p>
    <w:p w:rsidR="007D4FE2" w:rsidRDefault="007D4FE2" w:rsidP="00D70181">
      <w:pPr>
        <w:pStyle w:val="NoSpacing"/>
        <w:rPr>
          <w:sz w:val="24"/>
          <w:szCs w:val="24"/>
        </w:rPr>
      </w:pPr>
    </w:p>
    <w:tbl>
      <w:tblPr>
        <w:tblW w:w="9260" w:type="dxa"/>
        <w:tblInd w:w="93" w:type="dxa"/>
        <w:tblLook w:val="00A0"/>
      </w:tblPr>
      <w:tblGrid>
        <w:gridCol w:w="2620"/>
        <w:gridCol w:w="1260"/>
        <w:gridCol w:w="1240"/>
        <w:gridCol w:w="1480"/>
        <w:gridCol w:w="1360"/>
        <w:gridCol w:w="1300"/>
      </w:tblGrid>
      <w:tr w:rsidR="007D4FE2" w:rsidRPr="00B67B3C" w:rsidTr="00A05C21">
        <w:trPr>
          <w:trHeight w:val="315"/>
        </w:trPr>
        <w:tc>
          <w:tcPr>
            <w:tcW w:w="2620" w:type="dxa"/>
            <w:tcBorders>
              <w:top w:val="nil"/>
              <w:left w:val="nil"/>
              <w:bottom w:val="nil"/>
              <w:right w:val="nil"/>
            </w:tcBorders>
            <w:noWrap/>
            <w:vAlign w:val="bottom"/>
          </w:tcPr>
          <w:p w:rsidR="007D4FE2" w:rsidRPr="00A05C21" w:rsidRDefault="007D4FE2" w:rsidP="00A05C21">
            <w:pPr>
              <w:spacing w:after="0" w:line="240" w:lineRule="auto"/>
              <w:rPr>
                <w:rFonts w:cs="Calibri"/>
                <w:color w:val="000000"/>
                <w:sz w:val="20"/>
                <w:szCs w:val="20"/>
              </w:rPr>
            </w:pPr>
          </w:p>
        </w:tc>
        <w:tc>
          <w:tcPr>
            <w:tcW w:w="1260" w:type="dxa"/>
            <w:tcBorders>
              <w:top w:val="nil"/>
              <w:left w:val="nil"/>
              <w:bottom w:val="nil"/>
              <w:right w:val="nil"/>
            </w:tcBorders>
            <w:shd w:val="clear" w:color="000000" w:fill="000000"/>
            <w:noWrap/>
            <w:vAlign w:val="bottom"/>
          </w:tcPr>
          <w:p w:rsidR="007D4FE2" w:rsidRPr="00A05C21" w:rsidRDefault="007D4FE2" w:rsidP="00A05C21">
            <w:pPr>
              <w:spacing w:after="0" w:line="240" w:lineRule="auto"/>
              <w:rPr>
                <w:rFonts w:cs="Calibri"/>
                <w:color w:val="FFFFFF"/>
                <w:sz w:val="20"/>
                <w:szCs w:val="20"/>
              </w:rPr>
            </w:pPr>
            <w:r w:rsidRPr="00A05C21">
              <w:rPr>
                <w:rFonts w:cs="Calibri"/>
                <w:color w:val="FFFFFF"/>
                <w:sz w:val="20"/>
                <w:szCs w:val="20"/>
              </w:rPr>
              <w:t> </w:t>
            </w:r>
          </w:p>
        </w:tc>
        <w:tc>
          <w:tcPr>
            <w:tcW w:w="1240" w:type="dxa"/>
            <w:tcBorders>
              <w:top w:val="nil"/>
              <w:left w:val="nil"/>
              <w:bottom w:val="nil"/>
              <w:right w:val="nil"/>
            </w:tcBorders>
            <w:shd w:val="clear" w:color="000000" w:fill="000000"/>
            <w:noWrap/>
            <w:vAlign w:val="bottom"/>
          </w:tcPr>
          <w:p w:rsidR="007D4FE2" w:rsidRPr="00A05C21" w:rsidRDefault="007D4FE2" w:rsidP="00A05C21">
            <w:pPr>
              <w:spacing w:after="0" w:line="240" w:lineRule="auto"/>
              <w:jc w:val="center"/>
              <w:rPr>
                <w:rFonts w:cs="Calibri"/>
                <w:b/>
                <w:bCs/>
                <w:color w:val="FFFFFF"/>
                <w:sz w:val="20"/>
                <w:szCs w:val="20"/>
              </w:rPr>
            </w:pPr>
            <w:r w:rsidRPr="00A05C21">
              <w:rPr>
                <w:rFonts w:cs="Calibri"/>
                <w:b/>
                <w:bCs/>
                <w:color w:val="FFFFFF"/>
                <w:sz w:val="20"/>
                <w:szCs w:val="20"/>
              </w:rPr>
              <w:t>FY13</w:t>
            </w:r>
          </w:p>
        </w:tc>
        <w:tc>
          <w:tcPr>
            <w:tcW w:w="1480" w:type="dxa"/>
            <w:tcBorders>
              <w:top w:val="nil"/>
              <w:left w:val="nil"/>
              <w:bottom w:val="nil"/>
              <w:right w:val="nil"/>
            </w:tcBorders>
            <w:shd w:val="clear" w:color="000000" w:fill="000000"/>
            <w:noWrap/>
            <w:vAlign w:val="bottom"/>
          </w:tcPr>
          <w:p w:rsidR="007D4FE2" w:rsidRPr="00A05C21" w:rsidRDefault="007D4FE2" w:rsidP="00A05C21">
            <w:pPr>
              <w:spacing w:after="0" w:line="240" w:lineRule="auto"/>
              <w:jc w:val="center"/>
              <w:rPr>
                <w:rFonts w:cs="Calibri"/>
                <w:b/>
                <w:bCs/>
                <w:color w:val="FFFFFF"/>
                <w:sz w:val="20"/>
                <w:szCs w:val="20"/>
              </w:rPr>
            </w:pPr>
            <w:r w:rsidRPr="00A05C21">
              <w:rPr>
                <w:rFonts w:cs="Calibri"/>
                <w:b/>
                <w:bCs/>
                <w:color w:val="FFFFFF"/>
                <w:sz w:val="20"/>
                <w:szCs w:val="20"/>
              </w:rPr>
              <w:t>FY13</w:t>
            </w:r>
          </w:p>
        </w:tc>
        <w:tc>
          <w:tcPr>
            <w:tcW w:w="1360" w:type="dxa"/>
            <w:tcBorders>
              <w:top w:val="nil"/>
              <w:left w:val="nil"/>
              <w:bottom w:val="nil"/>
              <w:right w:val="nil"/>
            </w:tcBorders>
            <w:shd w:val="clear" w:color="000000" w:fill="000000"/>
            <w:noWrap/>
            <w:vAlign w:val="bottom"/>
          </w:tcPr>
          <w:p w:rsidR="007D4FE2" w:rsidRPr="00A05C21" w:rsidRDefault="007D4FE2" w:rsidP="00A05C21">
            <w:pPr>
              <w:spacing w:after="0" w:line="240" w:lineRule="auto"/>
              <w:jc w:val="center"/>
              <w:rPr>
                <w:rFonts w:cs="Calibri"/>
                <w:b/>
                <w:bCs/>
                <w:color w:val="FFFFFF"/>
                <w:sz w:val="20"/>
                <w:szCs w:val="20"/>
              </w:rPr>
            </w:pPr>
            <w:r w:rsidRPr="00A05C21">
              <w:rPr>
                <w:rFonts w:cs="Calibri"/>
                <w:b/>
                <w:bCs/>
                <w:color w:val="FFFFFF"/>
                <w:sz w:val="20"/>
                <w:szCs w:val="20"/>
              </w:rPr>
              <w:t>FY13</w:t>
            </w:r>
          </w:p>
        </w:tc>
        <w:tc>
          <w:tcPr>
            <w:tcW w:w="1300" w:type="dxa"/>
            <w:tcBorders>
              <w:top w:val="nil"/>
              <w:left w:val="nil"/>
              <w:bottom w:val="nil"/>
              <w:right w:val="nil"/>
            </w:tcBorders>
            <w:shd w:val="clear" w:color="000000" w:fill="000000"/>
            <w:noWrap/>
            <w:vAlign w:val="bottom"/>
          </w:tcPr>
          <w:p w:rsidR="007D4FE2" w:rsidRPr="00A05C21" w:rsidRDefault="007D4FE2" w:rsidP="00A05C21">
            <w:pPr>
              <w:spacing w:after="0" w:line="240" w:lineRule="auto"/>
              <w:jc w:val="center"/>
              <w:rPr>
                <w:rFonts w:cs="Calibri"/>
                <w:b/>
                <w:bCs/>
                <w:color w:val="FFFFFF"/>
                <w:sz w:val="20"/>
                <w:szCs w:val="20"/>
              </w:rPr>
            </w:pPr>
            <w:r w:rsidRPr="00A05C21">
              <w:rPr>
                <w:rFonts w:cs="Calibri"/>
                <w:b/>
                <w:bCs/>
                <w:color w:val="FFFFFF"/>
                <w:sz w:val="20"/>
                <w:szCs w:val="20"/>
              </w:rPr>
              <w:t>FY13</w:t>
            </w:r>
          </w:p>
        </w:tc>
      </w:tr>
      <w:tr w:rsidR="007D4FE2" w:rsidRPr="00B67B3C" w:rsidTr="00A05C21">
        <w:trPr>
          <w:trHeight w:val="300"/>
        </w:trPr>
        <w:tc>
          <w:tcPr>
            <w:tcW w:w="2620" w:type="dxa"/>
            <w:tcBorders>
              <w:top w:val="nil"/>
              <w:left w:val="nil"/>
              <w:bottom w:val="nil"/>
              <w:right w:val="nil"/>
            </w:tcBorders>
            <w:noWrap/>
            <w:vAlign w:val="bottom"/>
          </w:tcPr>
          <w:p w:rsidR="007D4FE2" w:rsidRPr="00A05C21" w:rsidRDefault="007D4FE2" w:rsidP="00A05C21">
            <w:pPr>
              <w:spacing w:after="0" w:line="240" w:lineRule="auto"/>
              <w:rPr>
                <w:rFonts w:cs="Calibri"/>
                <w:color w:val="000000"/>
                <w:sz w:val="20"/>
                <w:szCs w:val="20"/>
              </w:rPr>
            </w:pPr>
          </w:p>
        </w:tc>
        <w:tc>
          <w:tcPr>
            <w:tcW w:w="1260" w:type="dxa"/>
            <w:tcBorders>
              <w:top w:val="nil"/>
              <w:left w:val="nil"/>
              <w:bottom w:val="nil"/>
              <w:right w:val="nil"/>
            </w:tcBorders>
            <w:shd w:val="clear" w:color="000000" w:fill="000000"/>
            <w:noWrap/>
            <w:vAlign w:val="bottom"/>
          </w:tcPr>
          <w:p w:rsidR="007D4FE2" w:rsidRPr="00A05C21" w:rsidRDefault="007D4FE2" w:rsidP="00A05C21">
            <w:pPr>
              <w:spacing w:after="0" w:line="240" w:lineRule="auto"/>
              <w:jc w:val="center"/>
              <w:rPr>
                <w:rFonts w:cs="Calibri"/>
                <w:b/>
                <w:bCs/>
                <w:color w:val="FFFFFF"/>
                <w:sz w:val="20"/>
                <w:szCs w:val="20"/>
              </w:rPr>
            </w:pPr>
            <w:r w:rsidRPr="00A05C21">
              <w:rPr>
                <w:rFonts w:cs="Calibri"/>
                <w:b/>
                <w:bCs/>
                <w:color w:val="FFFFFF"/>
                <w:sz w:val="20"/>
                <w:szCs w:val="20"/>
              </w:rPr>
              <w:t>Fuel Oil</w:t>
            </w:r>
          </w:p>
        </w:tc>
        <w:tc>
          <w:tcPr>
            <w:tcW w:w="1240" w:type="dxa"/>
            <w:tcBorders>
              <w:top w:val="nil"/>
              <w:left w:val="nil"/>
              <w:bottom w:val="nil"/>
              <w:right w:val="nil"/>
            </w:tcBorders>
            <w:shd w:val="clear" w:color="000000" w:fill="000000"/>
            <w:noWrap/>
            <w:vAlign w:val="bottom"/>
          </w:tcPr>
          <w:p w:rsidR="007D4FE2" w:rsidRPr="00A05C21" w:rsidRDefault="007D4FE2" w:rsidP="00A05C21">
            <w:pPr>
              <w:spacing w:after="0" w:line="240" w:lineRule="auto"/>
              <w:jc w:val="center"/>
              <w:rPr>
                <w:rFonts w:cs="Calibri"/>
                <w:b/>
                <w:bCs/>
                <w:color w:val="FFFFFF"/>
                <w:sz w:val="20"/>
                <w:szCs w:val="20"/>
              </w:rPr>
            </w:pPr>
            <w:r w:rsidRPr="00A05C21">
              <w:rPr>
                <w:rFonts w:cs="Calibri"/>
                <w:b/>
                <w:bCs/>
                <w:color w:val="FFFFFF"/>
                <w:sz w:val="20"/>
                <w:szCs w:val="20"/>
              </w:rPr>
              <w:t>Fuel Oil</w:t>
            </w:r>
          </w:p>
        </w:tc>
        <w:tc>
          <w:tcPr>
            <w:tcW w:w="1480" w:type="dxa"/>
            <w:tcBorders>
              <w:top w:val="nil"/>
              <w:left w:val="nil"/>
              <w:bottom w:val="nil"/>
              <w:right w:val="nil"/>
            </w:tcBorders>
            <w:shd w:val="clear" w:color="000000" w:fill="000000"/>
            <w:noWrap/>
            <w:vAlign w:val="bottom"/>
          </w:tcPr>
          <w:p w:rsidR="007D4FE2" w:rsidRPr="00A05C21" w:rsidRDefault="007D4FE2" w:rsidP="00A05C21">
            <w:pPr>
              <w:spacing w:after="0" w:line="240" w:lineRule="auto"/>
              <w:jc w:val="center"/>
              <w:rPr>
                <w:rFonts w:cs="Calibri"/>
                <w:b/>
                <w:bCs/>
                <w:color w:val="FFFFFF"/>
                <w:sz w:val="20"/>
                <w:szCs w:val="20"/>
              </w:rPr>
            </w:pPr>
            <w:r w:rsidRPr="00A05C21">
              <w:rPr>
                <w:rFonts w:cs="Calibri"/>
                <w:b/>
                <w:bCs/>
                <w:color w:val="FFFFFF"/>
                <w:sz w:val="20"/>
                <w:szCs w:val="20"/>
              </w:rPr>
              <w:t>Annual</w:t>
            </w:r>
          </w:p>
        </w:tc>
        <w:tc>
          <w:tcPr>
            <w:tcW w:w="1360" w:type="dxa"/>
            <w:tcBorders>
              <w:top w:val="nil"/>
              <w:left w:val="nil"/>
              <w:bottom w:val="nil"/>
              <w:right w:val="nil"/>
            </w:tcBorders>
            <w:shd w:val="clear" w:color="000000" w:fill="000000"/>
            <w:noWrap/>
            <w:vAlign w:val="bottom"/>
          </w:tcPr>
          <w:p w:rsidR="007D4FE2" w:rsidRPr="00A05C21" w:rsidRDefault="007D4FE2" w:rsidP="00A05C21">
            <w:pPr>
              <w:spacing w:after="0" w:line="240" w:lineRule="auto"/>
              <w:jc w:val="center"/>
              <w:rPr>
                <w:rFonts w:cs="Calibri"/>
                <w:b/>
                <w:bCs/>
                <w:color w:val="FFFFFF"/>
                <w:sz w:val="20"/>
                <w:szCs w:val="20"/>
              </w:rPr>
            </w:pPr>
            <w:r w:rsidRPr="00A05C21">
              <w:rPr>
                <w:rFonts w:cs="Calibri"/>
                <w:b/>
                <w:bCs/>
                <w:color w:val="FFFFFF"/>
                <w:sz w:val="20"/>
                <w:szCs w:val="20"/>
              </w:rPr>
              <w:t>Trucked</w:t>
            </w:r>
          </w:p>
        </w:tc>
        <w:tc>
          <w:tcPr>
            <w:tcW w:w="1300" w:type="dxa"/>
            <w:tcBorders>
              <w:top w:val="nil"/>
              <w:left w:val="nil"/>
              <w:bottom w:val="nil"/>
              <w:right w:val="nil"/>
            </w:tcBorders>
            <w:shd w:val="clear" w:color="000000" w:fill="000000"/>
            <w:noWrap/>
            <w:vAlign w:val="bottom"/>
          </w:tcPr>
          <w:p w:rsidR="007D4FE2" w:rsidRPr="00A05C21" w:rsidRDefault="007D4FE2" w:rsidP="00A05C21">
            <w:pPr>
              <w:spacing w:after="0" w:line="240" w:lineRule="auto"/>
              <w:rPr>
                <w:rFonts w:cs="Calibri"/>
                <w:color w:val="FFFFFF"/>
                <w:sz w:val="20"/>
                <w:szCs w:val="20"/>
              </w:rPr>
            </w:pPr>
            <w:r w:rsidRPr="00A05C21">
              <w:rPr>
                <w:rFonts w:cs="Calibri"/>
                <w:color w:val="FFFFFF"/>
                <w:sz w:val="20"/>
                <w:szCs w:val="20"/>
              </w:rPr>
              <w:t> </w:t>
            </w:r>
          </w:p>
        </w:tc>
      </w:tr>
      <w:tr w:rsidR="007D4FE2" w:rsidRPr="00B67B3C" w:rsidTr="00A05C21">
        <w:trPr>
          <w:trHeight w:val="300"/>
        </w:trPr>
        <w:tc>
          <w:tcPr>
            <w:tcW w:w="2620" w:type="dxa"/>
            <w:tcBorders>
              <w:top w:val="nil"/>
              <w:left w:val="nil"/>
              <w:bottom w:val="nil"/>
              <w:right w:val="nil"/>
            </w:tcBorders>
            <w:noWrap/>
            <w:vAlign w:val="bottom"/>
          </w:tcPr>
          <w:p w:rsidR="007D4FE2" w:rsidRPr="00A05C21" w:rsidRDefault="007D4FE2" w:rsidP="00A05C21">
            <w:pPr>
              <w:spacing w:after="0" w:line="240" w:lineRule="auto"/>
              <w:rPr>
                <w:rFonts w:cs="Calibri"/>
                <w:color w:val="000000"/>
                <w:sz w:val="20"/>
                <w:szCs w:val="20"/>
              </w:rPr>
            </w:pPr>
          </w:p>
        </w:tc>
        <w:tc>
          <w:tcPr>
            <w:tcW w:w="1260" w:type="dxa"/>
            <w:tcBorders>
              <w:top w:val="nil"/>
              <w:left w:val="nil"/>
              <w:bottom w:val="nil"/>
              <w:right w:val="nil"/>
            </w:tcBorders>
            <w:shd w:val="clear" w:color="000000" w:fill="000000"/>
            <w:noWrap/>
            <w:vAlign w:val="bottom"/>
          </w:tcPr>
          <w:p w:rsidR="007D4FE2" w:rsidRPr="00A05C21" w:rsidRDefault="007D4FE2" w:rsidP="00A05C21">
            <w:pPr>
              <w:spacing w:after="0" w:line="240" w:lineRule="auto"/>
              <w:jc w:val="center"/>
              <w:rPr>
                <w:rFonts w:cs="Calibri"/>
                <w:b/>
                <w:bCs/>
                <w:color w:val="FFFFFF"/>
                <w:sz w:val="20"/>
                <w:szCs w:val="20"/>
              </w:rPr>
            </w:pPr>
            <w:r w:rsidRPr="00A05C21">
              <w:rPr>
                <w:rFonts w:cs="Calibri"/>
                <w:b/>
                <w:bCs/>
                <w:color w:val="FFFFFF"/>
                <w:sz w:val="20"/>
                <w:szCs w:val="20"/>
              </w:rPr>
              <w:t>Usage</w:t>
            </w:r>
          </w:p>
        </w:tc>
        <w:tc>
          <w:tcPr>
            <w:tcW w:w="1240" w:type="dxa"/>
            <w:tcBorders>
              <w:top w:val="nil"/>
              <w:left w:val="nil"/>
              <w:bottom w:val="nil"/>
              <w:right w:val="nil"/>
            </w:tcBorders>
            <w:shd w:val="clear" w:color="000000" w:fill="000000"/>
            <w:noWrap/>
            <w:vAlign w:val="bottom"/>
          </w:tcPr>
          <w:p w:rsidR="007D4FE2" w:rsidRPr="00A05C21" w:rsidRDefault="007D4FE2" w:rsidP="00A05C21">
            <w:pPr>
              <w:spacing w:after="0" w:line="240" w:lineRule="auto"/>
              <w:jc w:val="center"/>
              <w:rPr>
                <w:rFonts w:cs="Calibri"/>
                <w:b/>
                <w:bCs/>
                <w:color w:val="FFFFFF"/>
                <w:sz w:val="20"/>
                <w:szCs w:val="20"/>
              </w:rPr>
            </w:pPr>
            <w:r w:rsidRPr="00A05C21">
              <w:rPr>
                <w:rFonts w:cs="Calibri"/>
                <w:b/>
                <w:bCs/>
                <w:color w:val="FFFFFF"/>
                <w:sz w:val="20"/>
                <w:szCs w:val="20"/>
              </w:rPr>
              <w:t>Price</w:t>
            </w:r>
          </w:p>
        </w:tc>
        <w:tc>
          <w:tcPr>
            <w:tcW w:w="1480" w:type="dxa"/>
            <w:tcBorders>
              <w:top w:val="nil"/>
              <w:left w:val="nil"/>
              <w:bottom w:val="nil"/>
              <w:right w:val="nil"/>
            </w:tcBorders>
            <w:shd w:val="clear" w:color="000000" w:fill="000000"/>
            <w:noWrap/>
            <w:vAlign w:val="bottom"/>
          </w:tcPr>
          <w:p w:rsidR="007D4FE2" w:rsidRPr="00A05C21" w:rsidRDefault="007D4FE2" w:rsidP="00A05C21">
            <w:pPr>
              <w:spacing w:after="0" w:line="240" w:lineRule="auto"/>
              <w:jc w:val="center"/>
              <w:rPr>
                <w:rFonts w:cs="Calibri"/>
                <w:b/>
                <w:bCs/>
                <w:color w:val="FFFFFF"/>
                <w:sz w:val="20"/>
                <w:szCs w:val="20"/>
              </w:rPr>
            </w:pPr>
            <w:r w:rsidRPr="00A05C21">
              <w:rPr>
                <w:rFonts w:cs="Calibri"/>
                <w:b/>
                <w:bCs/>
                <w:color w:val="FFFFFF"/>
                <w:sz w:val="20"/>
                <w:szCs w:val="20"/>
              </w:rPr>
              <w:t>Fuel Oil</w:t>
            </w:r>
          </w:p>
        </w:tc>
        <w:tc>
          <w:tcPr>
            <w:tcW w:w="1360" w:type="dxa"/>
            <w:tcBorders>
              <w:top w:val="nil"/>
              <w:left w:val="nil"/>
              <w:bottom w:val="nil"/>
              <w:right w:val="nil"/>
            </w:tcBorders>
            <w:shd w:val="clear" w:color="000000" w:fill="000000"/>
            <w:noWrap/>
            <w:vAlign w:val="bottom"/>
          </w:tcPr>
          <w:p w:rsidR="007D4FE2" w:rsidRPr="00A05C21" w:rsidRDefault="007D4FE2" w:rsidP="00A05C21">
            <w:pPr>
              <w:spacing w:after="0" w:line="240" w:lineRule="auto"/>
              <w:jc w:val="center"/>
              <w:rPr>
                <w:rFonts w:cs="Calibri"/>
                <w:b/>
                <w:bCs/>
                <w:color w:val="FFFFFF"/>
                <w:sz w:val="20"/>
                <w:szCs w:val="20"/>
              </w:rPr>
            </w:pPr>
            <w:r w:rsidRPr="00A05C21">
              <w:rPr>
                <w:rFonts w:cs="Calibri"/>
                <w:b/>
                <w:bCs/>
                <w:color w:val="FFFFFF"/>
                <w:sz w:val="20"/>
                <w:szCs w:val="20"/>
              </w:rPr>
              <w:t>Natural Gas</w:t>
            </w:r>
          </w:p>
        </w:tc>
        <w:tc>
          <w:tcPr>
            <w:tcW w:w="1300" w:type="dxa"/>
            <w:tcBorders>
              <w:top w:val="nil"/>
              <w:left w:val="nil"/>
              <w:bottom w:val="nil"/>
              <w:right w:val="nil"/>
            </w:tcBorders>
            <w:shd w:val="clear" w:color="000000" w:fill="000000"/>
            <w:noWrap/>
            <w:vAlign w:val="bottom"/>
          </w:tcPr>
          <w:p w:rsidR="007D4FE2" w:rsidRPr="00A05C21" w:rsidRDefault="007D4FE2" w:rsidP="00A05C21">
            <w:pPr>
              <w:spacing w:after="0" w:line="240" w:lineRule="auto"/>
              <w:jc w:val="center"/>
              <w:rPr>
                <w:rFonts w:cs="Calibri"/>
                <w:b/>
                <w:bCs/>
                <w:color w:val="FFFFFF"/>
                <w:sz w:val="20"/>
                <w:szCs w:val="20"/>
              </w:rPr>
            </w:pPr>
            <w:r w:rsidRPr="00A05C21">
              <w:rPr>
                <w:rFonts w:cs="Calibri"/>
                <w:b/>
                <w:bCs/>
                <w:color w:val="FFFFFF"/>
                <w:sz w:val="20"/>
                <w:szCs w:val="20"/>
              </w:rPr>
              <w:t>Possible</w:t>
            </w:r>
          </w:p>
        </w:tc>
      </w:tr>
      <w:tr w:rsidR="007D4FE2" w:rsidRPr="00B67B3C" w:rsidTr="00A05C21">
        <w:trPr>
          <w:trHeight w:val="300"/>
        </w:trPr>
        <w:tc>
          <w:tcPr>
            <w:tcW w:w="2620" w:type="dxa"/>
            <w:tcBorders>
              <w:top w:val="nil"/>
              <w:left w:val="nil"/>
              <w:bottom w:val="nil"/>
              <w:right w:val="nil"/>
            </w:tcBorders>
            <w:noWrap/>
            <w:vAlign w:val="bottom"/>
          </w:tcPr>
          <w:p w:rsidR="007D4FE2" w:rsidRPr="00A05C21" w:rsidRDefault="007D4FE2" w:rsidP="00A05C21">
            <w:pPr>
              <w:spacing w:after="0" w:line="240" w:lineRule="auto"/>
              <w:rPr>
                <w:rFonts w:cs="Calibri"/>
                <w:color w:val="000000"/>
                <w:sz w:val="20"/>
                <w:szCs w:val="20"/>
              </w:rPr>
            </w:pPr>
          </w:p>
        </w:tc>
        <w:tc>
          <w:tcPr>
            <w:tcW w:w="1260" w:type="dxa"/>
            <w:tcBorders>
              <w:top w:val="nil"/>
              <w:left w:val="nil"/>
              <w:bottom w:val="nil"/>
              <w:right w:val="nil"/>
            </w:tcBorders>
            <w:shd w:val="clear" w:color="000000" w:fill="000000"/>
            <w:noWrap/>
            <w:vAlign w:val="bottom"/>
          </w:tcPr>
          <w:p w:rsidR="007D4FE2" w:rsidRPr="00A05C21" w:rsidRDefault="007D4FE2" w:rsidP="00A05C21">
            <w:pPr>
              <w:spacing w:after="0" w:line="240" w:lineRule="auto"/>
              <w:jc w:val="center"/>
              <w:rPr>
                <w:rFonts w:cs="Calibri"/>
                <w:b/>
                <w:bCs/>
                <w:color w:val="FFFFFF"/>
                <w:sz w:val="20"/>
                <w:szCs w:val="20"/>
              </w:rPr>
            </w:pPr>
            <w:r w:rsidRPr="00A05C21">
              <w:rPr>
                <w:rFonts w:cs="Calibri"/>
                <w:b/>
                <w:bCs/>
                <w:color w:val="FFFFFF"/>
                <w:sz w:val="20"/>
                <w:szCs w:val="20"/>
              </w:rPr>
              <w:t>Gal/year</w:t>
            </w:r>
          </w:p>
        </w:tc>
        <w:tc>
          <w:tcPr>
            <w:tcW w:w="1240" w:type="dxa"/>
            <w:tcBorders>
              <w:top w:val="nil"/>
              <w:left w:val="nil"/>
              <w:bottom w:val="nil"/>
              <w:right w:val="nil"/>
            </w:tcBorders>
            <w:shd w:val="clear" w:color="000000" w:fill="000000"/>
            <w:noWrap/>
            <w:vAlign w:val="bottom"/>
          </w:tcPr>
          <w:p w:rsidR="007D4FE2" w:rsidRPr="00A05C21" w:rsidRDefault="007D4FE2" w:rsidP="00A05C21">
            <w:pPr>
              <w:spacing w:after="0" w:line="240" w:lineRule="auto"/>
              <w:jc w:val="center"/>
              <w:rPr>
                <w:rFonts w:cs="Calibri"/>
                <w:b/>
                <w:bCs/>
                <w:color w:val="FFFFFF"/>
                <w:sz w:val="20"/>
                <w:szCs w:val="20"/>
              </w:rPr>
            </w:pPr>
            <w:r w:rsidRPr="00A05C21">
              <w:rPr>
                <w:rFonts w:cs="Calibri"/>
                <w:b/>
                <w:bCs/>
                <w:color w:val="FFFFFF"/>
                <w:sz w:val="20"/>
                <w:szCs w:val="20"/>
              </w:rPr>
              <w:t>per Gal</w:t>
            </w:r>
          </w:p>
        </w:tc>
        <w:tc>
          <w:tcPr>
            <w:tcW w:w="1480" w:type="dxa"/>
            <w:tcBorders>
              <w:top w:val="nil"/>
              <w:left w:val="nil"/>
              <w:bottom w:val="nil"/>
              <w:right w:val="nil"/>
            </w:tcBorders>
            <w:shd w:val="clear" w:color="000000" w:fill="000000"/>
            <w:noWrap/>
            <w:vAlign w:val="bottom"/>
          </w:tcPr>
          <w:p w:rsidR="007D4FE2" w:rsidRPr="00A05C21" w:rsidRDefault="007D4FE2" w:rsidP="00A05C21">
            <w:pPr>
              <w:spacing w:after="0" w:line="240" w:lineRule="auto"/>
              <w:jc w:val="center"/>
              <w:rPr>
                <w:rFonts w:cs="Calibri"/>
                <w:b/>
                <w:bCs/>
                <w:color w:val="FFFFFF"/>
                <w:sz w:val="20"/>
                <w:szCs w:val="20"/>
              </w:rPr>
            </w:pPr>
            <w:r w:rsidRPr="00A05C21">
              <w:rPr>
                <w:rFonts w:cs="Calibri"/>
                <w:b/>
                <w:bCs/>
                <w:color w:val="FFFFFF"/>
                <w:sz w:val="20"/>
                <w:szCs w:val="20"/>
              </w:rPr>
              <w:t>Cost</w:t>
            </w:r>
          </w:p>
        </w:tc>
        <w:tc>
          <w:tcPr>
            <w:tcW w:w="1360" w:type="dxa"/>
            <w:tcBorders>
              <w:top w:val="nil"/>
              <w:left w:val="nil"/>
              <w:bottom w:val="nil"/>
              <w:right w:val="nil"/>
            </w:tcBorders>
            <w:shd w:val="clear" w:color="000000" w:fill="000000"/>
            <w:noWrap/>
            <w:vAlign w:val="bottom"/>
          </w:tcPr>
          <w:p w:rsidR="007D4FE2" w:rsidRPr="00A05C21" w:rsidRDefault="007D4FE2" w:rsidP="00A05C21">
            <w:pPr>
              <w:spacing w:after="0" w:line="240" w:lineRule="auto"/>
              <w:jc w:val="center"/>
              <w:rPr>
                <w:rFonts w:cs="Calibri"/>
                <w:b/>
                <w:bCs/>
                <w:color w:val="FFFFFF"/>
                <w:sz w:val="20"/>
                <w:szCs w:val="20"/>
              </w:rPr>
            </w:pPr>
            <w:r w:rsidRPr="00A05C21">
              <w:rPr>
                <w:rFonts w:cs="Calibri"/>
                <w:b/>
                <w:bCs/>
                <w:color w:val="FFFFFF"/>
                <w:sz w:val="20"/>
                <w:szCs w:val="20"/>
              </w:rPr>
              <w:t>Cost*</w:t>
            </w:r>
          </w:p>
        </w:tc>
        <w:tc>
          <w:tcPr>
            <w:tcW w:w="1300" w:type="dxa"/>
            <w:tcBorders>
              <w:top w:val="nil"/>
              <w:left w:val="nil"/>
              <w:bottom w:val="nil"/>
              <w:right w:val="nil"/>
            </w:tcBorders>
            <w:shd w:val="clear" w:color="000000" w:fill="000000"/>
            <w:noWrap/>
            <w:vAlign w:val="bottom"/>
          </w:tcPr>
          <w:p w:rsidR="007D4FE2" w:rsidRPr="00A05C21" w:rsidRDefault="007D4FE2" w:rsidP="00A05C21">
            <w:pPr>
              <w:spacing w:after="0" w:line="240" w:lineRule="auto"/>
              <w:jc w:val="center"/>
              <w:rPr>
                <w:rFonts w:cs="Calibri"/>
                <w:b/>
                <w:bCs/>
                <w:color w:val="FFFFFF"/>
                <w:sz w:val="20"/>
                <w:szCs w:val="20"/>
              </w:rPr>
            </w:pPr>
            <w:r w:rsidRPr="00A05C21">
              <w:rPr>
                <w:rFonts w:cs="Calibri"/>
                <w:b/>
                <w:bCs/>
                <w:color w:val="FFFFFF"/>
                <w:sz w:val="20"/>
                <w:szCs w:val="20"/>
              </w:rPr>
              <w:t>Savings*</w:t>
            </w:r>
          </w:p>
        </w:tc>
      </w:tr>
      <w:tr w:rsidR="007D4FE2" w:rsidRPr="00B67B3C" w:rsidTr="00A05C21">
        <w:trPr>
          <w:trHeight w:val="300"/>
        </w:trPr>
        <w:tc>
          <w:tcPr>
            <w:tcW w:w="2620" w:type="dxa"/>
            <w:tcBorders>
              <w:top w:val="nil"/>
              <w:left w:val="nil"/>
              <w:bottom w:val="nil"/>
              <w:right w:val="nil"/>
            </w:tcBorders>
            <w:noWrap/>
            <w:vAlign w:val="bottom"/>
          </w:tcPr>
          <w:p w:rsidR="007D4FE2" w:rsidRPr="00A05C21" w:rsidRDefault="007D4FE2" w:rsidP="00A05C21">
            <w:pPr>
              <w:spacing w:after="0" w:line="240" w:lineRule="auto"/>
              <w:rPr>
                <w:rFonts w:cs="Calibri"/>
                <w:b/>
                <w:bCs/>
                <w:color w:val="000000"/>
                <w:sz w:val="20"/>
                <w:szCs w:val="20"/>
              </w:rPr>
            </w:pPr>
            <w:smartTag w:uri="urn:schemas-microsoft-com:office:smarttags" w:element="place">
              <w:smartTag w:uri="urn:schemas-microsoft-com:office:smarttags" w:element="State">
                <w:r w:rsidRPr="00A05C21">
                  <w:rPr>
                    <w:rFonts w:cs="Calibri"/>
                    <w:b/>
                    <w:bCs/>
                    <w:color w:val="000000"/>
                    <w:sz w:val="20"/>
                    <w:szCs w:val="20"/>
                  </w:rPr>
                  <w:t>Maine</w:t>
                </w:r>
              </w:smartTag>
            </w:smartTag>
            <w:r w:rsidRPr="00A05C21">
              <w:rPr>
                <w:rFonts w:cs="Calibri"/>
                <w:b/>
                <w:bCs/>
                <w:color w:val="000000"/>
                <w:sz w:val="20"/>
                <w:szCs w:val="20"/>
              </w:rPr>
              <w:t xml:space="preserve"> State Prison</w:t>
            </w:r>
          </w:p>
        </w:tc>
        <w:tc>
          <w:tcPr>
            <w:tcW w:w="1260" w:type="dxa"/>
            <w:tcBorders>
              <w:top w:val="nil"/>
              <w:left w:val="nil"/>
              <w:bottom w:val="nil"/>
              <w:right w:val="nil"/>
            </w:tcBorders>
            <w:noWrap/>
            <w:vAlign w:val="bottom"/>
          </w:tcPr>
          <w:p w:rsidR="007D4FE2" w:rsidRPr="00A05C21" w:rsidRDefault="007D4FE2" w:rsidP="00A05C21">
            <w:pPr>
              <w:spacing w:after="0" w:line="240" w:lineRule="auto"/>
              <w:jc w:val="center"/>
              <w:rPr>
                <w:rFonts w:cs="Calibri"/>
                <w:color w:val="000000"/>
                <w:sz w:val="20"/>
                <w:szCs w:val="20"/>
              </w:rPr>
            </w:pPr>
            <w:r w:rsidRPr="00A05C21">
              <w:rPr>
                <w:rFonts w:cs="Calibri"/>
                <w:color w:val="000000"/>
                <w:sz w:val="20"/>
                <w:szCs w:val="20"/>
              </w:rPr>
              <w:t>440,000</w:t>
            </w:r>
          </w:p>
        </w:tc>
        <w:tc>
          <w:tcPr>
            <w:tcW w:w="1240" w:type="dxa"/>
            <w:tcBorders>
              <w:top w:val="nil"/>
              <w:left w:val="nil"/>
              <w:bottom w:val="nil"/>
              <w:right w:val="nil"/>
            </w:tcBorders>
            <w:noWrap/>
            <w:vAlign w:val="bottom"/>
          </w:tcPr>
          <w:p w:rsidR="007D4FE2" w:rsidRPr="00A05C21" w:rsidRDefault="007D4FE2" w:rsidP="00A05C21">
            <w:pPr>
              <w:spacing w:after="0" w:line="240" w:lineRule="auto"/>
              <w:jc w:val="center"/>
              <w:rPr>
                <w:rFonts w:cs="Calibri"/>
                <w:color w:val="000000"/>
                <w:sz w:val="20"/>
                <w:szCs w:val="20"/>
              </w:rPr>
            </w:pPr>
            <w:r w:rsidRPr="00A05C21">
              <w:rPr>
                <w:rFonts w:cs="Calibri"/>
                <w:color w:val="000000"/>
                <w:sz w:val="20"/>
                <w:szCs w:val="20"/>
              </w:rPr>
              <w:t>$3.11</w:t>
            </w:r>
          </w:p>
        </w:tc>
        <w:tc>
          <w:tcPr>
            <w:tcW w:w="1480" w:type="dxa"/>
            <w:tcBorders>
              <w:top w:val="nil"/>
              <w:left w:val="nil"/>
              <w:bottom w:val="nil"/>
              <w:right w:val="nil"/>
            </w:tcBorders>
            <w:noWrap/>
            <w:vAlign w:val="bottom"/>
          </w:tcPr>
          <w:p w:rsidR="007D4FE2" w:rsidRPr="00A05C21" w:rsidRDefault="007D4FE2" w:rsidP="00A05C21">
            <w:pPr>
              <w:spacing w:after="0" w:line="240" w:lineRule="auto"/>
              <w:jc w:val="center"/>
              <w:rPr>
                <w:rFonts w:cs="Calibri"/>
                <w:color w:val="000000"/>
                <w:sz w:val="20"/>
                <w:szCs w:val="20"/>
              </w:rPr>
            </w:pPr>
            <w:r w:rsidRPr="00A05C21">
              <w:rPr>
                <w:rFonts w:cs="Calibri"/>
                <w:color w:val="000000"/>
                <w:sz w:val="20"/>
                <w:szCs w:val="20"/>
              </w:rPr>
              <w:t>$1,370,000</w:t>
            </w:r>
          </w:p>
        </w:tc>
        <w:tc>
          <w:tcPr>
            <w:tcW w:w="1360" w:type="dxa"/>
            <w:tcBorders>
              <w:top w:val="nil"/>
              <w:left w:val="nil"/>
              <w:bottom w:val="nil"/>
              <w:right w:val="nil"/>
            </w:tcBorders>
            <w:noWrap/>
            <w:vAlign w:val="bottom"/>
          </w:tcPr>
          <w:p w:rsidR="007D4FE2" w:rsidRPr="00A05C21" w:rsidRDefault="007D4FE2" w:rsidP="00A05C21">
            <w:pPr>
              <w:spacing w:after="0" w:line="240" w:lineRule="auto"/>
              <w:jc w:val="center"/>
              <w:rPr>
                <w:rFonts w:cs="Calibri"/>
                <w:color w:val="000000"/>
                <w:sz w:val="20"/>
                <w:szCs w:val="20"/>
              </w:rPr>
            </w:pPr>
            <w:r w:rsidRPr="00A05C21">
              <w:rPr>
                <w:rFonts w:cs="Calibri"/>
                <w:color w:val="000000"/>
                <w:sz w:val="20"/>
                <w:szCs w:val="20"/>
              </w:rPr>
              <w:t>$</w:t>
            </w:r>
            <w:r>
              <w:rPr>
                <w:rFonts w:cs="Calibri"/>
                <w:color w:val="000000"/>
                <w:sz w:val="20"/>
                <w:szCs w:val="20"/>
              </w:rPr>
              <w:t>1,030</w:t>
            </w:r>
            <w:r w:rsidRPr="00A05C21">
              <w:rPr>
                <w:rFonts w:cs="Calibri"/>
                <w:color w:val="000000"/>
                <w:sz w:val="20"/>
                <w:szCs w:val="20"/>
              </w:rPr>
              <w:t>,000</w:t>
            </w:r>
          </w:p>
        </w:tc>
        <w:tc>
          <w:tcPr>
            <w:tcW w:w="1300" w:type="dxa"/>
            <w:tcBorders>
              <w:top w:val="nil"/>
              <w:left w:val="nil"/>
              <w:bottom w:val="nil"/>
              <w:right w:val="nil"/>
            </w:tcBorders>
            <w:noWrap/>
            <w:vAlign w:val="bottom"/>
          </w:tcPr>
          <w:p w:rsidR="007D4FE2" w:rsidRPr="00A05C21" w:rsidRDefault="007D4FE2" w:rsidP="00A05C21">
            <w:pPr>
              <w:spacing w:after="0" w:line="240" w:lineRule="auto"/>
              <w:jc w:val="center"/>
              <w:rPr>
                <w:rFonts w:cs="Calibri"/>
                <w:color w:val="000000"/>
                <w:sz w:val="20"/>
                <w:szCs w:val="20"/>
              </w:rPr>
            </w:pPr>
            <w:r w:rsidRPr="00A05C21">
              <w:rPr>
                <w:rFonts w:cs="Calibri"/>
                <w:color w:val="000000"/>
                <w:sz w:val="20"/>
                <w:szCs w:val="20"/>
              </w:rPr>
              <w:t>$</w:t>
            </w:r>
            <w:r>
              <w:rPr>
                <w:rFonts w:cs="Calibri"/>
                <w:color w:val="000000"/>
                <w:sz w:val="20"/>
                <w:szCs w:val="20"/>
              </w:rPr>
              <w:t>34</w:t>
            </w:r>
            <w:r w:rsidRPr="00A05C21">
              <w:rPr>
                <w:rFonts w:cs="Calibri"/>
                <w:color w:val="000000"/>
                <w:sz w:val="20"/>
                <w:szCs w:val="20"/>
              </w:rPr>
              <w:t>0,000</w:t>
            </w:r>
          </w:p>
        </w:tc>
      </w:tr>
    </w:tbl>
    <w:p w:rsidR="007D4FE2" w:rsidRPr="00A05C21" w:rsidRDefault="007D4FE2" w:rsidP="00A05C21">
      <w:pPr>
        <w:pStyle w:val="NoSpacing"/>
        <w:jc w:val="center"/>
        <w:rPr>
          <w:i/>
        </w:rPr>
      </w:pPr>
      <w:r w:rsidRPr="00A05C21">
        <w:rPr>
          <w:i/>
        </w:rPr>
        <w:t xml:space="preserve">*Based on the cost </w:t>
      </w:r>
      <w:r>
        <w:rPr>
          <w:i/>
        </w:rPr>
        <w:t>of</w:t>
      </w:r>
      <w:r w:rsidRPr="00A05C21">
        <w:rPr>
          <w:i/>
        </w:rPr>
        <w:t xml:space="preserve"> </w:t>
      </w:r>
      <w:r>
        <w:rPr>
          <w:i/>
        </w:rPr>
        <w:t xml:space="preserve">trucked </w:t>
      </w:r>
      <w:r w:rsidRPr="00A05C21">
        <w:rPr>
          <w:i/>
        </w:rPr>
        <w:t xml:space="preserve">natural gas being </w:t>
      </w:r>
      <w:r>
        <w:rPr>
          <w:i/>
        </w:rPr>
        <w:t>75</w:t>
      </w:r>
      <w:r w:rsidRPr="00A05C21">
        <w:rPr>
          <w:i/>
        </w:rPr>
        <w:t>% of the equivalent energy-equivalent of fuel oil</w:t>
      </w:r>
    </w:p>
    <w:p w:rsidR="007D4FE2" w:rsidRDefault="007D4FE2" w:rsidP="00D70181">
      <w:pPr>
        <w:pStyle w:val="NoSpacing"/>
        <w:rPr>
          <w:sz w:val="24"/>
          <w:szCs w:val="24"/>
        </w:rPr>
      </w:pPr>
    </w:p>
    <w:p w:rsidR="007D4FE2" w:rsidRDefault="007D4FE2" w:rsidP="00EB543B">
      <w:pPr>
        <w:pStyle w:val="NoSpacing"/>
        <w:numPr>
          <w:ilvl w:val="0"/>
          <w:numId w:val="3"/>
        </w:numPr>
        <w:rPr>
          <w:sz w:val="24"/>
          <w:szCs w:val="24"/>
        </w:rPr>
      </w:pPr>
      <w:r>
        <w:rPr>
          <w:sz w:val="24"/>
          <w:szCs w:val="24"/>
        </w:rPr>
        <w:t xml:space="preserve">If the Maine State Prison converts to trucked natural gas during the period prior to the completion of a natural gas pipeline to the </w:t>
      </w:r>
      <w:smartTag w:uri="urn:schemas-microsoft-com:office:smarttags" w:element="City">
        <w:smartTag w:uri="urn:schemas-microsoft-com:office:smarttags" w:element="place">
          <w:r>
            <w:rPr>
              <w:sz w:val="24"/>
              <w:szCs w:val="24"/>
            </w:rPr>
            <w:t>Rockland</w:t>
          </w:r>
        </w:smartTag>
      </w:smartTag>
      <w:r>
        <w:rPr>
          <w:sz w:val="24"/>
          <w:szCs w:val="24"/>
        </w:rPr>
        <w:t xml:space="preserve"> area, the possible savings for FY13 could be between $275,000 and $400,000.</w:t>
      </w:r>
    </w:p>
    <w:sectPr w:rsidR="007D4FE2" w:rsidSect="005B59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D11B8"/>
    <w:multiLevelType w:val="hybridMultilevel"/>
    <w:tmpl w:val="EACE7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2150B9"/>
    <w:multiLevelType w:val="hybridMultilevel"/>
    <w:tmpl w:val="30F82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F14BE8"/>
    <w:multiLevelType w:val="hybridMultilevel"/>
    <w:tmpl w:val="29366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0181"/>
    <w:rsid w:val="00023CFD"/>
    <w:rsid w:val="00142564"/>
    <w:rsid w:val="0015286C"/>
    <w:rsid w:val="001761D1"/>
    <w:rsid w:val="005B592F"/>
    <w:rsid w:val="00662F77"/>
    <w:rsid w:val="007D4FE2"/>
    <w:rsid w:val="00872B16"/>
    <w:rsid w:val="009329B1"/>
    <w:rsid w:val="00A05C21"/>
    <w:rsid w:val="00B239AD"/>
    <w:rsid w:val="00B67B3C"/>
    <w:rsid w:val="00C53EEB"/>
    <w:rsid w:val="00D70181"/>
    <w:rsid w:val="00D87C25"/>
    <w:rsid w:val="00E571F9"/>
    <w:rsid w:val="00EB476D"/>
    <w:rsid w:val="00EB543B"/>
    <w:rsid w:val="00F078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92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70181"/>
  </w:style>
  <w:style w:type="paragraph" w:styleId="BalloonText">
    <w:name w:val="Balloon Text"/>
    <w:basedOn w:val="Normal"/>
    <w:link w:val="BalloonTextChar"/>
    <w:uiPriority w:val="99"/>
    <w:semiHidden/>
    <w:rsid w:val="00023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3CFD"/>
    <w:rPr>
      <w:rFonts w:ascii="Tahoma" w:hAnsi="Tahoma" w:cs="Tahoma"/>
      <w:sz w:val="16"/>
      <w:szCs w:val="16"/>
    </w:rPr>
  </w:style>
  <w:style w:type="paragraph" w:styleId="DocumentMap">
    <w:name w:val="Document Map"/>
    <w:basedOn w:val="Normal"/>
    <w:link w:val="DocumentMapChar"/>
    <w:uiPriority w:val="99"/>
    <w:semiHidden/>
    <w:rsid w:val="00C53EE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74952"/>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552810670">
      <w:marLeft w:val="0"/>
      <w:marRight w:val="0"/>
      <w:marTop w:val="0"/>
      <w:marBottom w:val="0"/>
      <w:divBdr>
        <w:top w:val="none" w:sz="0" w:space="0" w:color="auto"/>
        <w:left w:val="none" w:sz="0" w:space="0" w:color="auto"/>
        <w:bottom w:val="none" w:sz="0" w:space="0" w:color="auto"/>
        <w:right w:val="none" w:sz="0" w:space="0" w:color="auto"/>
      </w:divBdr>
    </w:div>
    <w:div w:id="552810671">
      <w:marLeft w:val="0"/>
      <w:marRight w:val="0"/>
      <w:marTop w:val="0"/>
      <w:marBottom w:val="0"/>
      <w:divBdr>
        <w:top w:val="none" w:sz="0" w:space="0" w:color="auto"/>
        <w:left w:val="none" w:sz="0" w:space="0" w:color="auto"/>
        <w:bottom w:val="none" w:sz="0" w:space="0" w:color="auto"/>
        <w:right w:val="none" w:sz="0" w:space="0" w:color="auto"/>
      </w:divBdr>
    </w:div>
    <w:div w:id="552810672">
      <w:marLeft w:val="0"/>
      <w:marRight w:val="0"/>
      <w:marTop w:val="0"/>
      <w:marBottom w:val="0"/>
      <w:divBdr>
        <w:top w:val="none" w:sz="0" w:space="0" w:color="auto"/>
        <w:left w:val="none" w:sz="0" w:space="0" w:color="auto"/>
        <w:bottom w:val="none" w:sz="0" w:space="0" w:color="auto"/>
        <w:right w:val="none" w:sz="0" w:space="0" w:color="auto"/>
      </w:divBdr>
    </w:div>
    <w:div w:id="5528106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269</TotalTime>
  <Pages>2</Pages>
  <Words>611</Words>
  <Characters>3486</Characters>
  <Application>Microsoft Office Outlook</Application>
  <DocSecurity>0</DocSecurity>
  <Lines>0</Lines>
  <Paragraphs>0</Paragraphs>
  <ScaleCrop>false</ScaleCrop>
  <Company>State of Maine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dc:creator>
  <cp:keywords/>
  <dc:description/>
  <cp:lastModifiedBy>State of Maine</cp:lastModifiedBy>
  <cp:revision>6</cp:revision>
  <cp:lastPrinted>2011-11-23T13:46:00Z</cp:lastPrinted>
  <dcterms:created xsi:type="dcterms:W3CDTF">2011-11-22T16:22:00Z</dcterms:created>
  <dcterms:modified xsi:type="dcterms:W3CDTF">2011-11-23T13:47:00Z</dcterms:modified>
</cp:coreProperties>
</file>