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FF4E0" w14:textId="09F0D058" w:rsidR="006A288C" w:rsidRPr="00CF73CB" w:rsidRDefault="006A288C" w:rsidP="00F056D4">
      <w:pPr>
        <w:pStyle w:val="Title"/>
        <w:rPr>
          <w:rStyle w:val="BookTitle"/>
          <w:rFonts w:cs="Calibri"/>
        </w:rPr>
      </w:pPr>
      <w:r w:rsidRPr="00CF73CB">
        <w:rPr>
          <w:rStyle w:val="BookTitle"/>
          <w:rFonts w:cs="Calibri"/>
        </w:rPr>
        <w:t>Maine Consumer Law Guide</w:t>
      </w:r>
    </w:p>
    <w:p w14:paraId="6661F703" w14:textId="77777777" w:rsidR="006A288C" w:rsidRPr="00CF73CB" w:rsidRDefault="006A288C" w:rsidP="00F056D4">
      <w:pPr>
        <w:pStyle w:val="Subtitle"/>
      </w:pPr>
      <w:r w:rsidRPr="00CF73CB">
        <w:t>From the Office of the Maine Attorney General</w:t>
      </w:r>
    </w:p>
    <w:p w14:paraId="796DC54A" w14:textId="6F0765C7" w:rsidR="006A288C" w:rsidRDefault="006A288C" w:rsidP="00F056D4">
      <w:pPr>
        <w:pStyle w:val="Title"/>
      </w:pPr>
      <w:r>
        <w:t>Chapter 4: Warrant</w:t>
      </w:r>
      <w:r w:rsidR="00861300">
        <w:t>I</w:t>
      </w:r>
      <w:r>
        <w:t>es on Consumer Products and Services</w:t>
      </w:r>
    </w:p>
    <w:p w14:paraId="1B225FCB" w14:textId="79CF2C90" w:rsidR="006A288C" w:rsidRDefault="006A288C" w:rsidP="00F056D4">
      <w:r>
        <w:t>Last revised:</w:t>
      </w:r>
      <w:r w:rsidR="00166380">
        <w:t xml:space="preserve"> April 2026</w:t>
      </w:r>
      <w:r>
        <w:t>.</w:t>
      </w:r>
    </w:p>
    <w:p w14:paraId="6353E04E" w14:textId="7BB2ABD0" w:rsidR="006A288C" w:rsidRDefault="006A288C" w:rsidP="00F056D4">
      <w:pPr>
        <w:rPr>
          <w:rStyle w:val="Strong"/>
          <w:b w:val="0"/>
          <w:bCs w:val="0"/>
        </w:rPr>
      </w:pPr>
      <w:r w:rsidRPr="00124FD5">
        <w:rPr>
          <w:rStyle w:val="Strong"/>
          <w:b w:val="0"/>
          <w:bCs w:val="0"/>
        </w:rPr>
        <w:t xml:space="preserve">This chapter describes </w:t>
      </w:r>
      <w:r w:rsidR="009D563E">
        <w:rPr>
          <w:rStyle w:val="Strong"/>
          <w:b w:val="0"/>
          <w:bCs w:val="0"/>
        </w:rPr>
        <w:t>your</w:t>
      </w:r>
      <w:r w:rsidR="00486210" w:rsidRPr="00124FD5">
        <w:rPr>
          <w:rStyle w:val="Strong"/>
          <w:b w:val="0"/>
          <w:bCs w:val="0"/>
        </w:rPr>
        <w:t xml:space="preserve"> </w:t>
      </w:r>
      <w:r w:rsidRPr="00124FD5">
        <w:rPr>
          <w:rStyle w:val="Strong"/>
          <w:b w:val="0"/>
          <w:bCs w:val="0"/>
        </w:rPr>
        <w:t xml:space="preserve">rights under Maine’s laws related to warranties on </w:t>
      </w:r>
      <w:r w:rsidR="00463429">
        <w:rPr>
          <w:rStyle w:val="Strong"/>
          <w:b w:val="0"/>
          <w:bCs w:val="0"/>
        </w:rPr>
        <w:t xml:space="preserve">consumer </w:t>
      </w:r>
      <w:r w:rsidRPr="00124FD5">
        <w:rPr>
          <w:rStyle w:val="Strong"/>
          <w:b w:val="0"/>
          <w:bCs w:val="0"/>
        </w:rPr>
        <w:t xml:space="preserve">products and services. </w:t>
      </w:r>
    </w:p>
    <w:sdt>
      <w:sdtPr>
        <w:id w:val="-1807307317"/>
        <w:docPartObj>
          <w:docPartGallery w:val="Table of Contents"/>
          <w:docPartUnique/>
        </w:docPartObj>
      </w:sdtPr>
      <w:sdtEndPr>
        <w:rPr>
          <w:rFonts w:asciiTheme="minorHAnsi" w:eastAsiaTheme="minorEastAsia" w:hAnsiTheme="minorHAnsi" w:cstheme="minorBidi"/>
          <w:b/>
          <w:bCs/>
          <w:noProof/>
          <w:color w:val="auto"/>
          <w:sz w:val="24"/>
          <w:szCs w:val="22"/>
        </w:rPr>
      </w:sdtEndPr>
      <w:sdtContent>
        <w:p w14:paraId="67778EC1" w14:textId="6E9E4E03" w:rsidR="008B37BA" w:rsidRDefault="008B37BA">
          <w:pPr>
            <w:pStyle w:val="TOCHeading"/>
          </w:pPr>
          <w:r>
            <w:t>Contents</w:t>
          </w:r>
        </w:p>
        <w:p w14:paraId="7CBFEBB9" w14:textId="149545E3" w:rsidR="008B37BA" w:rsidRDefault="008B37BA">
          <w:pPr>
            <w:pStyle w:val="TOC1"/>
            <w:tabs>
              <w:tab w:val="right" w:leader="dot" w:pos="10070"/>
            </w:tabs>
            <w:rPr>
              <w:noProof/>
              <w:kern w:val="2"/>
              <w:szCs w:val="24"/>
              <w14:ligatures w14:val="standardContextual"/>
            </w:rPr>
          </w:pPr>
          <w:r>
            <w:fldChar w:fldCharType="begin"/>
          </w:r>
          <w:r>
            <w:instrText xml:space="preserve"> TOC \o "1-3" \h \z \u </w:instrText>
          </w:r>
          <w:r>
            <w:fldChar w:fldCharType="separate"/>
          </w:r>
          <w:hyperlink w:anchor="_Toc227161744" w:history="1">
            <w:r w:rsidRPr="00A50448">
              <w:rPr>
                <w:rStyle w:val="Hyperlink"/>
                <w:noProof/>
              </w:rPr>
              <w:t>4.1 Express Warranty</w:t>
            </w:r>
            <w:r>
              <w:rPr>
                <w:noProof/>
                <w:webHidden/>
              </w:rPr>
              <w:tab/>
            </w:r>
            <w:r>
              <w:rPr>
                <w:noProof/>
                <w:webHidden/>
              </w:rPr>
              <w:fldChar w:fldCharType="begin"/>
            </w:r>
            <w:r>
              <w:rPr>
                <w:noProof/>
                <w:webHidden/>
              </w:rPr>
              <w:instrText xml:space="preserve"> PAGEREF _Toc227161744 \h </w:instrText>
            </w:r>
            <w:r>
              <w:rPr>
                <w:noProof/>
                <w:webHidden/>
              </w:rPr>
            </w:r>
            <w:r>
              <w:rPr>
                <w:noProof/>
                <w:webHidden/>
              </w:rPr>
              <w:fldChar w:fldCharType="separate"/>
            </w:r>
            <w:r>
              <w:rPr>
                <w:noProof/>
                <w:webHidden/>
              </w:rPr>
              <w:t>1</w:t>
            </w:r>
            <w:r>
              <w:rPr>
                <w:noProof/>
                <w:webHidden/>
              </w:rPr>
              <w:fldChar w:fldCharType="end"/>
            </w:r>
          </w:hyperlink>
        </w:p>
        <w:p w14:paraId="69C3012E" w14:textId="439CCA08" w:rsidR="008B37BA" w:rsidRDefault="008B37BA">
          <w:pPr>
            <w:pStyle w:val="TOC1"/>
            <w:tabs>
              <w:tab w:val="right" w:leader="dot" w:pos="10070"/>
            </w:tabs>
            <w:rPr>
              <w:noProof/>
              <w:kern w:val="2"/>
              <w:szCs w:val="24"/>
              <w14:ligatures w14:val="standardContextual"/>
            </w:rPr>
          </w:pPr>
          <w:hyperlink w:anchor="_Toc227161745" w:history="1">
            <w:r w:rsidRPr="00A50448">
              <w:rPr>
                <w:rStyle w:val="Hyperlink"/>
                <w:noProof/>
              </w:rPr>
              <w:t>4.2 Implied Warranty of Merchantability</w:t>
            </w:r>
            <w:r>
              <w:rPr>
                <w:noProof/>
                <w:webHidden/>
              </w:rPr>
              <w:tab/>
            </w:r>
            <w:r>
              <w:rPr>
                <w:noProof/>
                <w:webHidden/>
              </w:rPr>
              <w:fldChar w:fldCharType="begin"/>
            </w:r>
            <w:r>
              <w:rPr>
                <w:noProof/>
                <w:webHidden/>
              </w:rPr>
              <w:instrText xml:space="preserve"> PAGEREF _Toc227161745 \h </w:instrText>
            </w:r>
            <w:r>
              <w:rPr>
                <w:noProof/>
                <w:webHidden/>
              </w:rPr>
            </w:r>
            <w:r>
              <w:rPr>
                <w:noProof/>
                <w:webHidden/>
              </w:rPr>
              <w:fldChar w:fldCharType="separate"/>
            </w:r>
            <w:r>
              <w:rPr>
                <w:noProof/>
                <w:webHidden/>
              </w:rPr>
              <w:t>1</w:t>
            </w:r>
            <w:r>
              <w:rPr>
                <w:noProof/>
                <w:webHidden/>
              </w:rPr>
              <w:fldChar w:fldCharType="end"/>
            </w:r>
          </w:hyperlink>
        </w:p>
        <w:p w14:paraId="79112DFB" w14:textId="127664FE" w:rsidR="008B37BA" w:rsidRDefault="008B37BA">
          <w:pPr>
            <w:pStyle w:val="TOC1"/>
            <w:tabs>
              <w:tab w:val="right" w:leader="dot" w:pos="10070"/>
            </w:tabs>
            <w:rPr>
              <w:noProof/>
              <w:kern w:val="2"/>
              <w:szCs w:val="24"/>
              <w14:ligatures w14:val="standardContextual"/>
            </w:rPr>
          </w:pPr>
          <w:hyperlink w:anchor="_Toc227161746" w:history="1">
            <w:r w:rsidRPr="00A50448">
              <w:rPr>
                <w:rStyle w:val="Hyperlink"/>
                <w:noProof/>
              </w:rPr>
              <w:t>4.3 Length of Implied Warranty</w:t>
            </w:r>
            <w:r>
              <w:rPr>
                <w:noProof/>
                <w:webHidden/>
              </w:rPr>
              <w:tab/>
            </w:r>
            <w:r>
              <w:rPr>
                <w:noProof/>
                <w:webHidden/>
              </w:rPr>
              <w:fldChar w:fldCharType="begin"/>
            </w:r>
            <w:r>
              <w:rPr>
                <w:noProof/>
                <w:webHidden/>
              </w:rPr>
              <w:instrText xml:space="preserve"> PAGEREF _Toc227161746 \h </w:instrText>
            </w:r>
            <w:r>
              <w:rPr>
                <w:noProof/>
                <w:webHidden/>
              </w:rPr>
            </w:r>
            <w:r>
              <w:rPr>
                <w:noProof/>
                <w:webHidden/>
              </w:rPr>
              <w:fldChar w:fldCharType="separate"/>
            </w:r>
            <w:r>
              <w:rPr>
                <w:noProof/>
                <w:webHidden/>
              </w:rPr>
              <w:t>2</w:t>
            </w:r>
            <w:r>
              <w:rPr>
                <w:noProof/>
                <w:webHidden/>
              </w:rPr>
              <w:fldChar w:fldCharType="end"/>
            </w:r>
          </w:hyperlink>
        </w:p>
        <w:p w14:paraId="231DE215" w14:textId="09E76052" w:rsidR="008B37BA" w:rsidRDefault="008B37BA">
          <w:pPr>
            <w:pStyle w:val="TOC1"/>
            <w:tabs>
              <w:tab w:val="right" w:leader="dot" w:pos="10070"/>
            </w:tabs>
            <w:rPr>
              <w:noProof/>
              <w:kern w:val="2"/>
              <w:szCs w:val="24"/>
              <w14:ligatures w14:val="standardContextual"/>
            </w:rPr>
          </w:pPr>
          <w:hyperlink w:anchor="_Toc227161747" w:history="1">
            <w:r w:rsidRPr="00A50448">
              <w:rPr>
                <w:rStyle w:val="Hyperlink"/>
                <w:noProof/>
              </w:rPr>
              <w:t>4.4 Breach of Implied Warranty of Merchantability</w:t>
            </w:r>
            <w:r>
              <w:rPr>
                <w:noProof/>
                <w:webHidden/>
              </w:rPr>
              <w:tab/>
            </w:r>
            <w:r>
              <w:rPr>
                <w:noProof/>
                <w:webHidden/>
              </w:rPr>
              <w:fldChar w:fldCharType="begin"/>
            </w:r>
            <w:r>
              <w:rPr>
                <w:noProof/>
                <w:webHidden/>
              </w:rPr>
              <w:instrText xml:space="preserve"> PAGEREF _Toc227161747 \h </w:instrText>
            </w:r>
            <w:r>
              <w:rPr>
                <w:noProof/>
                <w:webHidden/>
              </w:rPr>
            </w:r>
            <w:r>
              <w:rPr>
                <w:noProof/>
                <w:webHidden/>
              </w:rPr>
              <w:fldChar w:fldCharType="separate"/>
            </w:r>
            <w:r>
              <w:rPr>
                <w:noProof/>
                <w:webHidden/>
              </w:rPr>
              <w:t>2</w:t>
            </w:r>
            <w:r>
              <w:rPr>
                <w:noProof/>
                <w:webHidden/>
              </w:rPr>
              <w:fldChar w:fldCharType="end"/>
            </w:r>
          </w:hyperlink>
        </w:p>
        <w:p w14:paraId="4C7708AF" w14:textId="60F88EBC" w:rsidR="008B37BA" w:rsidRDefault="008B37BA">
          <w:pPr>
            <w:pStyle w:val="TOC1"/>
            <w:tabs>
              <w:tab w:val="right" w:leader="dot" w:pos="10070"/>
            </w:tabs>
            <w:rPr>
              <w:noProof/>
              <w:kern w:val="2"/>
              <w:szCs w:val="24"/>
              <w14:ligatures w14:val="standardContextual"/>
            </w:rPr>
          </w:pPr>
          <w:hyperlink w:anchor="_Toc227161748" w:history="1">
            <w:r w:rsidRPr="00A50448">
              <w:rPr>
                <w:rStyle w:val="Hyperlink"/>
                <w:noProof/>
              </w:rPr>
              <w:t>4.5 Implied Warranty of Fitness for a Particular Purpose</w:t>
            </w:r>
            <w:r>
              <w:rPr>
                <w:noProof/>
                <w:webHidden/>
              </w:rPr>
              <w:tab/>
            </w:r>
            <w:r>
              <w:rPr>
                <w:noProof/>
                <w:webHidden/>
              </w:rPr>
              <w:fldChar w:fldCharType="begin"/>
            </w:r>
            <w:r>
              <w:rPr>
                <w:noProof/>
                <w:webHidden/>
              </w:rPr>
              <w:instrText xml:space="preserve"> PAGEREF _Toc227161748 \h </w:instrText>
            </w:r>
            <w:r>
              <w:rPr>
                <w:noProof/>
                <w:webHidden/>
              </w:rPr>
            </w:r>
            <w:r>
              <w:rPr>
                <w:noProof/>
                <w:webHidden/>
              </w:rPr>
              <w:fldChar w:fldCharType="separate"/>
            </w:r>
            <w:r>
              <w:rPr>
                <w:noProof/>
                <w:webHidden/>
              </w:rPr>
              <w:t>3</w:t>
            </w:r>
            <w:r>
              <w:rPr>
                <w:noProof/>
                <w:webHidden/>
              </w:rPr>
              <w:fldChar w:fldCharType="end"/>
            </w:r>
          </w:hyperlink>
        </w:p>
        <w:p w14:paraId="0D94FF3D" w14:textId="2A5888A8" w:rsidR="008B37BA" w:rsidRDefault="008B37BA">
          <w:pPr>
            <w:pStyle w:val="TOC1"/>
            <w:tabs>
              <w:tab w:val="right" w:leader="dot" w:pos="10070"/>
            </w:tabs>
            <w:rPr>
              <w:noProof/>
              <w:kern w:val="2"/>
              <w:szCs w:val="24"/>
              <w14:ligatures w14:val="standardContextual"/>
            </w:rPr>
          </w:pPr>
          <w:hyperlink w:anchor="_Toc227161749" w:history="1">
            <w:r w:rsidRPr="00A50448">
              <w:rPr>
                <w:rStyle w:val="Hyperlink"/>
                <w:noProof/>
              </w:rPr>
              <w:t>4.6 Implied Warranties Cannot Be Denied or Disclaimed by a Seller or Manufacturer (Except on Used Cars)</w:t>
            </w:r>
            <w:r>
              <w:rPr>
                <w:noProof/>
                <w:webHidden/>
              </w:rPr>
              <w:tab/>
            </w:r>
            <w:r>
              <w:rPr>
                <w:noProof/>
                <w:webHidden/>
              </w:rPr>
              <w:fldChar w:fldCharType="begin"/>
            </w:r>
            <w:r>
              <w:rPr>
                <w:noProof/>
                <w:webHidden/>
              </w:rPr>
              <w:instrText xml:space="preserve"> PAGEREF _Toc227161749 \h </w:instrText>
            </w:r>
            <w:r>
              <w:rPr>
                <w:noProof/>
                <w:webHidden/>
              </w:rPr>
            </w:r>
            <w:r>
              <w:rPr>
                <w:noProof/>
                <w:webHidden/>
              </w:rPr>
              <w:fldChar w:fldCharType="separate"/>
            </w:r>
            <w:r>
              <w:rPr>
                <w:noProof/>
                <w:webHidden/>
              </w:rPr>
              <w:t>3</w:t>
            </w:r>
            <w:r>
              <w:rPr>
                <w:noProof/>
                <w:webHidden/>
              </w:rPr>
              <w:fldChar w:fldCharType="end"/>
            </w:r>
          </w:hyperlink>
        </w:p>
        <w:p w14:paraId="28107C96" w14:textId="30E9F164" w:rsidR="008B37BA" w:rsidRDefault="008B37BA">
          <w:pPr>
            <w:pStyle w:val="TOC1"/>
            <w:tabs>
              <w:tab w:val="right" w:leader="dot" w:pos="10070"/>
            </w:tabs>
            <w:rPr>
              <w:noProof/>
              <w:kern w:val="2"/>
              <w:szCs w:val="24"/>
              <w14:ligatures w14:val="standardContextual"/>
            </w:rPr>
          </w:pPr>
          <w:hyperlink w:anchor="_Toc227161750" w:history="1">
            <w:r w:rsidRPr="00A50448">
              <w:rPr>
                <w:rStyle w:val="Hyperlink"/>
                <w:noProof/>
              </w:rPr>
              <w:t>4.7 Protecting Your Warranty Rights</w:t>
            </w:r>
            <w:r>
              <w:rPr>
                <w:noProof/>
                <w:webHidden/>
              </w:rPr>
              <w:tab/>
            </w:r>
            <w:r>
              <w:rPr>
                <w:noProof/>
                <w:webHidden/>
              </w:rPr>
              <w:fldChar w:fldCharType="begin"/>
            </w:r>
            <w:r>
              <w:rPr>
                <w:noProof/>
                <w:webHidden/>
              </w:rPr>
              <w:instrText xml:space="preserve"> PAGEREF _Toc227161750 \h </w:instrText>
            </w:r>
            <w:r>
              <w:rPr>
                <w:noProof/>
                <w:webHidden/>
              </w:rPr>
            </w:r>
            <w:r>
              <w:rPr>
                <w:noProof/>
                <w:webHidden/>
              </w:rPr>
              <w:fldChar w:fldCharType="separate"/>
            </w:r>
            <w:r>
              <w:rPr>
                <w:noProof/>
                <w:webHidden/>
              </w:rPr>
              <w:t>3</w:t>
            </w:r>
            <w:r>
              <w:rPr>
                <w:noProof/>
                <w:webHidden/>
              </w:rPr>
              <w:fldChar w:fldCharType="end"/>
            </w:r>
          </w:hyperlink>
        </w:p>
        <w:p w14:paraId="1B884D87" w14:textId="0310BFFD" w:rsidR="008B37BA" w:rsidRDefault="008B37BA">
          <w:pPr>
            <w:pStyle w:val="TOC1"/>
            <w:tabs>
              <w:tab w:val="right" w:leader="dot" w:pos="10070"/>
            </w:tabs>
            <w:rPr>
              <w:noProof/>
              <w:kern w:val="2"/>
              <w:szCs w:val="24"/>
              <w14:ligatures w14:val="standardContextual"/>
            </w:rPr>
          </w:pPr>
          <w:hyperlink w:anchor="_Toc227161751" w:history="1">
            <w:r w:rsidRPr="00A50448">
              <w:rPr>
                <w:rStyle w:val="Hyperlink"/>
                <w:noProof/>
              </w:rPr>
              <w:t>4.8 Both Seller and Manufacturer Are Responsible</w:t>
            </w:r>
            <w:r>
              <w:rPr>
                <w:noProof/>
                <w:webHidden/>
              </w:rPr>
              <w:tab/>
            </w:r>
            <w:r>
              <w:rPr>
                <w:noProof/>
                <w:webHidden/>
              </w:rPr>
              <w:fldChar w:fldCharType="begin"/>
            </w:r>
            <w:r>
              <w:rPr>
                <w:noProof/>
                <w:webHidden/>
              </w:rPr>
              <w:instrText xml:space="preserve"> PAGEREF _Toc227161751 \h </w:instrText>
            </w:r>
            <w:r>
              <w:rPr>
                <w:noProof/>
                <w:webHidden/>
              </w:rPr>
            </w:r>
            <w:r>
              <w:rPr>
                <w:noProof/>
                <w:webHidden/>
              </w:rPr>
              <w:fldChar w:fldCharType="separate"/>
            </w:r>
            <w:r>
              <w:rPr>
                <w:noProof/>
                <w:webHidden/>
              </w:rPr>
              <w:t>3</w:t>
            </w:r>
            <w:r>
              <w:rPr>
                <w:noProof/>
                <w:webHidden/>
              </w:rPr>
              <w:fldChar w:fldCharType="end"/>
            </w:r>
          </w:hyperlink>
        </w:p>
        <w:p w14:paraId="5712EF03" w14:textId="4451FA85" w:rsidR="008B37BA" w:rsidRDefault="008B37BA">
          <w:pPr>
            <w:pStyle w:val="TOC1"/>
            <w:tabs>
              <w:tab w:val="right" w:leader="dot" w:pos="10070"/>
            </w:tabs>
            <w:rPr>
              <w:noProof/>
              <w:kern w:val="2"/>
              <w:szCs w:val="24"/>
              <w14:ligatures w14:val="standardContextual"/>
            </w:rPr>
          </w:pPr>
          <w:hyperlink w:anchor="_Toc227161752" w:history="1">
            <w:r w:rsidRPr="00A50448">
              <w:rPr>
                <w:rStyle w:val="Hyperlink"/>
                <w:noProof/>
              </w:rPr>
              <w:t>4.9 Draft Letter Requesting Implied Warranty Repair</w:t>
            </w:r>
            <w:r>
              <w:rPr>
                <w:noProof/>
                <w:webHidden/>
              </w:rPr>
              <w:tab/>
            </w:r>
            <w:r>
              <w:rPr>
                <w:noProof/>
                <w:webHidden/>
              </w:rPr>
              <w:fldChar w:fldCharType="begin"/>
            </w:r>
            <w:r>
              <w:rPr>
                <w:noProof/>
                <w:webHidden/>
              </w:rPr>
              <w:instrText xml:space="preserve"> PAGEREF _Toc227161752 \h </w:instrText>
            </w:r>
            <w:r>
              <w:rPr>
                <w:noProof/>
                <w:webHidden/>
              </w:rPr>
            </w:r>
            <w:r>
              <w:rPr>
                <w:noProof/>
                <w:webHidden/>
              </w:rPr>
              <w:fldChar w:fldCharType="separate"/>
            </w:r>
            <w:r>
              <w:rPr>
                <w:noProof/>
                <w:webHidden/>
              </w:rPr>
              <w:t>4</w:t>
            </w:r>
            <w:r>
              <w:rPr>
                <w:noProof/>
                <w:webHidden/>
              </w:rPr>
              <w:fldChar w:fldCharType="end"/>
            </w:r>
          </w:hyperlink>
        </w:p>
        <w:p w14:paraId="0C681E0F" w14:textId="052A503B" w:rsidR="008B37BA" w:rsidRDefault="008B37BA">
          <w:pPr>
            <w:pStyle w:val="TOC1"/>
            <w:tabs>
              <w:tab w:val="right" w:leader="dot" w:pos="10070"/>
            </w:tabs>
            <w:rPr>
              <w:noProof/>
              <w:kern w:val="2"/>
              <w:szCs w:val="24"/>
              <w14:ligatures w14:val="standardContextual"/>
            </w:rPr>
          </w:pPr>
          <w:hyperlink w:anchor="_Toc227161753" w:history="1">
            <w:r w:rsidRPr="00A50448">
              <w:rPr>
                <w:rStyle w:val="Hyperlink"/>
                <w:noProof/>
              </w:rPr>
              <w:t>4.10 Implied Warranties Apply to Services</w:t>
            </w:r>
            <w:r>
              <w:rPr>
                <w:noProof/>
                <w:webHidden/>
              </w:rPr>
              <w:tab/>
            </w:r>
            <w:r>
              <w:rPr>
                <w:noProof/>
                <w:webHidden/>
              </w:rPr>
              <w:fldChar w:fldCharType="begin"/>
            </w:r>
            <w:r>
              <w:rPr>
                <w:noProof/>
                <w:webHidden/>
              </w:rPr>
              <w:instrText xml:space="preserve"> PAGEREF _Toc227161753 \h </w:instrText>
            </w:r>
            <w:r>
              <w:rPr>
                <w:noProof/>
                <w:webHidden/>
              </w:rPr>
            </w:r>
            <w:r>
              <w:rPr>
                <w:noProof/>
                <w:webHidden/>
              </w:rPr>
              <w:fldChar w:fldCharType="separate"/>
            </w:r>
            <w:r>
              <w:rPr>
                <w:noProof/>
                <w:webHidden/>
              </w:rPr>
              <w:t>5</w:t>
            </w:r>
            <w:r>
              <w:rPr>
                <w:noProof/>
                <w:webHidden/>
              </w:rPr>
              <w:fldChar w:fldCharType="end"/>
            </w:r>
          </w:hyperlink>
        </w:p>
        <w:p w14:paraId="1155E25E" w14:textId="201B0A91" w:rsidR="008B37BA" w:rsidRDefault="008B37BA">
          <w:pPr>
            <w:pStyle w:val="TOC1"/>
            <w:tabs>
              <w:tab w:val="right" w:leader="dot" w:pos="10070"/>
            </w:tabs>
            <w:rPr>
              <w:noProof/>
              <w:kern w:val="2"/>
              <w:szCs w:val="24"/>
              <w14:ligatures w14:val="standardContextual"/>
            </w:rPr>
          </w:pPr>
          <w:hyperlink w:anchor="_Toc227161754" w:history="1">
            <w:r w:rsidRPr="00A50448">
              <w:rPr>
                <w:rStyle w:val="Hyperlink"/>
                <w:noProof/>
              </w:rPr>
              <w:t>4.11 Transfer of Express and Implied Warranty Rights</w:t>
            </w:r>
            <w:r>
              <w:rPr>
                <w:noProof/>
                <w:webHidden/>
              </w:rPr>
              <w:tab/>
            </w:r>
            <w:r>
              <w:rPr>
                <w:noProof/>
                <w:webHidden/>
              </w:rPr>
              <w:fldChar w:fldCharType="begin"/>
            </w:r>
            <w:r>
              <w:rPr>
                <w:noProof/>
                <w:webHidden/>
              </w:rPr>
              <w:instrText xml:space="preserve"> PAGEREF _Toc227161754 \h </w:instrText>
            </w:r>
            <w:r>
              <w:rPr>
                <w:noProof/>
                <w:webHidden/>
              </w:rPr>
            </w:r>
            <w:r>
              <w:rPr>
                <w:noProof/>
                <w:webHidden/>
              </w:rPr>
              <w:fldChar w:fldCharType="separate"/>
            </w:r>
            <w:r>
              <w:rPr>
                <w:noProof/>
                <w:webHidden/>
              </w:rPr>
              <w:t>5</w:t>
            </w:r>
            <w:r>
              <w:rPr>
                <w:noProof/>
                <w:webHidden/>
              </w:rPr>
              <w:fldChar w:fldCharType="end"/>
            </w:r>
          </w:hyperlink>
        </w:p>
        <w:p w14:paraId="26D9FD7A" w14:textId="398A6008" w:rsidR="008B37BA" w:rsidRDefault="008B37BA">
          <w:pPr>
            <w:pStyle w:val="TOC1"/>
            <w:tabs>
              <w:tab w:val="right" w:leader="dot" w:pos="10070"/>
            </w:tabs>
            <w:rPr>
              <w:noProof/>
              <w:kern w:val="2"/>
              <w:szCs w:val="24"/>
              <w14:ligatures w14:val="standardContextual"/>
            </w:rPr>
          </w:pPr>
          <w:hyperlink w:anchor="_Toc227161755" w:history="1">
            <w:r w:rsidRPr="00A50448">
              <w:rPr>
                <w:rStyle w:val="Hyperlink"/>
                <w:noProof/>
              </w:rPr>
              <w:t>4.12 Service Contracts and Extended Warranties</w:t>
            </w:r>
            <w:r>
              <w:rPr>
                <w:noProof/>
                <w:webHidden/>
              </w:rPr>
              <w:tab/>
            </w:r>
            <w:r>
              <w:rPr>
                <w:noProof/>
                <w:webHidden/>
              </w:rPr>
              <w:fldChar w:fldCharType="begin"/>
            </w:r>
            <w:r>
              <w:rPr>
                <w:noProof/>
                <w:webHidden/>
              </w:rPr>
              <w:instrText xml:space="preserve"> PAGEREF _Toc227161755 \h </w:instrText>
            </w:r>
            <w:r>
              <w:rPr>
                <w:noProof/>
                <w:webHidden/>
              </w:rPr>
            </w:r>
            <w:r>
              <w:rPr>
                <w:noProof/>
                <w:webHidden/>
              </w:rPr>
              <w:fldChar w:fldCharType="separate"/>
            </w:r>
            <w:r>
              <w:rPr>
                <w:noProof/>
                <w:webHidden/>
              </w:rPr>
              <w:t>5</w:t>
            </w:r>
            <w:r>
              <w:rPr>
                <w:noProof/>
                <w:webHidden/>
              </w:rPr>
              <w:fldChar w:fldCharType="end"/>
            </w:r>
          </w:hyperlink>
        </w:p>
        <w:p w14:paraId="13DDF62F" w14:textId="7B660EFF" w:rsidR="008B37BA" w:rsidRDefault="008B37BA">
          <w:pPr>
            <w:pStyle w:val="TOC1"/>
            <w:tabs>
              <w:tab w:val="right" w:leader="dot" w:pos="10070"/>
            </w:tabs>
            <w:rPr>
              <w:noProof/>
              <w:kern w:val="2"/>
              <w:szCs w:val="24"/>
              <w14:ligatures w14:val="standardContextual"/>
            </w:rPr>
          </w:pPr>
          <w:hyperlink w:anchor="_Toc227161756" w:history="1">
            <w:r w:rsidRPr="00A50448">
              <w:rPr>
                <w:rStyle w:val="Hyperlink"/>
                <w:noProof/>
              </w:rPr>
              <w:t>4.13 Online or Mail Order Purchases</w:t>
            </w:r>
            <w:r>
              <w:rPr>
                <w:noProof/>
                <w:webHidden/>
              </w:rPr>
              <w:tab/>
            </w:r>
            <w:r>
              <w:rPr>
                <w:noProof/>
                <w:webHidden/>
              </w:rPr>
              <w:fldChar w:fldCharType="begin"/>
            </w:r>
            <w:r>
              <w:rPr>
                <w:noProof/>
                <w:webHidden/>
              </w:rPr>
              <w:instrText xml:space="preserve"> PAGEREF _Toc227161756 \h </w:instrText>
            </w:r>
            <w:r>
              <w:rPr>
                <w:noProof/>
                <w:webHidden/>
              </w:rPr>
            </w:r>
            <w:r>
              <w:rPr>
                <w:noProof/>
                <w:webHidden/>
              </w:rPr>
              <w:fldChar w:fldCharType="separate"/>
            </w:r>
            <w:r>
              <w:rPr>
                <w:noProof/>
                <w:webHidden/>
              </w:rPr>
              <w:t>6</w:t>
            </w:r>
            <w:r>
              <w:rPr>
                <w:noProof/>
                <w:webHidden/>
              </w:rPr>
              <w:fldChar w:fldCharType="end"/>
            </w:r>
          </w:hyperlink>
        </w:p>
        <w:p w14:paraId="453A19C7" w14:textId="41F56070" w:rsidR="008B37BA" w:rsidRDefault="008B37BA">
          <w:pPr>
            <w:pStyle w:val="TOC1"/>
            <w:tabs>
              <w:tab w:val="right" w:leader="dot" w:pos="10070"/>
            </w:tabs>
            <w:rPr>
              <w:noProof/>
              <w:kern w:val="2"/>
              <w:szCs w:val="24"/>
              <w14:ligatures w14:val="standardContextual"/>
            </w:rPr>
          </w:pPr>
          <w:hyperlink w:anchor="_Toc227161757" w:history="1">
            <w:r w:rsidRPr="00A50448">
              <w:rPr>
                <w:rStyle w:val="Hyperlink"/>
                <w:noProof/>
              </w:rPr>
              <w:t>4.14 Statute of Limitations for Breach of Warranty</w:t>
            </w:r>
            <w:r>
              <w:rPr>
                <w:noProof/>
                <w:webHidden/>
              </w:rPr>
              <w:tab/>
            </w:r>
            <w:r>
              <w:rPr>
                <w:noProof/>
                <w:webHidden/>
              </w:rPr>
              <w:fldChar w:fldCharType="begin"/>
            </w:r>
            <w:r>
              <w:rPr>
                <w:noProof/>
                <w:webHidden/>
              </w:rPr>
              <w:instrText xml:space="preserve"> PAGEREF _Toc227161757 \h </w:instrText>
            </w:r>
            <w:r>
              <w:rPr>
                <w:noProof/>
                <w:webHidden/>
              </w:rPr>
            </w:r>
            <w:r>
              <w:rPr>
                <w:noProof/>
                <w:webHidden/>
              </w:rPr>
              <w:fldChar w:fldCharType="separate"/>
            </w:r>
            <w:r>
              <w:rPr>
                <w:noProof/>
                <w:webHidden/>
              </w:rPr>
              <w:t>6</w:t>
            </w:r>
            <w:r>
              <w:rPr>
                <w:noProof/>
                <w:webHidden/>
              </w:rPr>
              <w:fldChar w:fldCharType="end"/>
            </w:r>
          </w:hyperlink>
        </w:p>
        <w:p w14:paraId="70AC811D" w14:textId="7D8190D6" w:rsidR="008B37BA" w:rsidRDefault="008B37BA">
          <w:r>
            <w:rPr>
              <w:b/>
              <w:bCs/>
              <w:noProof/>
            </w:rPr>
            <w:fldChar w:fldCharType="end"/>
          </w:r>
        </w:p>
      </w:sdtContent>
    </w:sdt>
    <w:p w14:paraId="618E1862" w14:textId="1C85610C" w:rsidR="006A288C" w:rsidRDefault="003377E7" w:rsidP="00F056D4">
      <w:pPr>
        <w:pStyle w:val="Heading1"/>
      </w:pPr>
      <w:bookmarkStart w:id="0" w:name="_Toc227161744"/>
      <w:r>
        <w:lastRenderedPageBreak/>
        <w:t>4.1 Express</w:t>
      </w:r>
      <w:r w:rsidR="006A288C">
        <w:t xml:space="preserve"> Warranty</w:t>
      </w:r>
      <w:bookmarkEnd w:id="0"/>
      <w:r w:rsidR="006A288C">
        <w:tab/>
      </w:r>
    </w:p>
    <w:p w14:paraId="234A590C" w14:textId="44988022" w:rsidR="006A288C" w:rsidRPr="00F056D4" w:rsidRDefault="00E77A75" w:rsidP="00F056D4">
      <w:r>
        <w:t xml:space="preserve">Under Maine law, </w:t>
      </w:r>
      <w:r w:rsidR="0018479D">
        <w:t>a</w:t>
      </w:r>
      <w:r w:rsidR="006A288C" w:rsidRPr="00F056D4">
        <w:t>n express warranty is a clearly stated fact or promise by a seller or manufacturer that a product will perform in a certain manner for a specified time, which becomes part of the basis for the bargain between the buyer and seller.</w:t>
      </w:r>
      <w:r w:rsidR="006A288C" w:rsidRPr="00505522">
        <w:rPr>
          <w:rStyle w:val="EndnoteReference"/>
        </w:rPr>
        <w:endnoteReference w:id="1"/>
      </w:r>
      <w:r w:rsidR="00885BB9">
        <w:rPr>
          <w:vertAlign w:val="superscript"/>
        </w:rPr>
        <w:t xml:space="preserve"> </w:t>
      </w:r>
      <w:r w:rsidR="006A288C" w:rsidRPr="00F056D4">
        <w:t xml:space="preserve">Many products </w:t>
      </w:r>
      <w:r w:rsidR="00885BB9">
        <w:t xml:space="preserve">you </w:t>
      </w:r>
      <w:r w:rsidR="006A288C" w:rsidRPr="00F056D4">
        <w:t>purchase come with a written express warranty, which could be a statement such as the product “will be free from defects in materials or workmanship” for a certain period or “</w:t>
      </w:r>
      <w:r w:rsidR="00FD6AD2">
        <w:t>y</w:t>
      </w:r>
      <w:r w:rsidR="006A288C" w:rsidRPr="00F056D4">
        <w:t>our complete satisfaction is guaranteed.” An oral or written statement about a product’s quality, characteristics</w:t>
      </w:r>
      <w:r w:rsidR="00277981">
        <w:t>,</w:t>
      </w:r>
      <w:r w:rsidR="006A288C" w:rsidRPr="00F056D4">
        <w:t xml:space="preserve"> or condition can also create an express warranty, and formal words like “warrant” or “guarantee” </w:t>
      </w:r>
      <w:r w:rsidR="003028FB" w:rsidRPr="00F056D4">
        <w:t>are</w:t>
      </w:r>
      <w:r w:rsidR="003028FB">
        <w:t xml:space="preserve"> not</w:t>
      </w:r>
      <w:r w:rsidR="003028FB" w:rsidRPr="00F056D4">
        <w:t xml:space="preserve"> </w:t>
      </w:r>
      <w:r w:rsidR="006A288C" w:rsidRPr="00F056D4">
        <w:t xml:space="preserve">necessary. In determining whether an express warranty was </w:t>
      </w:r>
      <w:r w:rsidR="0005617E">
        <w:t>given</w:t>
      </w:r>
      <w:r w:rsidR="006A288C" w:rsidRPr="00F056D4">
        <w:t>, a court will consider the circumstances around the agreement, including the knowledge of both parties.</w:t>
      </w:r>
      <w:r w:rsidR="00D90C27">
        <w:t xml:space="preserve"> </w:t>
      </w:r>
      <w:r w:rsidR="006A288C" w:rsidRPr="00F056D4">
        <w:t>There must be something more than a seller’s opinions or promotional statements about a product, however, to create an express warranty.</w:t>
      </w:r>
      <w:r w:rsidR="00B138B0">
        <w:t xml:space="preserve"> </w:t>
      </w:r>
    </w:p>
    <w:p w14:paraId="7646D4FB" w14:textId="60498139" w:rsidR="006A288C" w:rsidRDefault="003377E7" w:rsidP="00F056D4">
      <w:pPr>
        <w:pStyle w:val="Heading1"/>
      </w:pPr>
      <w:bookmarkStart w:id="1" w:name="_Toc227161745"/>
      <w:r>
        <w:t>4.2 Implied</w:t>
      </w:r>
      <w:r w:rsidR="006A288C">
        <w:t xml:space="preserve"> Warranty of Merchantability</w:t>
      </w:r>
      <w:bookmarkEnd w:id="1"/>
    </w:p>
    <w:p w14:paraId="1665A729" w14:textId="2A11E3D1" w:rsidR="006A288C" w:rsidRDefault="006A288C" w:rsidP="00F056D4">
      <w:r>
        <w:t>In addition to any express warranty given by the seller or manufacturer, Maine</w:t>
      </w:r>
      <w:r w:rsidR="00E12043">
        <w:t xml:space="preserve"> law</w:t>
      </w:r>
      <w:r>
        <w:t xml:space="preserve"> provides automatic warranty protection through an implied warranty of merchantability.</w:t>
      </w:r>
      <w:r>
        <w:rPr>
          <w:rStyle w:val="EndnoteReference"/>
        </w:rPr>
        <w:endnoteReference w:id="2"/>
      </w:r>
      <w:r>
        <w:t xml:space="preserve"> All new and used “consumer goods”</w:t>
      </w:r>
      <w:r w:rsidR="00F76A9B">
        <w:rPr>
          <w:rStyle w:val="EndnoteReference"/>
        </w:rPr>
        <w:endnoteReference w:id="3"/>
      </w:r>
      <w:r>
        <w:t xml:space="preserve"> – products </w:t>
      </w:r>
      <w:r w:rsidR="009820CD">
        <w:t>you</w:t>
      </w:r>
      <w:r>
        <w:t xml:space="preserve"> purchase for family, household or personal use (including mobile homes, clothing, new cars, furniture, appliances, sports equipment and more) </w:t>
      </w:r>
      <w:r w:rsidR="00BD69DE">
        <w:t>–</w:t>
      </w:r>
      <w:r>
        <w:t xml:space="preserve"> are </w:t>
      </w:r>
      <w:proofErr w:type="spellStart"/>
      <w:r w:rsidR="00147731">
        <w:t>warrantied</w:t>
      </w:r>
      <w:proofErr w:type="spellEnd"/>
      <w:r>
        <w:t xml:space="preserve"> by law to be fit for the ordinary purpose for which such goods are used. For example, a washing machine must be fit </w:t>
      </w:r>
      <w:r w:rsidR="00795537">
        <w:t>to wash</w:t>
      </w:r>
      <w:r>
        <w:t xml:space="preserve"> clothes for as long as washing machines ordinarily last. </w:t>
      </w:r>
    </w:p>
    <w:p w14:paraId="54CA7AAD" w14:textId="4163BE53" w:rsidR="006A288C" w:rsidRDefault="0011002A" w:rsidP="00F056D4">
      <w:r>
        <w:t>T</w:t>
      </w:r>
      <w:r w:rsidR="006A288C">
        <w:t xml:space="preserve">wo important questions to ask in determining whether a consumer product is merchantable are: </w:t>
      </w:r>
    </w:p>
    <w:p w14:paraId="76D1342F" w14:textId="2A89420E" w:rsidR="006A288C" w:rsidRPr="00171C43" w:rsidRDefault="006A288C" w:rsidP="00674A53">
      <w:pPr>
        <w:pStyle w:val="ListParagraph"/>
        <w:numPr>
          <w:ilvl w:val="0"/>
          <w:numId w:val="5"/>
        </w:numPr>
      </w:pPr>
      <w:r w:rsidRPr="00171C43">
        <w:t xml:space="preserve">Is the product “fit for the ordinary purposes for which such a product is used” and </w:t>
      </w:r>
    </w:p>
    <w:p w14:paraId="52CBDA25" w14:textId="6EB7ECFF" w:rsidR="006A288C" w:rsidRPr="00171C43" w:rsidRDefault="00674A53" w:rsidP="00674A53">
      <w:pPr>
        <w:pStyle w:val="ListParagraph"/>
        <w:numPr>
          <w:ilvl w:val="0"/>
          <w:numId w:val="5"/>
        </w:numPr>
      </w:pPr>
      <w:r>
        <w:t>D</w:t>
      </w:r>
      <w:r w:rsidR="006A288C" w:rsidRPr="00171C43">
        <w:t xml:space="preserve">oes the product “pass without objection in the trade” (e.g., would most people find the product acceptable)? </w:t>
      </w:r>
    </w:p>
    <w:p w14:paraId="717CAD02" w14:textId="079BC08A" w:rsidR="006A288C" w:rsidRPr="00F056D4" w:rsidRDefault="003377E7" w:rsidP="00F056D4">
      <w:pPr>
        <w:pStyle w:val="Heading1"/>
      </w:pPr>
      <w:bookmarkStart w:id="2" w:name="_Toc227161746"/>
      <w:r w:rsidRPr="00F056D4">
        <w:t>4.3 Length</w:t>
      </w:r>
      <w:r w:rsidR="006A288C" w:rsidRPr="00F056D4">
        <w:t xml:space="preserve"> of Implied Warranty</w:t>
      </w:r>
      <w:bookmarkEnd w:id="2"/>
      <w:r w:rsidR="006A288C" w:rsidRPr="00F056D4">
        <w:t xml:space="preserve"> </w:t>
      </w:r>
    </w:p>
    <w:p w14:paraId="57061153" w14:textId="3B16F1E3" w:rsidR="006A288C" w:rsidRDefault="006A288C" w:rsidP="00F056D4">
      <w:r>
        <w:t xml:space="preserve">Maine’s implied warranty of merchantability applies automatically to any new or used consumer product and gives you a legal claim for </w:t>
      </w:r>
      <w:r w:rsidRPr="00785385">
        <w:rPr>
          <w:b/>
          <w:bCs/>
        </w:rPr>
        <w:t>up to 4 years from the date of delivery</w:t>
      </w:r>
      <w:r>
        <w:t>.</w:t>
      </w:r>
      <w:r>
        <w:rPr>
          <w:rStyle w:val="EndnoteReference"/>
        </w:rPr>
        <w:endnoteReference w:id="4"/>
      </w:r>
      <w:r>
        <w:t xml:space="preserve"> For a consumer product, this will most likely be the date that you actually receive the product, whether you purchased it in a store or bought it online or over the phone. </w:t>
      </w:r>
    </w:p>
    <w:p w14:paraId="1ED370B3" w14:textId="59136633" w:rsidR="006A288C" w:rsidRDefault="006A288C" w:rsidP="00F056D4">
      <w:r>
        <w:t xml:space="preserve">For example, consider a food processor that hypothetically has a useful life of 10 years and comes with a 2-year express warranty. Assuming proper care, if the food processor breaks down within 4 years of delivery, you still have warranty coverage under the implied warranty of merchantability even though your express warranty has expired. If the food processor breaks down after 4 years, then you are not covered under the implied warranty of merchantability. </w:t>
      </w:r>
    </w:p>
    <w:p w14:paraId="2B4F2723" w14:textId="54F6D77F" w:rsidR="0003798B" w:rsidRDefault="006A288C" w:rsidP="00F056D4">
      <w:r>
        <w:lastRenderedPageBreak/>
        <w:t xml:space="preserve">The implied warranty of merchantability does not require every consumer product to last for 4 years. Rather, if an item becomes seriously defective during the period of its useful life, you have a claim under the implied warranty of merchantability for 4 years from the date of delivery. </w:t>
      </w:r>
      <w:r w:rsidR="00862EA7">
        <w:t xml:space="preserve">The useful life of a product </w:t>
      </w:r>
      <w:r w:rsidR="004E58DE">
        <w:t xml:space="preserve">may depend on its condition (for example, whether it is new or used). Some consumer products may </w:t>
      </w:r>
      <w:r w:rsidR="006F30EF">
        <w:t xml:space="preserve">have useful lives much longer than 4 years; other products may have short useful lives. If you are unsure of a product’s useful life, you may find answers through online resources </w:t>
      </w:r>
      <w:r w:rsidR="007019CA">
        <w:t xml:space="preserve">or from information provided by the manufacturer. </w:t>
      </w:r>
      <w:r w:rsidR="002E208D">
        <w:t>We encourage you</w:t>
      </w:r>
      <w:r>
        <w:t xml:space="preserve"> to contact the seller and manufacturer of a product as soon as possible after it becomes defective.</w:t>
      </w:r>
    </w:p>
    <w:p w14:paraId="371DC17D" w14:textId="2684756D" w:rsidR="006A288C" w:rsidRDefault="003377E7" w:rsidP="00F056D4">
      <w:pPr>
        <w:pStyle w:val="Heading1"/>
      </w:pPr>
      <w:bookmarkStart w:id="3" w:name="_Toc227161747"/>
      <w:r>
        <w:t>4.4 Breach</w:t>
      </w:r>
      <w:r w:rsidR="006A288C">
        <w:t xml:space="preserve"> of Implied Warranty of Merchantability</w:t>
      </w:r>
      <w:bookmarkEnd w:id="3"/>
      <w:r w:rsidR="006A288C">
        <w:t xml:space="preserve"> </w:t>
      </w:r>
    </w:p>
    <w:p w14:paraId="0B94AD88" w14:textId="77777777" w:rsidR="006A288C" w:rsidRDefault="006A288C" w:rsidP="00F056D4">
      <w:r>
        <w:t>In general, the implied warranty of merchantability has been breached (violated) if you purchased a new or used consumer product and:</w:t>
      </w:r>
    </w:p>
    <w:p w14:paraId="61D1FB11" w14:textId="43C0DF23" w:rsidR="006A288C" w:rsidRDefault="00B96A00" w:rsidP="00F056D4">
      <w:pPr>
        <w:pStyle w:val="ListParagraph"/>
        <w:numPr>
          <w:ilvl w:val="0"/>
          <w:numId w:val="3"/>
        </w:numPr>
      </w:pPr>
      <w:r>
        <w:t>During its useful life, t</w:t>
      </w:r>
      <w:r w:rsidR="006A288C">
        <w:t>he product</w:t>
      </w:r>
      <w:r>
        <w:t xml:space="preserve"> becomes </w:t>
      </w:r>
      <w:r w:rsidR="006A288C">
        <w:t xml:space="preserve">seriously defective and </w:t>
      </w:r>
      <w:r w:rsidR="00760689">
        <w:t>cannot be used</w:t>
      </w:r>
      <w:r w:rsidR="006D3B1E">
        <w:t xml:space="preserve"> for its ordinary purpose</w:t>
      </w:r>
      <w:r w:rsidR="006A288C">
        <w:t>;</w:t>
      </w:r>
    </w:p>
    <w:p w14:paraId="4F99B203" w14:textId="7309BD43" w:rsidR="006A288C" w:rsidRDefault="006A288C" w:rsidP="00F056D4">
      <w:pPr>
        <w:pStyle w:val="ListParagraph"/>
        <w:numPr>
          <w:ilvl w:val="0"/>
          <w:numId w:val="3"/>
        </w:numPr>
      </w:pPr>
      <w:r>
        <w:t xml:space="preserve">You </w:t>
      </w:r>
      <w:r w:rsidR="00B96A00">
        <w:t xml:space="preserve">did not </w:t>
      </w:r>
      <w:r>
        <w:t xml:space="preserve">abuse </w:t>
      </w:r>
      <w:r w:rsidR="009D02F5">
        <w:t xml:space="preserve">or misuse </w:t>
      </w:r>
      <w:r>
        <w:t>the product; and</w:t>
      </w:r>
    </w:p>
    <w:p w14:paraId="7C2070E0" w14:textId="2949041F" w:rsidR="00700986" w:rsidRDefault="006A288C" w:rsidP="00F056D4">
      <w:pPr>
        <w:pStyle w:val="ListParagraph"/>
        <w:numPr>
          <w:ilvl w:val="0"/>
          <w:numId w:val="3"/>
        </w:numPr>
      </w:pPr>
      <w:r>
        <w:t>The date you received the product was no more than 4 years ago.</w:t>
      </w:r>
    </w:p>
    <w:p w14:paraId="1748FE81" w14:textId="2C2D2B3E" w:rsidR="006A288C" w:rsidRDefault="006A288C" w:rsidP="00700986">
      <w:r>
        <w:t xml:space="preserve">If </w:t>
      </w:r>
      <w:r w:rsidR="0046451E">
        <w:t xml:space="preserve">those three </w:t>
      </w:r>
      <w:r w:rsidR="00FE1AF2">
        <w:t>things are true</w:t>
      </w:r>
      <w:r>
        <w:t xml:space="preserve">, you </w:t>
      </w:r>
      <w:r w:rsidR="00FE1AF2">
        <w:t>are</w:t>
      </w:r>
      <w:r>
        <w:t xml:space="preserve"> entitled to free repairs by either the manufacturer or the seller</w:t>
      </w:r>
      <w:r w:rsidR="00373793">
        <w:t xml:space="preserve"> and, if the item cannot be repaired, the additional remedies discussed in </w:t>
      </w:r>
      <w:r w:rsidR="00FF4FAB">
        <w:t xml:space="preserve">our </w:t>
      </w:r>
      <w:hyperlink r:id="rId8" w:history="1">
        <w:r w:rsidR="00FF4FAB" w:rsidRPr="009B7A00">
          <w:rPr>
            <w:rStyle w:val="Hyperlink"/>
          </w:rPr>
          <w:t xml:space="preserve">defective goods </w:t>
        </w:r>
        <w:r w:rsidR="009B7A00" w:rsidRPr="009B7A00">
          <w:rPr>
            <w:rStyle w:val="Hyperlink"/>
          </w:rPr>
          <w:t>guide</w:t>
        </w:r>
      </w:hyperlink>
      <w:r w:rsidR="009B7A00">
        <w:t xml:space="preserve"> (</w:t>
      </w:r>
      <w:hyperlink r:id="rId9" w:history="1">
        <w:r w:rsidR="009B7A00" w:rsidRPr="005C5782">
          <w:rPr>
            <w:rStyle w:val="Hyperlink"/>
          </w:rPr>
          <w:t>https://maine.gov/ag/consumer-protection/consumer-help-topics/purchasing-goods-or-services/defective-goods</w:t>
        </w:r>
      </w:hyperlink>
      <w:r w:rsidR="009B7A00">
        <w:t>)</w:t>
      </w:r>
      <w:r>
        <w:t>.</w:t>
      </w:r>
    </w:p>
    <w:p w14:paraId="6658517C" w14:textId="15E89E60" w:rsidR="006A288C" w:rsidRDefault="003377E7" w:rsidP="00F056D4">
      <w:pPr>
        <w:pStyle w:val="Heading1"/>
      </w:pPr>
      <w:bookmarkStart w:id="4" w:name="_Toc227161748"/>
      <w:r>
        <w:t>4.5 Implied</w:t>
      </w:r>
      <w:r w:rsidR="006A288C">
        <w:t xml:space="preserve"> Warranty of Fitness for a Particular Purpose</w:t>
      </w:r>
      <w:bookmarkEnd w:id="4"/>
    </w:p>
    <w:p w14:paraId="653AEBD8" w14:textId="2FE110DC" w:rsidR="006A288C" w:rsidRDefault="006A288C" w:rsidP="00F056D4">
      <w:r>
        <w:t>In addition to the implied warranty of merchantability, Maine law also provides automatic warranty protection through an implied warranty of fitness for a particular purpose.</w:t>
      </w:r>
      <w:r>
        <w:rPr>
          <w:rStyle w:val="EndnoteReference"/>
        </w:rPr>
        <w:endnoteReference w:id="5"/>
      </w:r>
      <w:r>
        <w:t xml:space="preserve"> This warranty protects you if the seller knows that </w:t>
      </w:r>
      <w:r w:rsidR="00775455">
        <w:t xml:space="preserve">you are </w:t>
      </w:r>
      <w:r>
        <w:t xml:space="preserve">purchasing a product for a particular purpose </w:t>
      </w:r>
      <w:r w:rsidR="00775455">
        <w:t xml:space="preserve">that is </w:t>
      </w:r>
      <w:r>
        <w:t xml:space="preserve">outside its ordinary uses, and you rely on the seller’s promise that the product is suitable for that purpose. If the item is inadequate for your purpose, </w:t>
      </w:r>
      <w:r w:rsidR="007E6267">
        <w:t xml:space="preserve">the </w:t>
      </w:r>
      <w:r>
        <w:t>warranty of fitness for a particular purpose has been breached.</w:t>
      </w:r>
      <w:r w:rsidR="00B138B0">
        <w:t xml:space="preserve"> </w:t>
      </w:r>
    </w:p>
    <w:p w14:paraId="2076A998" w14:textId="2FD57CAF" w:rsidR="006A288C" w:rsidRDefault="003377E7" w:rsidP="00F056D4">
      <w:pPr>
        <w:pStyle w:val="Heading1"/>
      </w:pPr>
      <w:bookmarkStart w:id="5" w:name="_Toc227161749"/>
      <w:r>
        <w:t>4.6 Implied</w:t>
      </w:r>
      <w:r w:rsidR="006A288C">
        <w:t xml:space="preserve"> Warranties </w:t>
      </w:r>
      <w:r w:rsidR="007E6267">
        <w:t xml:space="preserve">Cannot </w:t>
      </w:r>
      <w:r w:rsidR="006A288C">
        <w:t xml:space="preserve">Be Denied </w:t>
      </w:r>
      <w:r w:rsidR="007E6267">
        <w:t xml:space="preserve">or Disclaimed </w:t>
      </w:r>
      <w:r w:rsidR="005145AA">
        <w:t>by a</w:t>
      </w:r>
      <w:r w:rsidR="007F001A">
        <w:t xml:space="preserve"> Seller or Manufacturer </w:t>
      </w:r>
      <w:r w:rsidR="006A288C">
        <w:t>(Except on Used Cars)</w:t>
      </w:r>
      <w:bookmarkEnd w:id="5"/>
    </w:p>
    <w:p w14:paraId="2D8D599F" w14:textId="3F40B952" w:rsidR="006A288C" w:rsidRDefault="0074636B" w:rsidP="00F056D4">
      <w:r>
        <w:t>Maine law prohibits</w:t>
      </w:r>
      <w:r w:rsidR="006A288C">
        <w:t xml:space="preserve"> </w:t>
      </w:r>
      <w:r>
        <w:t xml:space="preserve">both </w:t>
      </w:r>
      <w:r w:rsidR="006A288C">
        <w:t>seller</w:t>
      </w:r>
      <w:r>
        <w:t>s</w:t>
      </w:r>
      <w:r w:rsidR="006A288C">
        <w:t xml:space="preserve"> </w:t>
      </w:r>
      <w:r>
        <w:t xml:space="preserve">and </w:t>
      </w:r>
      <w:r w:rsidR="006A288C">
        <w:t>manufacturer</w:t>
      </w:r>
      <w:r>
        <w:t>s</w:t>
      </w:r>
      <w:r w:rsidR="006A288C">
        <w:t xml:space="preserve"> from </w:t>
      </w:r>
      <w:r>
        <w:t xml:space="preserve">denying or </w:t>
      </w:r>
      <w:r w:rsidR="006A288C">
        <w:t>disclaiming an implied warranty on any consumer product or service</w:t>
      </w:r>
      <w:r>
        <w:t>.</w:t>
      </w:r>
      <w:r w:rsidR="006A288C">
        <w:t xml:space="preserve"> </w:t>
      </w:r>
      <w:r>
        <w:t>A</w:t>
      </w:r>
      <w:r w:rsidR="006A288C">
        <w:t xml:space="preserve">ny language used by </w:t>
      </w:r>
      <w:r>
        <w:t xml:space="preserve">a </w:t>
      </w:r>
      <w:r w:rsidR="006A288C">
        <w:t>seller or manufacturer to exclude or modify an implied warranty is unenforceable.</w:t>
      </w:r>
      <w:r w:rsidR="006A288C">
        <w:rPr>
          <w:rStyle w:val="EndnoteReference"/>
        </w:rPr>
        <w:endnoteReference w:id="6"/>
      </w:r>
      <w:r w:rsidR="006A288C">
        <w:t xml:space="preserve"> Further, a seller or manufacturer who sells goods to consumers in Maine </w:t>
      </w:r>
      <w:r w:rsidR="00AD6CC9">
        <w:t xml:space="preserve">cannot </w:t>
      </w:r>
      <w:r w:rsidR="006A288C">
        <w:t xml:space="preserve">limit a consumer’s </w:t>
      </w:r>
      <w:r w:rsidR="00AD6CC9">
        <w:t xml:space="preserve">remedies </w:t>
      </w:r>
      <w:r w:rsidR="006A288C">
        <w:t xml:space="preserve">for breach of </w:t>
      </w:r>
      <w:r w:rsidR="00F47964">
        <w:t xml:space="preserve">an </w:t>
      </w:r>
      <w:r w:rsidR="006A288C">
        <w:t>implied warranty.</w:t>
      </w:r>
      <w:r w:rsidR="006A288C">
        <w:rPr>
          <w:rStyle w:val="EndnoteReference"/>
        </w:rPr>
        <w:endnoteReference w:id="7"/>
      </w:r>
      <w:r w:rsidR="006A288C">
        <w:t xml:space="preserve"> The only exception to </w:t>
      </w:r>
      <w:r w:rsidR="00472DBC">
        <w:t xml:space="preserve">this prohibition is for </w:t>
      </w:r>
      <w:r w:rsidR="006A288C">
        <w:t xml:space="preserve">the sale of used cars. If a dealer sells </w:t>
      </w:r>
      <w:r w:rsidR="009C5920">
        <w:t xml:space="preserve">you </w:t>
      </w:r>
      <w:r w:rsidR="006A288C">
        <w:t xml:space="preserve">a used car “as is,” </w:t>
      </w:r>
      <w:r w:rsidR="009C5920">
        <w:t>you</w:t>
      </w:r>
      <w:r w:rsidR="006A288C">
        <w:t xml:space="preserve"> receive no implied warranty of merchantability.</w:t>
      </w:r>
      <w:r w:rsidR="006A288C">
        <w:rPr>
          <w:rStyle w:val="EndnoteReference"/>
        </w:rPr>
        <w:endnoteReference w:id="8"/>
      </w:r>
    </w:p>
    <w:p w14:paraId="22B3FC3C" w14:textId="2377D03D" w:rsidR="006A288C" w:rsidRDefault="006A288C" w:rsidP="00F056D4">
      <w:r>
        <w:lastRenderedPageBreak/>
        <w:t xml:space="preserve">Except for used cars, any other new or used consumer product </w:t>
      </w:r>
      <w:r w:rsidR="00DA6234">
        <w:t xml:space="preserve">that is sold </w:t>
      </w:r>
      <w:r w:rsidR="00204D54">
        <w:t xml:space="preserve">by a merchant </w:t>
      </w:r>
      <w:r>
        <w:t xml:space="preserve">“as is” </w:t>
      </w:r>
      <w:r w:rsidR="00204D54">
        <w:t xml:space="preserve">still </w:t>
      </w:r>
      <w:r>
        <w:t>comes with an implied warranty of merchantability</w:t>
      </w:r>
      <w:r w:rsidR="00204D54">
        <w:t xml:space="preserve">. A </w:t>
      </w:r>
      <w:r>
        <w:t xml:space="preserve">seller is a merchant with respect to </w:t>
      </w:r>
      <w:r w:rsidR="009F0870">
        <w:t xml:space="preserve">a sold good </w:t>
      </w:r>
      <w:r w:rsidR="006E2B93">
        <w:t xml:space="preserve">if it regularly </w:t>
      </w:r>
      <w:r w:rsidR="009F0870" w:rsidRPr="009F0870">
        <w:t xml:space="preserve">deals in </w:t>
      </w:r>
      <w:r w:rsidR="006E2B93">
        <w:t>that type of good</w:t>
      </w:r>
      <w:r w:rsidR="009F0870" w:rsidRPr="009F0870">
        <w:t xml:space="preserve"> or otherwise holds </w:t>
      </w:r>
      <w:r w:rsidR="009F0870">
        <w:t>itself</w:t>
      </w:r>
      <w:r w:rsidR="009F0870" w:rsidRPr="009F0870">
        <w:t xml:space="preserve"> out as having specialized knowledge or skill regarding the </w:t>
      </w:r>
      <w:r w:rsidR="009F0870">
        <w:t>good.</w:t>
      </w:r>
      <w:r>
        <w:t xml:space="preserve"> </w:t>
      </w:r>
      <w:r w:rsidR="00022C3D">
        <w:t>So</w:t>
      </w:r>
      <w:r w:rsidR="009F2B2B">
        <w:t>,</w:t>
      </w:r>
      <w:r w:rsidR="00022C3D">
        <w:t xml:space="preserve"> </w:t>
      </w:r>
      <w:r w:rsidR="000604E1">
        <w:t>a table bought at a yard sale</w:t>
      </w:r>
      <w:r w:rsidR="003C5A99">
        <w:t xml:space="preserve"> </w:t>
      </w:r>
      <w:r w:rsidR="000604E1">
        <w:t>is not going to</w:t>
      </w:r>
      <w:r w:rsidR="00622CA3">
        <w:t xml:space="preserve"> come with an implied warranty of merchantability, whereas that same table bought at a furniture store will</w:t>
      </w:r>
      <w:r w:rsidR="00FE3DF5">
        <w:t>,</w:t>
      </w:r>
      <w:r w:rsidR="00622CA3">
        <w:t xml:space="preserve"> regardless of any attempt by the </w:t>
      </w:r>
      <w:proofErr w:type="gramStart"/>
      <w:r w:rsidR="00622CA3">
        <w:t>seller</w:t>
      </w:r>
      <w:proofErr w:type="gramEnd"/>
      <w:r w:rsidR="00622CA3">
        <w:t xml:space="preserve"> to limit that warranty. </w:t>
      </w:r>
    </w:p>
    <w:p w14:paraId="6DE04A9B" w14:textId="270A179D" w:rsidR="006A288C" w:rsidRDefault="003377E7" w:rsidP="00F056D4">
      <w:pPr>
        <w:pStyle w:val="Heading1"/>
      </w:pPr>
      <w:bookmarkStart w:id="6" w:name="_Toc227161750"/>
      <w:r>
        <w:t xml:space="preserve">4.7 </w:t>
      </w:r>
      <w:r w:rsidR="00917F84">
        <w:t>Protecting</w:t>
      </w:r>
      <w:r w:rsidR="006A288C">
        <w:t xml:space="preserve"> Your Warranty Rights</w:t>
      </w:r>
      <w:bookmarkEnd w:id="6"/>
    </w:p>
    <w:p w14:paraId="509B2115" w14:textId="639EB775" w:rsidR="006A288C" w:rsidRDefault="006A288C" w:rsidP="00F056D4">
      <w:r>
        <w:t xml:space="preserve">As soon as you </w:t>
      </w:r>
      <w:r w:rsidR="002A5D25">
        <w:t xml:space="preserve">believe </w:t>
      </w:r>
      <w:r>
        <w:t xml:space="preserve">that the product you bought </w:t>
      </w:r>
      <w:r w:rsidR="002A5D25">
        <w:t>is defective</w:t>
      </w:r>
      <w:r>
        <w:t xml:space="preserve">, you should send a written complaint to the seller </w:t>
      </w:r>
      <w:r w:rsidR="002A5D25">
        <w:t xml:space="preserve">and </w:t>
      </w:r>
      <w:r w:rsidR="00456140">
        <w:t>manufacturer, because</w:t>
      </w:r>
      <w:r>
        <w:t xml:space="preserve"> this </w:t>
      </w:r>
      <w:r w:rsidR="005D1810">
        <w:t xml:space="preserve">may </w:t>
      </w:r>
      <w:r w:rsidR="00456140">
        <w:t>help</w:t>
      </w:r>
      <w:r w:rsidR="005D1810">
        <w:t xml:space="preserve"> </w:t>
      </w:r>
      <w:r w:rsidR="00456140">
        <w:t xml:space="preserve">preserve </w:t>
      </w:r>
      <w:r>
        <w:t xml:space="preserve">whatever express or implied warranty rights you have at the time of the complaint. Keep a copy of your complaint to prove when you first complained. If you complain during the </w:t>
      </w:r>
      <w:r w:rsidR="00F20480">
        <w:t>product’s useful life</w:t>
      </w:r>
      <w:r>
        <w:t xml:space="preserve"> and the seller </w:t>
      </w:r>
      <w:r w:rsidR="00CC2EAB">
        <w:t xml:space="preserve">cannot or refuses to </w:t>
      </w:r>
      <w:r>
        <w:t>repair</w:t>
      </w:r>
      <w:r w:rsidR="00D56FDA">
        <w:t>, replace, or refund</w:t>
      </w:r>
      <w:r>
        <w:t xml:space="preserve"> the product, you</w:t>
      </w:r>
      <w:r w:rsidR="00CC2EAB">
        <w:t xml:space="preserve"> </w:t>
      </w:r>
      <w:r w:rsidR="00582EF8">
        <w:t xml:space="preserve">may </w:t>
      </w:r>
      <w:r w:rsidR="00CC2EAB">
        <w:t>have a stronger claim</w:t>
      </w:r>
      <w:r w:rsidR="000D0CF2">
        <w:t>. However,</w:t>
      </w:r>
      <w:r w:rsidR="00D56FDA">
        <w:t xml:space="preserve"> remember that any action to enforce your rights in court must be filed within 4 years of delivery. </w:t>
      </w:r>
    </w:p>
    <w:p w14:paraId="6A50F75F" w14:textId="6AC5BAEF" w:rsidR="006A288C" w:rsidRDefault="003377E7" w:rsidP="00F056D4">
      <w:pPr>
        <w:pStyle w:val="Heading1"/>
      </w:pPr>
      <w:bookmarkStart w:id="7" w:name="_Toc227161751"/>
      <w:r>
        <w:t>4.8 Both</w:t>
      </w:r>
      <w:r w:rsidR="006A288C">
        <w:t xml:space="preserve"> Seller and Manufacturer Are Responsible</w:t>
      </w:r>
      <w:bookmarkEnd w:id="7"/>
    </w:p>
    <w:p w14:paraId="3F2EE20F" w14:textId="6B1FC976" w:rsidR="006A288C" w:rsidRDefault="006A288C" w:rsidP="00F056D4">
      <w:r>
        <w:t>Both the seller and manufacturer are responsible for any incidental and consequential damages if your implied warranty of merchantability is breached.</w:t>
      </w:r>
      <w:r w:rsidR="00171C43">
        <w:rPr>
          <w:rStyle w:val="EndnoteReference"/>
        </w:rPr>
        <w:endnoteReference w:id="9"/>
      </w:r>
      <w:r>
        <w:t xml:space="preserve"> For example, if you buy a television from a local store, both the manufacturer and the </w:t>
      </w:r>
      <w:r w:rsidR="00F43C81">
        <w:t>store</w:t>
      </w:r>
      <w:r w:rsidR="00244A36">
        <w:t xml:space="preserve"> </w:t>
      </w:r>
      <w:r>
        <w:t xml:space="preserve">are responsible under the implied warranty if it has a defect. </w:t>
      </w:r>
    </w:p>
    <w:p w14:paraId="04A33E88" w14:textId="3F62A385" w:rsidR="006A288C" w:rsidRDefault="006A288C" w:rsidP="00F056D4">
      <w:r>
        <w:t xml:space="preserve">We recommend that you complain first to the seller if your product is defective, damaged, or </w:t>
      </w:r>
      <w:r w:rsidR="00AF1FE5">
        <w:t xml:space="preserve">does not </w:t>
      </w:r>
      <w:r>
        <w:t xml:space="preserve">work properly. The seller may admit that the item is defective but tell you to contact the manufacturer for repairs. This is improper because the seller </w:t>
      </w:r>
      <w:r w:rsidR="00A55FBE">
        <w:t>is equally responsible for the implied warranty</w:t>
      </w:r>
      <w:r>
        <w:t xml:space="preserve">. You should insist that the seller </w:t>
      </w:r>
      <w:proofErr w:type="gramStart"/>
      <w:r>
        <w:t>arrange</w:t>
      </w:r>
      <w:proofErr w:type="gramEnd"/>
      <w:r>
        <w:t xml:space="preserve"> for the repairs with the manufacturer. If you </w:t>
      </w:r>
      <w:r w:rsidR="00AF1FE5">
        <w:t xml:space="preserve">cannot </w:t>
      </w:r>
      <w:r>
        <w:t xml:space="preserve">resolve the problem with the seller, contact the manufacturer and get them both involved. The seller or manufacturer may want to charge you for a service call if the product must be seen at your home. </w:t>
      </w:r>
      <w:r w:rsidR="004873E2">
        <w:t xml:space="preserve">So long as your complaint is </w:t>
      </w:r>
      <w:r w:rsidR="00C86833">
        <w:t>made under the implied warranty of merchantability</w:t>
      </w:r>
      <w:r w:rsidR="00C10685">
        <w:t xml:space="preserve">, </w:t>
      </w:r>
      <w:r>
        <w:t xml:space="preserve">you shouldn’t be required to pay a </w:t>
      </w:r>
      <w:r w:rsidR="002C4C0C">
        <w:t xml:space="preserve">service charge or any other charge </w:t>
      </w:r>
      <w:r w:rsidR="004873E2">
        <w:t>to inspect the product and diagnose the issue.</w:t>
      </w:r>
    </w:p>
    <w:p w14:paraId="4A4D7F93" w14:textId="492C8722" w:rsidR="006A288C" w:rsidRDefault="006A288C" w:rsidP="00F056D4">
      <w:r>
        <w:t xml:space="preserve">If you </w:t>
      </w:r>
      <w:r w:rsidR="002751CA">
        <w:t xml:space="preserve">cannot </w:t>
      </w:r>
      <w:r>
        <w:t xml:space="preserve">resolve your </w:t>
      </w:r>
      <w:r w:rsidR="002751CA">
        <w:t xml:space="preserve">complaint </w:t>
      </w:r>
      <w:r>
        <w:t xml:space="preserve">with the seller or manufacturer and </w:t>
      </w:r>
      <w:r w:rsidR="002751CA">
        <w:t>you believe that your complaint falls under the implied warranty of merchantability</w:t>
      </w:r>
      <w:r>
        <w:t xml:space="preserve">, you should contact the Attorney General’s </w:t>
      </w:r>
      <w:r w:rsidR="00AA4117">
        <w:t xml:space="preserve">Consumer Mediation Service </w:t>
      </w:r>
      <w:r>
        <w:t xml:space="preserve">to see if your complaint can be resolved through </w:t>
      </w:r>
      <w:r w:rsidR="00AA4117">
        <w:t xml:space="preserve">this </w:t>
      </w:r>
      <w:r>
        <w:t>free</w:t>
      </w:r>
      <w:r w:rsidR="00AA4117">
        <w:t>,</w:t>
      </w:r>
      <w:r>
        <w:t xml:space="preserve"> voluntary mediation service. If it </w:t>
      </w:r>
      <w:r w:rsidR="00AA4117">
        <w:t xml:space="preserve">cannot </w:t>
      </w:r>
      <w:r>
        <w:t xml:space="preserve">be resolved through mediation, you may consider bringing legal action against either the seller or manufacturer or both, but you should consult with an attorney before deciding to sue. </w:t>
      </w:r>
      <w:r w:rsidR="009B268F">
        <w:t xml:space="preserve">For more information, please see </w:t>
      </w:r>
      <w:hyperlink r:id="rId10" w:history="1">
        <w:r w:rsidR="009B268F" w:rsidRPr="00DA2592">
          <w:rPr>
            <w:rStyle w:val="Hyperlink"/>
          </w:rPr>
          <w:t>How to Resolve a Consumer Complaint</w:t>
        </w:r>
      </w:hyperlink>
      <w:r w:rsidR="00DA2592">
        <w:t xml:space="preserve"> (</w:t>
      </w:r>
      <w:hyperlink r:id="rId11" w:history="1">
        <w:r w:rsidR="00E86662" w:rsidRPr="000017B9">
          <w:rPr>
            <w:rStyle w:val="Hyperlink"/>
          </w:rPr>
          <w:t>https://www.maine.gov/ag/consumer-protection/consumer-help-topics/consumer-complaints</w:t>
        </w:r>
      </w:hyperlink>
      <w:r w:rsidR="00DA2592">
        <w:t>)</w:t>
      </w:r>
      <w:r w:rsidR="009B268F">
        <w:t>.</w:t>
      </w:r>
    </w:p>
    <w:p w14:paraId="1A240A77" w14:textId="4AB380DC" w:rsidR="006A288C" w:rsidRDefault="003377E7" w:rsidP="00F056D4">
      <w:pPr>
        <w:pStyle w:val="Heading1"/>
      </w:pPr>
      <w:bookmarkStart w:id="8" w:name="_Toc227161752"/>
      <w:r>
        <w:lastRenderedPageBreak/>
        <w:t>4.9 Draft</w:t>
      </w:r>
      <w:r w:rsidR="006A288C">
        <w:t xml:space="preserve"> Letter Requesting Implied Warranty Repair</w:t>
      </w:r>
      <w:bookmarkEnd w:id="8"/>
    </w:p>
    <w:p w14:paraId="1453FC7B" w14:textId="7DC68722" w:rsidR="006A288C" w:rsidRDefault="006A288C" w:rsidP="00F056D4">
      <w:r>
        <w:t>If</w:t>
      </w:r>
      <w:r w:rsidR="00B138B0">
        <w:t xml:space="preserve"> </w:t>
      </w:r>
      <w:r w:rsidR="004F7BE9">
        <w:t xml:space="preserve">your </w:t>
      </w:r>
      <w:r>
        <w:t xml:space="preserve">consumer product </w:t>
      </w:r>
      <w:r w:rsidR="007028F4">
        <w:t xml:space="preserve">is defective and you believe that it should be </w:t>
      </w:r>
      <w:r>
        <w:t>covered by Maine’s implied warranty of merchantability, you can use the draft letter below to send to the manufacturer</w:t>
      </w:r>
      <w:r w:rsidR="004F7BE9">
        <w:t xml:space="preserve">, </w:t>
      </w:r>
      <w:r>
        <w:t>seller</w:t>
      </w:r>
      <w:r w:rsidR="004F7BE9">
        <w:t>,</w:t>
      </w:r>
      <w:r>
        <w:t xml:space="preserve"> or both to request that the product be repaired. </w:t>
      </w:r>
    </w:p>
    <w:p w14:paraId="7509C1A3" w14:textId="247742E5" w:rsidR="006A288C" w:rsidRPr="00432931" w:rsidRDefault="006A288C" w:rsidP="00F056D4">
      <w:pPr>
        <w:rPr>
          <w:u w:val="single"/>
        </w:rPr>
      </w:pPr>
      <w:r>
        <w:t xml:space="preserve">Date: </w:t>
      </w:r>
      <w:r w:rsidR="00432931">
        <w:rPr>
          <w:u w:val="single"/>
        </w:rPr>
        <w:tab/>
      </w:r>
      <w:r w:rsidR="00432931">
        <w:rPr>
          <w:u w:val="single"/>
        </w:rPr>
        <w:tab/>
      </w:r>
      <w:r w:rsidR="00432931">
        <w:rPr>
          <w:u w:val="single"/>
        </w:rPr>
        <w:tab/>
      </w:r>
      <w:r w:rsidR="00432931">
        <w:rPr>
          <w:u w:val="single"/>
        </w:rPr>
        <w:tab/>
      </w:r>
      <w:r w:rsidR="00432931">
        <w:rPr>
          <w:u w:val="single"/>
        </w:rPr>
        <w:tab/>
      </w:r>
    </w:p>
    <w:p w14:paraId="1D1D1BCA" w14:textId="145DA76A" w:rsidR="006A288C" w:rsidRDefault="006A288C" w:rsidP="00F056D4">
      <w:r>
        <w:t>RE: Maine Implied Warranty Repair</w:t>
      </w:r>
    </w:p>
    <w:p w14:paraId="00BFDEDE" w14:textId="2A7FC00E" w:rsidR="006A288C" w:rsidRPr="00432931" w:rsidRDefault="006A288C" w:rsidP="00F056D4">
      <w:r>
        <w:t>Dear</w:t>
      </w:r>
      <w:r w:rsidR="00432931">
        <w:t xml:space="preserve"> </w:t>
      </w:r>
      <w:r w:rsidR="00432931">
        <w:rPr>
          <w:u w:val="single"/>
        </w:rPr>
        <w:tab/>
      </w:r>
      <w:r w:rsidR="00432931">
        <w:rPr>
          <w:u w:val="single"/>
        </w:rPr>
        <w:tab/>
      </w:r>
      <w:r w:rsidR="00432931">
        <w:rPr>
          <w:u w:val="single"/>
        </w:rPr>
        <w:tab/>
      </w:r>
      <w:r w:rsidR="00432931">
        <w:rPr>
          <w:u w:val="single"/>
        </w:rPr>
        <w:tab/>
      </w:r>
      <w:r w:rsidR="00432931">
        <w:rPr>
          <w:u w:val="single"/>
        </w:rPr>
        <w:tab/>
      </w:r>
      <w:r w:rsidR="00432931">
        <w:t>,</w:t>
      </w:r>
    </w:p>
    <w:p w14:paraId="7E8AB4B5" w14:textId="67E26FEF" w:rsidR="00432931" w:rsidRPr="0067567C" w:rsidRDefault="006A288C" w:rsidP="00F056D4">
      <w:pPr>
        <w:rPr>
          <w:u w:val="single"/>
        </w:rPr>
      </w:pPr>
      <w:r>
        <w:t xml:space="preserve">On _____________, 20___ I accepted delivery of a _________________________ </w:t>
      </w:r>
      <w:proofErr w:type="spellStart"/>
      <w:r>
        <w:t>at</w:t>
      </w:r>
      <w:proofErr w:type="spellEnd"/>
      <w:r>
        <w:t xml:space="preserve"> ________________. Enclosed are copies of my records (receipts, guarantees, cancelled checks, and model and serial numbers). Unfortunately, your product </w:t>
      </w:r>
      <w:r w:rsidR="00BA56AE">
        <w:t xml:space="preserve">has not </w:t>
      </w:r>
      <w:r>
        <w:t xml:space="preserve">performed </w:t>
      </w:r>
      <w:r w:rsidR="00BF144F">
        <w:t xml:space="preserve">as it should for its ordinary purpose </w:t>
      </w:r>
      <w:r>
        <w:t xml:space="preserve">and is seriously defective in the following ways: </w:t>
      </w:r>
      <w:r w:rsidR="0067567C">
        <w:rPr>
          <w:u w:val="single"/>
        </w:rPr>
        <w:tab/>
      </w:r>
      <w:r w:rsidR="0067567C">
        <w:rPr>
          <w:u w:val="single"/>
        </w:rPr>
        <w:tab/>
      </w:r>
      <w:r w:rsidR="0067567C">
        <w:rPr>
          <w:u w:val="single"/>
        </w:rPr>
        <w:tab/>
      </w:r>
      <w:r w:rsidR="0067567C">
        <w:rPr>
          <w:u w:val="single"/>
        </w:rPr>
        <w:tab/>
      </w:r>
      <w:r w:rsidR="0067567C">
        <w:rPr>
          <w:u w:val="single"/>
        </w:rPr>
        <w:tab/>
      </w:r>
      <w:r w:rsidR="0067567C">
        <w:rPr>
          <w:u w:val="single"/>
        </w:rPr>
        <w:tab/>
      </w:r>
      <w:r w:rsidR="0067567C">
        <w:rPr>
          <w:u w:val="single"/>
        </w:rPr>
        <w:tab/>
      </w:r>
      <w:r w:rsidR="0067567C">
        <w:rPr>
          <w:u w:val="single"/>
        </w:rPr>
        <w:tab/>
      </w:r>
      <w:r w:rsidR="0067567C">
        <w:rPr>
          <w:u w:val="single"/>
        </w:rPr>
        <w:tab/>
      </w:r>
      <w:r w:rsidR="0067567C">
        <w:rPr>
          <w:u w:val="single"/>
        </w:rPr>
        <w:tab/>
      </w:r>
      <w:r w:rsidR="0067567C">
        <w:rPr>
          <w:u w:val="single"/>
        </w:rPr>
        <w:tab/>
      </w:r>
      <w:r w:rsidR="0067567C">
        <w:rPr>
          <w:u w:val="single"/>
        </w:rPr>
        <w:tab/>
      </w:r>
    </w:p>
    <w:p w14:paraId="53ED1139" w14:textId="1906ABBA" w:rsidR="006A288C" w:rsidRDefault="006A288C" w:rsidP="00F056D4">
      <w:r>
        <w:t xml:space="preserve">The defect </w:t>
      </w:r>
      <w:r w:rsidR="00BA56AE">
        <w:t xml:space="preserve">was not </w:t>
      </w:r>
      <w:r>
        <w:t xml:space="preserve">caused by </w:t>
      </w:r>
      <w:proofErr w:type="gramStart"/>
      <w:r w:rsidR="00BA56AE">
        <w:t>me</w:t>
      </w:r>
      <w:proofErr w:type="gramEnd"/>
      <w:r w:rsidR="00BA56AE">
        <w:t xml:space="preserve"> and</w:t>
      </w:r>
      <w:r>
        <w:t xml:space="preserve"> I </w:t>
      </w:r>
      <w:r w:rsidR="00BA56AE">
        <w:t xml:space="preserve">have not </w:t>
      </w:r>
      <w:r>
        <w:t>used the product</w:t>
      </w:r>
      <w:r w:rsidR="00E573DE">
        <w:t xml:space="preserve"> in a manner</w:t>
      </w:r>
      <w:r>
        <w:t xml:space="preserve"> that </w:t>
      </w:r>
      <w:r w:rsidR="00436721">
        <w:t>caused it to become</w:t>
      </w:r>
      <w:r w:rsidR="00E573DE">
        <w:t xml:space="preserve"> </w:t>
      </w:r>
      <w:r>
        <w:t xml:space="preserve">worn out </w:t>
      </w:r>
      <w:r w:rsidR="00436721">
        <w:t>or excee</w:t>
      </w:r>
      <w:r>
        <w:t>d its useful life.</w:t>
      </w:r>
    </w:p>
    <w:p w14:paraId="48BAAB2C" w14:textId="79941E57" w:rsidR="006A288C" w:rsidRDefault="006A288C" w:rsidP="00F056D4">
      <w:r>
        <w:t xml:space="preserve">In </w:t>
      </w:r>
      <w:r w:rsidR="003377E7">
        <w:t>Maine,</w:t>
      </w:r>
      <w:r>
        <w:t xml:space="preserve"> the implied warranty of merchantability (11 M.R.S. § 2-314) provide</w:t>
      </w:r>
      <w:r w:rsidR="006F4CDD">
        <w:t>s</w:t>
      </w:r>
      <w:r>
        <w:t xml:space="preserve"> the right to free repair</w:t>
      </w:r>
      <w:r w:rsidR="006F4CDD">
        <w:t>s</w:t>
      </w:r>
      <w:r>
        <w:t>. Under this law, both the seller and the manufacturer are responsible for the free repair. Neither the seller nor the manufacturer can disclaim</w:t>
      </w:r>
      <w:r w:rsidR="006F4CDD">
        <w:t xml:space="preserve">, deny, or limit the implied </w:t>
      </w:r>
      <w:r>
        <w:t>warranty</w:t>
      </w:r>
      <w:r w:rsidR="006F4CDD">
        <w:t xml:space="preserve"> of merchantability</w:t>
      </w:r>
      <w:r>
        <w:t xml:space="preserve">. </w:t>
      </w:r>
    </w:p>
    <w:p w14:paraId="3C458D4D" w14:textId="7AB95EB2" w:rsidR="006A288C" w:rsidRDefault="006F4CDD" w:rsidP="00F056D4">
      <w:r>
        <w:t xml:space="preserve">I am </w:t>
      </w:r>
      <w:r w:rsidR="006A288C">
        <w:t xml:space="preserve">requesting that you arrange for this item to be repaired at no cost to me. </w:t>
      </w:r>
    </w:p>
    <w:p w14:paraId="534AA667" w14:textId="3472BEDD" w:rsidR="006A288C" w:rsidRDefault="006A288C" w:rsidP="00F056D4">
      <w:r>
        <w:t xml:space="preserve">I look forward to your prompt reply and resolution of this problem. </w:t>
      </w:r>
    </w:p>
    <w:p w14:paraId="05E97BCC" w14:textId="4E4B768D" w:rsidR="00432931" w:rsidRPr="00432931" w:rsidRDefault="006A288C" w:rsidP="00F056D4">
      <w:r>
        <w:t>Sincerely,</w:t>
      </w:r>
      <w:r w:rsidR="00432931">
        <w:tab/>
      </w:r>
    </w:p>
    <w:p w14:paraId="2ADFE891" w14:textId="4F7EB8D4" w:rsidR="00432931" w:rsidRPr="00432931" w:rsidRDefault="006A288C" w:rsidP="00F056D4">
      <w:r>
        <w:t>Name</w:t>
      </w:r>
      <w:r w:rsidR="00432931">
        <w:tab/>
      </w:r>
      <w:r w:rsidR="00432931">
        <w:tab/>
      </w:r>
      <w:r w:rsidR="00432931">
        <w:tab/>
      </w:r>
    </w:p>
    <w:p w14:paraId="6AE9CEF3" w14:textId="5465C440" w:rsidR="00432931" w:rsidRPr="00432931" w:rsidRDefault="006A288C" w:rsidP="00F056D4">
      <w:r>
        <w:t>Address</w:t>
      </w:r>
      <w:r w:rsidR="00432931">
        <w:tab/>
      </w:r>
      <w:r w:rsidR="00432931">
        <w:tab/>
      </w:r>
      <w:r w:rsidR="00432931">
        <w:tab/>
      </w:r>
      <w:r w:rsidR="00432931">
        <w:tab/>
      </w:r>
    </w:p>
    <w:p w14:paraId="26B53D09" w14:textId="58D0627C" w:rsidR="00432931" w:rsidRPr="00432931" w:rsidRDefault="006A288C" w:rsidP="00F056D4">
      <w:r>
        <w:t>Telephone</w:t>
      </w:r>
      <w:r w:rsidR="00432931">
        <w:tab/>
      </w:r>
      <w:r w:rsidR="00432931">
        <w:tab/>
      </w:r>
      <w:r w:rsidR="00432931">
        <w:tab/>
      </w:r>
      <w:r w:rsidR="00432931">
        <w:tab/>
      </w:r>
    </w:p>
    <w:p w14:paraId="0FF6F11A" w14:textId="77777777" w:rsidR="006A288C" w:rsidRDefault="006A288C" w:rsidP="00F056D4">
      <w:r>
        <w:t xml:space="preserve">E-mail </w:t>
      </w:r>
    </w:p>
    <w:p w14:paraId="0EFF1BC1" w14:textId="3800BEA9" w:rsidR="006A288C" w:rsidRDefault="003377E7" w:rsidP="00F056D4">
      <w:pPr>
        <w:pStyle w:val="Heading1"/>
      </w:pPr>
      <w:bookmarkStart w:id="9" w:name="_Toc227161753"/>
      <w:r>
        <w:t>4.10 Implied</w:t>
      </w:r>
      <w:r w:rsidR="006A288C">
        <w:t xml:space="preserve"> Warranties Apply to Services</w:t>
      </w:r>
      <w:bookmarkEnd w:id="9"/>
    </w:p>
    <w:p w14:paraId="6BD8733B" w14:textId="380388D0" w:rsidR="006A288C" w:rsidRDefault="006A288C" w:rsidP="00F056D4">
      <w:r>
        <w:t>The implied warranty provisions in Maine’s UCC also apply to services.</w:t>
      </w:r>
      <w:r w:rsidR="00171C43">
        <w:rPr>
          <w:rStyle w:val="EndnoteReference"/>
        </w:rPr>
        <w:endnoteReference w:id="10"/>
      </w:r>
      <w:r w:rsidR="00171C43">
        <w:t xml:space="preserve"> </w:t>
      </w:r>
      <w:r>
        <w:t xml:space="preserve">Maine </w:t>
      </w:r>
      <w:r w:rsidR="00424620">
        <w:t xml:space="preserve">law also includes </w:t>
      </w:r>
      <w:r>
        <w:t xml:space="preserve">an implied duty to perform skillfully, diligently, and in a workmanlike manner in a contract for work or services. </w:t>
      </w:r>
    </w:p>
    <w:p w14:paraId="69C9A082" w14:textId="0E31D8ED" w:rsidR="006A288C" w:rsidRDefault="003377E7" w:rsidP="00F056D4">
      <w:pPr>
        <w:pStyle w:val="Heading1"/>
      </w:pPr>
      <w:bookmarkStart w:id="10" w:name="_Toc227161754"/>
      <w:r>
        <w:lastRenderedPageBreak/>
        <w:t>4.11 Transfer</w:t>
      </w:r>
      <w:r w:rsidR="006A288C">
        <w:t xml:space="preserve"> of Express and Implied Warranty Rights</w:t>
      </w:r>
      <w:bookmarkEnd w:id="10"/>
    </w:p>
    <w:p w14:paraId="771F81A7" w14:textId="11817488" w:rsidR="006A288C" w:rsidRDefault="006A288C" w:rsidP="00F056D4">
      <w:r>
        <w:t>When a used product is sold, the original buyer’s express and implied warranties may pass to a subsequent buyer of the product if that person is someone “whom the manufacturer, seller or supplier might reasonably have expected to use, consume or be affected by the goods.”</w:t>
      </w:r>
      <w:r w:rsidR="00171C43">
        <w:rPr>
          <w:rStyle w:val="EndnoteReference"/>
        </w:rPr>
        <w:endnoteReference w:id="11"/>
      </w:r>
      <w:r>
        <w:t xml:space="preserve"> </w:t>
      </w:r>
    </w:p>
    <w:p w14:paraId="0EBDC920" w14:textId="3E952F34" w:rsidR="006A288C" w:rsidRDefault="003377E7" w:rsidP="00F056D4">
      <w:pPr>
        <w:pStyle w:val="Heading1"/>
      </w:pPr>
      <w:bookmarkStart w:id="11" w:name="_Toc227161755"/>
      <w:r>
        <w:t>4.12 Service</w:t>
      </w:r>
      <w:r w:rsidR="006A288C">
        <w:t xml:space="preserve"> Contracts </w:t>
      </w:r>
      <w:r w:rsidR="00786177">
        <w:t xml:space="preserve">and </w:t>
      </w:r>
      <w:r w:rsidR="006A288C">
        <w:t>Extended Warranties</w:t>
      </w:r>
      <w:bookmarkEnd w:id="11"/>
      <w:r w:rsidR="006A288C">
        <w:tab/>
      </w:r>
    </w:p>
    <w:p w14:paraId="21D98201" w14:textId="65C78EDF" w:rsidR="006A288C" w:rsidRDefault="006A288C" w:rsidP="00F056D4">
      <w:r>
        <w:t xml:space="preserve">Consumers are sometimes asked to buy a service contract when they purchase a product. Typically, a service contract is a contract that promises to repair the product in exchange for a fee. Though often called an “extended warranty,” a service contract </w:t>
      </w:r>
      <w:r w:rsidR="00786177">
        <w:t xml:space="preserve">is not </w:t>
      </w:r>
      <w:r>
        <w:t xml:space="preserve">a warranty. </w:t>
      </w:r>
      <w:r w:rsidR="00824E06">
        <w:t>You</w:t>
      </w:r>
      <w:r>
        <w:t xml:space="preserve"> pay extra for </w:t>
      </w:r>
      <w:r w:rsidR="00824E06">
        <w:t xml:space="preserve">the </w:t>
      </w:r>
      <w:r>
        <w:t xml:space="preserve">service </w:t>
      </w:r>
      <w:proofErr w:type="gramStart"/>
      <w:r>
        <w:t>contract</w:t>
      </w:r>
      <w:proofErr w:type="gramEnd"/>
      <w:r>
        <w:t xml:space="preserve"> and you may </w:t>
      </w:r>
      <w:r w:rsidR="00824E06">
        <w:t xml:space="preserve">also </w:t>
      </w:r>
      <w:r>
        <w:t xml:space="preserve">be required to </w:t>
      </w:r>
      <w:r w:rsidR="00824E06">
        <w:t xml:space="preserve">meet </w:t>
      </w:r>
      <w:r>
        <w:t>a “deductible” (a specified amount of money that you must pay</w:t>
      </w:r>
      <w:r w:rsidR="00824E06">
        <w:t xml:space="preserve"> out of pocket</w:t>
      </w:r>
      <w:r>
        <w:t xml:space="preserve">) before a claim for repair is paid by the company with which you have the service contract. If you have a good </w:t>
      </w:r>
      <w:r w:rsidR="00824E06">
        <w:t xml:space="preserve">express or implied </w:t>
      </w:r>
      <w:r>
        <w:t xml:space="preserve">warranty, you probably </w:t>
      </w:r>
      <w:r w:rsidR="00824E06">
        <w:t xml:space="preserve">do not need </w:t>
      </w:r>
      <w:r>
        <w:t xml:space="preserve">a service contract. In fact, you may </w:t>
      </w:r>
      <w:proofErr w:type="gramStart"/>
      <w:r w:rsidR="00D14B8F">
        <w:t>wasting</w:t>
      </w:r>
      <w:proofErr w:type="gramEnd"/>
      <w:r w:rsidR="00D14B8F">
        <w:t xml:space="preserve"> your money on</w:t>
      </w:r>
      <w:r>
        <w:t xml:space="preserve"> coverage you already have under your express or implied warranty. </w:t>
      </w:r>
    </w:p>
    <w:p w14:paraId="305D2EBD" w14:textId="0C9520F6" w:rsidR="006A288C" w:rsidRDefault="006A288C" w:rsidP="00F056D4">
      <w:r>
        <w:t xml:space="preserve">Before buying a service contract, read all the terms carefully so you know what parts and repairs are covered and for how long. For an expensive major appliance that you expect to use for at least 10 years, it might make sense to buy a service contract. As an alternative to buying a service contract, some consumer advocates recommend putting the money that </w:t>
      </w:r>
      <w:r w:rsidR="00D14B8F">
        <w:t xml:space="preserve">you would </w:t>
      </w:r>
      <w:r>
        <w:t xml:space="preserve">spend for a service contract into a savings account so that you can pay for the repair or replacement of the product yourself when the need arises. </w:t>
      </w:r>
    </w:p>
    <w:p w14:paraId="01D6E25A" w14:textId="62B7125D" w:rsidR="006A288C" w:rsidRDefault="003377E7" w:rsidP="00F056D4">
      <w:pPr>
        <w:pStyle w:val="Heading1"/>
      </w:pPr>
      <w:bookmarkStart w:id="12" w:name="_Toc227161756"/>
      <w:r>
        <w:t>4.13 Online</w:t>
      </w:r>
      <w:r w:rsidR="006A288C">
        <w:t xml:space="preserve"> or Mail Order Purchases</w:t>
      </w:r>
      <w:bookmarkEnd w:id="12"/>
    </w:p>
    <w:p w14:paraId="2BB65A6F" w14:textId="1A7F6332" w:rsidR="006A288C" w:rsidRDefault="006A288C" w:rsidP="00F056D4">
      <w:r>
        <w:t xml:space="preserve">In general, </w:t>
      </w:r>
      <w:r w:rsidR="003E1503" w:rsidRPr="003E1503">
        <w:t>Maine warranty obligations apply to out-of-state sellers that s</w:t>
      </w:r>
      <w:r w:rsidR="00185250">
        <w:t>ell</w:t>
      </w:r>
      <w:r w:rsidR="003E1503" w:rsidRPr="003E1503">
        <w:t xml:space="preserve"> products to Maine consumers online or by catalog</w:t>
      </w:r>
      <w:r>
        <w:t xml:space="preserve">. If </w:t>
      </w:r>
      <w:r w:rsidR="00B21857">
        <w:t xml:space="preserve">you are </w:t>
      </w:r>
      <w:r>
        <w:t>unable to resolve your warranty complaint with a seller that has no physical store within Maine, we recommend that you read</w:t>
      </w:r>
      <w:r w:rsidR="00B51CAB">
        <w:t xml:space="preserve"> our </w:t>
      </w:r>
      <w:hyperlink r:id="rId12" w:history="1">
        <w:r w:rsidR="00B51CAB" w:rsidRPr="00FE3218">
          <w:rPr>
            <w:rStyle w:val="Hyperlink"/>
          </w:rPr>
          <w:t xml:space="preserve">How to Resolve a Consumer Complaint </w:t>
        </w:r>
        <w:r w:rsidR="00446425" w:rsidRPr="00FE3218">
          <w:rPr>
            <w:rStyle w:val="Hyperlink"/>
          </w:rPr>
          <w:t>guide</w:t>
        </w:r>
      </w:hyperlink>
      <w:r w:rsidR="00F84303">
        <w:t xml:space="preserve"> (</w:t>
      </w:r>
      <w:hyperlink r:id="rId13" w:history="1">
        <w:r w:rsidR="00FE3218" w:rsidRPr="000017B9">
          <w:rPr>
            <w:rStyle w:val="Hyperlink"/>
          </w:rPr>
          <w:t>https://maine.gov/ag/consumer-protection/consumer-help-topics/consumer-complaints</w:t>
        </w:r>
      </w:hyperlink>
      <w:r w:rsidR="00FE3218">
        <w:t>)</w:t>
      </w:r>
      <w:r w:rsidR="00446425">
        <w:t xml:space="preserve"> </w:t>
      </w:r>
      <w:r>
        <w:t xml:space="preserve">before you decide to file a lawsuit. </w:t>
      </w:r>
    </w:p>
    <w:p w14:paraId="0DB80F99" w14:textId="5DD4D9DD" w:rsidR="006A288C" w:rsidRDefault="003377E7" w:rsidP="00F056D4">
      <w:pPr>
        <w:pStyle w:val="Heading1"/>
      </w:pPr>
      <w:bookmarkStart w:id="13" w:name="_Toc227161757"/>
      <w:r>
        <w:t>4.14 Statute</w:t>
      </w:r>
      <w:r w:rsidR="006A288C">
        <w:t xml:space="preserve"> of Limitations for Breach of Warranty</w:t>
      </w:r>
      <w:bookmarkEnd w:id="13"/>
    </w:p>
    <w:p w14:paraId="2556A954" w14:textId="2968AC03" w:rsidR="003C27EE" w:rsidRPr="006A288C" w:rsidRDefault="006A288C" w:rsidP="00F056D4">
      <w:r>
        <w:t xml:space="preserve">A lawsuit based on the breach of an express or implied warranty must </w:t>
      </w:r>
      <w:r w:rsidR="00FE2220">
        <w:t xml:space="preserve">generally </w:t>
      </w:r>
      <w:r w:rsidR="00DE1FD4">
        <w:t xml:space="preserve">be </w:t>
      </w:r>
      <w:r>
        <w:t xml:space="preserve">brought within 4 years of </w:t>
      </w:r>
      <w:r w:rsidR="00FE5725">
        <w:t>delivery of the product</w:t>
      </w:r>
      <w:r>
        <w:t>.</w:t>
      </w:r>
      <w:r w:rsidR="00171C43">
        <w:rPr>
          <w:rStyle w:val="EndnoteReference"/>
        </w:rPr>
        <w:endnoteReference w:id="12"/>
      </w:r>
      <w:r w:rsidR="00B138B0">
        <w:t xml:space="preserve"> </w:t>
      </w:r>
      <w:r w:rsidR="00D01784">
        <w:t>H</w:t>
      </w:r>
      <w:r>
        <w:t>owever, where “a warranty explicitly extends to future performance of the goods</w:t>
      </w:r>
      <w:r w:rsidR="00744B38">
        <w:t>,</w:t>
      </w:r>
      <w:r w:rsidR="00D01784">
        <w:t xml:space="preserve"> the lawsuit must be brought within 4 years of when</w:t>
      </w:r>
      <w:r>
        <w:t xml:space="preserve"> the breach is or should have been discovered.”</w:t>
      </w:r>
      <w:r w:rsidR="00171C43">
        <w:t xml:space="preserve"> </w:t>
      </w:r>
    </w:p>
    <w:sectPr w:rsidR="003C27EE" w:rsidRPr="006A288C" w:rsidSect="006A288C">
      <w:footerReference w:type="default" r:id="rId14"/>
      <w:endnotePr>
        <w:numFmt w:val="decimal"/>
      </w:endnotePr>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BDD84" w14:textId="77777777" w:rsidR="008D3EFC" w:rsidRDefault="008D3EFC" w:rsidP="00F056D4">
      <w:r>
        <w:separator/>
      </w:r>
    </w:p>
  </w:endnote>
  <w:endnote w:type="continuationSeparator" w:id="0">
    <w:p w14:paraId="0F071A62" w14:textId="77777777" w:rsidR="008D3EFC" w:rsidRDefault="008D3EFC" w:rsidP="00F056D4">
      <w:r>
        <w:continuationSeparator/>
      </w:r>
    </w:p>
  </w:endnote>
  <w:endnote w:id="1">
    <w:p w14:paraId="0E30CAC7" w14:textId="7B3728F9" w:rsidR="00081C7B" w:rsidRDefault="00081C7B" w:rsidP="00081C7B">
      <w:pPr>
        <w:pStyle w:val="Heading1"/>
      </w:pPr>
      <w:r>
        <w:t>Endnotes</w:t>
      </w:r>
    </w:p>
    <w:p w14:paraId="5962DD7D" w14:textId="2C1367C6" w:rsidR="006A288C" w:rsidRPr="00FA48DB" w:rsidRDefault="006A288C" w:rsidP="003C7833">
      <w:pPr>
        <w:pStyle w:val="EndnoteText"/>
        <w:ind w:left="288" w:hanging="288"/>
        <w:rPr>
          <w:sz w:val="24"/>
          <w:szCs w:val="24"/>
        </w:rPr>
      </w:pPr>
      <w:r w:rsidRPr="00FA48DB">
        <w:rPr>
          <w:rStyle w:val="EndnoteReference"/>
          <w:sz w:val="24"/>
          <w:szCs w:val="24"/>
        </w:rPr>
        <w:endnoteRef/>
      </w:r>
      <w:r w:rsidRPr="00FA48DB">
        <w:rPr>
          <w:sz w:val="24"/>
          <w:szCs w:val="24"/>
        </w:rPr>
        <w:t xml:space="preserve"> 11 M.R.S. § 2-313</w:t>
      </w:r>
      <w:r w:rsidR="00C668DC" w:rsidRPr="00FA48DB">
        <w:rPr>
          <w:sz w:val="24"/>
          <w:szCs w:val="24"/>
        </w:rPr>
        <w:t>.</w:t>
      </w:r>
    </w:p>
  </w:endnote>
  <w:endnote w:id="2">
    <w:p w14:paraId="76D00F00" w14:textId="77777777" w:rsidR="006A288C" w:rsidRPr="00FA48DB" w:rsidRDefault="006A288C" w:rsidP="003C7833">
      <w:pPr>
        <w:pStyle w:val="CLGendnotes"/>
        <w:ind w:left="288" w:hanging="288"/>
        <w:rPr>
          <w:rFonts w:asciiTheme="minorHAnsi" w:hAnsiTheme="minorHAnsi"/>
        </w:rPr>
      </w:pPr>
      <w:r w:rsidRPr="00FA48DB">
        <w:rPr>
          <w:rStyle w:val="EndnoteReference"/>
          <w:rFonts w:asciiTheme="minorHAnsi" w:hAnsiTheme="minorHAnsi"/>
        </w:rPr>
        <w:endnoteRef/>
      </w:r>
      <w:r w:rsidRPr="00FA48DB">
        <w:rPr>
          <w:rFonts w:asciiTheme="minorHAnsi" w:hAnsiTheme="minorHAnsi"/>
        </w:rPr>
        <w:t xml:space="preserve"> 11 M.R.S. § 2-314.</w:t>
      </w:r>
    </w:p>
  </w:endnote>
  <w:endnote w:id="3">
    <w:p w14:paraId="00606C33" w14:textId="62A9927E" w:rsidR="00F76A9B" w:rsidRPr="00FA48DB" w:rsidRDefault="00F76A9B">
      <w:pPr>
        <w:pStyle w:val="EndnoteText"/>
        <w:rPr>
          <w:sz w:val="24"/>
          <w:szCs w:val="24"/>
        </w:rPr>
      </w:pPr>
      <w:r w:rsidRPr="00FA48DB">
        <w:rPr>
          <w:rStyle w:val="EndnoteReference"/>
          <w:sz w:val="24"/>
          <w:szCs w:val="24"/>
        </w:rPr>
        <w:endnoteRef/>
      </w:r>
      <w:r w:rsidRPr="00FA48DB">
        <w:rPr>
          <w:sz w:val="24"/>
          <w:szCs w:val="24"/>
        </w:rPr>
        <w:t xml:space="preserve"> 11 M.R.S. § </w:t>
      </w:r>
      <w:r w:rsidR="00A10653" w:rsidRPr="00FA48DB">
        <w:rPr>
          <w:sz w:val="24"/>
          <w:szCs w:val="24"/>
        </w:rPr>
        <w:t>2-316(5) (exclusions not allowed for consumer goods and services</w:t>
      </w:r>
      <w:r w:rsidR="0017770E" w:rsidRPr="00FA48DB">
        <w:rPr>
          <w:sz w:val="24"/>
          <w:szCs w:val="24"/>
        </w:rPr>
        <w:t>).</w:t>
      </w:r>
    </w:p>
  </w:endnote>
  <w:endnote w:id="4">
    <w:p w14:paraId="74B19CD6" w14:textId="77777777" w:rsidR="006A288C" w:rsidRPr="00FA48DB" w:rsidRDefault="006A288C" w:rsidP="003C7833">
      <w:pPr>
        <w:pStyle w:val="CLGendnotes"/>
        <w:ind w:left="288" w:hanging="288"/>
        <w:rPr>
          <w:rFonts w:asciiTheme="minorHAnsi" w:hAnsiTheme="minorHAnsi"/>
        </w:rPr>
      </w:pPr>
      <w:r w:rsidRPr="00FA48DB">
        <w:rPr>
          <w:rStyle w:val="EndnoteReference"/>
          <w:rFonts w:asciiTheme="minorHAnsi" w:hAnsiTheme="minorHAnsi"/>
        </w:rPr>
        <w:endnoteRef/>
      </w:r>
      <w:r w:rsidRPr="00FA48DB">
        <w:rPr>
          <w:rFonts w:asciiTheme="minorHAnsi" w:hAnsiTheme="minorHAnsi"/>
        </w:rPr>
        <w:t xml:space="preserve"> 11 M.R.S. § 2-725.</w:t>
      </w:r>
    </w:p>
  </w:endnote>
  <w:endnote w:id="5">
    <w:p w14:paraId="639A17AB" w14:textId="77777777" w:rsidR="006A288C" w:rsidRPr="00FA48DB" w:rsidRDefault="006A288C" w:rsidP="003C7833">
      <w:pPr>
        <w:pStyle w:val="CLGendnotes"/>
        <w:ind w:left="288" w:hanging="288"/>
        <w:rPr>
          <w:rFonts w:asciiTheme="minorHAnsi" w:hAnsiTheme="minorHAnsi"/>
        </w:rPr>
      </w:pPr>
      <w:r w:rsidRPr="00FA48DB">
        <w:rPr>
          <w:rStyle w:val="EndnoteReference"/>
          <w:rFonts w:asciiTheme="minorHAnsi" w:hAnsiTheme="minorHAnsi"/>
        </w:rPr>
        <w:endnoteRef/>
      </w:r>
      <w:r w:rsidRPr="00FA48DB">
        <w:rPr>
          <w:rFonts w:asciiTheme="minorHAnsi" w:hAnsiTheme="minorHAnsi"/>
        </w:rPr>
        <w:t xml:space="preserve"> 11 M.R.S. § 2-315.</w:t>
      </w:r>
    </w:p>
  </w:endnote>
  <w:endnote w:id="6">
    <w:p w14:paraId="05B32C37" w14:textId="77777777" w:rsidR="006A288C" w:rsidRPr="00FA48DB" w:rsidRDefault="006A288C" w:rsidP="003C7833">
      <w:pPr>
        <w:pStyle w:val="CLGendnotes"/>
        <w:ind w:left="288" w:hanging="288"/>
        <w:rPr>
          <w:rFonts w:asciiTheme="minorHAnsi" w:hAnsiTheme="minorHAnsi"/>
        </w:rPr>
      </w:pPr>
      <w:r w:rsidRPr="00FA48DB">
        <w:rPr>
          <w:rStyle w:val="EndnoteReference"/>
          <w:rFonts w:asciiTheme="minorHAnsi" w:hAnsiTheme="minorHAnsi"/>
        </w:rPr>
        <w:endnoteRef/>
      </w:r>
      <w:r w:rsidRPr="00FA48DB">
        <w:rPr>
          <w:rFonts w:asciiTheme="minorHAnsi" w:hAnsiTheme="minorHAnsi"/>
        </w:rPr>
        <w:t xml:space="preserve"> 11 M.R.S. § 2-316(5).</w:t>
      </w:r>
    </w:p>
  </w:endnote>
  <w:endnote w:id="7">
    <w:p w14:paraId="1C24686F" w14:textId="7F80D168" w:rsidR="006A288C" w:rsidRPr="00FA48DB" w:rsidRDefault="006A288C" w:rsidP="003C7833">
      <w:pPr>
        <w:pStyle w:val="CLGendnotes"/>
        <w:ind w:left="288" w:hanging="288"/>
        <w:rPr>
          <w:rFonts w:asciiTheme="minorHAnsi" w:hAnsiTheme="minorHAnsi"/>
        </w:rPr>
      </w:pPr>
      <w:r w:rsidRPr="00FA48DB">
        <w:rPr>
          <w:rStyle w:val="EndnoteReference"/>
          <w:rFonts w:asciiTheme="minorHAnsi" w:hAnsiTheme="minorHAnsi"/>
        </w:rPr>
        <w:endnoteRef/>
      </w:r>
      <w:r w:rsidRPr="00FA48DB">
        <w:rPr>
          <w:rFonts w:asciiTheme="minorHAnsi" w:hAnsiTheme="minorHAnsi"/>
        </w:rPr>
        <w:t xml:space="preserve"> 11 M.R.S. §§ 2-714(3), 2-715, and 2-316(5).</w:t>
      </w:r>
    </w:p>
  </w:endnote>
  <w:endnote w:id="8">
    <w:p w14:paraId="6624F360" w14:textId="757658CF" w:rsidR="006A288C" w:rsidRPr="00FA48DB" w:rsidRDefault="006A288C" w:rsidP="003C7833">
      <w:pPr>
        <w:pStyle w:val="CLGendnotes"/>
        <w:ind w:left="288" w:hanging="288"/>
        <w:rPr>
          <w:rFonts w:asciiTheme="minorHAnsi" w:hAnsiTheme="minorHAnsi"/>
        </w:rPr>
      </w:pPr>
      <w:r w:rsidRPr="00FA48DB">
        <w:rPr>
          <w:rStyle w:val="EndnoteReference"/>
          <w:rFonts w:asciiTheme="minorHAnsi" w:hAnsiTheme="minorHAnsi"/>
        </w:rPr>
        <w:endnoteRef/>
      </w:r>
      <w:r w:rsidRPr="00FA48DB">
        <w:rPr>
          <w:rFonts w:asciiTheme="minorHAnsi" w:hAnsiTheme="minorHAnsi"/>
        </w:rPr>
        <w:t xml:space="preserve"> 10 M.R.S. § 1473.</w:t>
      </w:r>
      <w:r w:rsidR="00B138B0">
        <w:rPr>
          <w:rFonts w:asciiTheme="minorHAnsi" w:hAnsiTheme="minorHAnsi"/>
        </w:rPr>
        <w:t xml:space="preserve"> </w:t>
      </w:r>
    </w:p>
  </w:endnote>
  <w:endnote w:id="9">
    <w:p w14:paraId="1681E576" w14:textId="6DCB438C" w:rsidR="00171C43" w:rsidRPr="00FA48DB" w:rsidRDefault="00171C43" w:rsidP="003C7833">
      <w:pPr>
        <w:pStyle w:val="CLGendnotes"/>
        <w:ind w:left="288" w:hanging="288"/>
        <w:rPr>
          <w:rFonts w:asciiTheme="minorHAnsi" w:hAnsiTheme="minorHAnsi"/>
        </w:rPr>
      </w:pPr>
      <w:r w:rsidRPr="00FA48DB">
        <w:rPr>
          <w:rStyle w:val="EndnoteReference"/>
          <w:rFonts w:asciiTheme="minorHAnsi" w:hAnsiTheme="minorHAnsi"/>
        </w:rPr>
        <w:endnoteRef/>
      </w:r>
      <w:r w:rsidRPr="00FA48DB">
        <w:rPr>
          <w:rFonts w:asciiTheme="minorHAnsi" w:hAnsiTheme="minorHAnsi"/>
        </w:rPr>
        <w:t xml:space="preserve"> 11 M.R.S. §§ 2-316(5), </w:t>
      </w:r>
      <w:r w:rsidR="000A43D2" w:rsidRPr="00FA48DB">
        <w:rPr>
          <w:rFonts w:asciiTheme="minorHAnsi" w:hAnsiTheme="minorHAnsi"/>
        </w:rPr>
        <w:t xml:space="preserve">and </w:t>
      </w:r>
      <w:r w:rsidRPr="00FA48DB">
        <w:rPr>
          <w:rFonts w:asciiTheme="minorHAnsi" w:hAnsiTheme="minorHAnsi"/>
        </w:rPr>
        <w:t>2-318.</w:t>
      </w:r>
    </w:p>
  </w:endnote>
  <w:endnote w:id="10">
    <w:p w14:paraId="571AEBB8" w14:textId="29EB4F24" w:rsidR="00171C43" w:rsidRPr="00FA48DB" w:rsidRDefault="00171C43" w:rsidP="003C7833">
      <w:pPr>
        <w:pStyle w:val="CLGendnotes"/>
        <w:ind w:left="288" w:hanging="288"/>
        <w:rPr>
          <w:rFonts w:asciiTheme="minorHAnsi" w:hAnsiTheme="minorHAnsi"/>
        </w:rPr>
      </w:pPr>
      <w:r w:rsidRPr="00FA48DB">
        <w:rPr>
          <w:rStyle w:val="EndnoteReference"/>
          <w:rFonts w:asciiTheme="minorHAnsi" w:hAnsiTheme="minorHAnsi"/>
        </w:rPr>
        <w:endnoteRef/>
      </w:r>
      <w:r w:rsidRPr="00FA48DB">
        <w:rPr>
          <w:rFonts w:asciiTheme="minorHAnsi" w:hAnsiTheme="minorHAnsi"/>
        </w:rPr>
        <w:t xml:space="preserve"> 11 M.R.S. § 2-316(5), which prohibits manufacturers and sellers from attempting to exclude or modify any implied warranties on “consumer goods and services.”</w:t>
      </w:r>
    </w:p>
  </w:endnote>
  <w:endnote w:id="11">
    <w:p w14:paraId="75450504" w14:textId="77777777" w:rsidR="00171C43" w:rsidRPr="00FA48DB" w:rsidRDefault="00171C43" w:rsidP="003C7833">
      <w:pPr>
        <w:pStyle w:val="CLGendnotes"/>
        <w:ind w:left="288" w:hanging="288"/>
        <w:rPr>
          <w:rFonts w:asciiTheme="minorHAnsi" w:hAnsiTheme="minorHAnsi"/>
        </w:rPr>
      </w:pPr>
      <w:r w:rsidRPr="00FA48DB">
        <w:rPr>
          <w:rStyle w:val="EndnoteReference"/>
          <w:rFonts w:asciiTheme="minorHAnsi" w:hAnsiTheme="minorHAnsi"/>
        </w:rPr>
        <w:endnoteRef/>
      </w:r>
      <w:r w:rsidRPr="00FA48DB">
        <w:rPr>
          <w:rFonts w:asciiTheme="minorHAnsi" w:hAnsiTheme="minorHAnsi"/>
        </w:rPr>
        <w:t xml:space="preserve"> 11 M.R.S. § 2-318.</w:t>
      </w:r>
    </w:p>
  </w:endnote>
  <w:endnote w:id="12">
    <w:p w14:paraId="2C2F94A9" w14:textId="77777777" w:rsidR="00171C43" w:rsidRPr="00942268" w:rsidRDefault="00171C43" w:rsidP="003C7833">
      <w:pPr>
        <w:pStyle w:val="CLGendnotes"/>
        <w:ind w:left="288" w:hanging="288"/>
        <w:rPr>
          <w:rFonts w:asciiTheme="minorHAnsi" w:hAnsiTheme="minorHAnsi"/>
        </w:rPr>
      </w:pPr>
      <w:r w:rsidRPr="00FA48DB">
        <w:rPr>
          <w:rStyle w:val="EndnoteReference"/>
          <w:rFonts w:asciiTheme="minorHAnsi" w:hAnsiTheme="minorHAnsi"/>
        </w:rPr>
        <w:endnoteRef/>
      </w:r>
      <w:r w:rsidRPr="00FA48DB">
        <w:rPr>
          <w:rFonts w:asciiTheme="minorHAnsi" w:hAnsiTheme="minorHAnsi"/>
        </w:rPr>
        <w:t xml:space="preserve"> 11 M.R.S. § 2-725.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6005115"/>
      <w:docPartObj>
        <w:docPartGallery w:val="Page Numbers (Bottom of Page)"/>
        <w:docPartUnique/>
      </w:docPartObj>
    </w:sdtPr>
    <w:sdtEndPr>
      <w:rPr>
        <w:noProof/>
      </w:rPr>
    </w:sdtEndPr>
    <w:sdtContent>
      <w:p w14:paraId="095C07C3" w14:textId="07EB7831" w:rsidR="00A14D18" w:rsidRDefault="00A14D1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AC707F" w14:textId="77777777" w:rsidR="00F27C8E" w:rsidRDefault="00F27C8E" w:rsidP="00F056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2212E" w14:textId="77777777" w:rsidR="008D3EFC" w:rsidRDefault="008D3EFC" w:rsidP="00F056D4">
      <w:r>
        <w:separator/>
      </w:r>
    </w:p>
  </w:footnote>
  <w:footnote w:type="continuationSeparator" w:id="0">
    <w:p w14:paraId="66179632" w14:textId="77777777" w:rsidR="008D3EFC" w:rsidRDefault="008D3EFC" w:rsidP="00F056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939AD"/>
    <w:multiLevelType w:val="hybridMultilevel"/>
    <w:tmpl w:val="7B6A0750"/>
    <w:lvl w:ilvl="0" w:tplc="CCEAEA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B9000B"/>
    <w:multiLevelType w:val="hybridMultilevel"/>
    <w:tmpl w:val="D34A5034"/>
    <w:lvl w:ilvl="0" w:tplc="9E72E9E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9F0554"/>
    <w:multiLevelType w:val="hybridMultilevel"/>
    <w:tmpl w:val="134EF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8E5CAD"/>
    <w:multiLevelType w:val="hybridMultilevel"/>
    <w:tmpl w:val="4A946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947654"/>
    <w:multiLevelType w:val="hybridMultilevel"/>
    <w:tmpl w:val="9E465B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4398963">
    <w:abstractNumId w:val="3"/>
  </w:num>
  <w:num w:numId="2" w16cid:durableId="322439850">
    <w:abstractNumId w:val="0"/>
  </w:num>
  <w:num w:numId="3" w16cid:durableId="1175454685">
    <w:abstractNumId w:val="4"/>
  </w:num>
  <w:num w:numId="4" w16cid:durableId="961153082">
    <w:abstractNumId w:val="1"/>
  </w:num>
  <w:num w:numId="5" w16cid:durableId="1380014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88C"/>
    <w:rsid w:val="0001402C"/>
    <w:rsid w:val="000207B5"/>
    <w:rsid w:val="00022C3D"/>
    <w:rsid w:val="0003798B"/>
    <w:rsid w:val="000415C3"/>
    <w:rsid w:val="000537E6"/>
    <w:rsid w:val="000559FF"/>
    <w:rsid w:val="0005617E"/>
    <w:rsid w:val="000604E1"/>
    <w:rsid w:val="00061AF9"/>
    <w:rsid w:val="000644A8"/>
    <w:rsid w:val="00077957"/>
    <w:rsid w:val="00081C7B"/>
    <w:rsid w:val="00096C1C"/>
    <w:rsid w:val="000A43D2"/>
    <w:rsid w:val="000C0FE2"/>
    <w:rsid w:val="000C6EF8"/>
    <w:rsid w:val="000D0CF2"/>
    <w:rsid w:val="000D1C9E"/>
    <w:rsid w:val="000D28D9"/>
    <w:rsid w:val="000F1574"/>
    <w:rsid w:val="000F4742"/>
    <w:rsid w:val="000F5EFF"/>
    <w:rsid w:val="000F5F73"/>
    <w:rsid w:val="001015CA"/>
    <w:rsid w:val="00103713"/>
    <w:rsid w:val="001047C0"/>
    <w:rsid w:val="0011002A"/>
    <w:rsid w:val="00121717"/>
    <w:rsid w:val="00124FD5"/>
    <w:rsid w:val="00135324"/>
    <w:rsid w:val="001460BA"/>
    <w:rsid w:val="00147731"/>
    <w:rsid w:val="00151631"/>
    <w:rsid w:val="00152568"/>
    <w:rsid w:val="00157409"/>
    <w:rsid w:val="001640D9"/>
    <w:rsid w:val="00166380"/>
    <w:rsid w:val="001675BB"/>
    <w:rsid w:val="00167BE0"/>
    <w:rsid w:val="0017043A"/>
    <w:rsid w:val="00171ACC"/>
    <w:rsid w:val="00171C43"/>
    <w:rsid w:val="0017424F"/>
    <w:rsid w:val="00176C2A"/>
    <w:rsid w:val="0017770E"/>
    <w:rsid w:val="0018479D"/>
    <w:rsid w:val="00185250"/>
    <w:rsid w:val="00190326"/>
    <w:rsid w:val="00190527"/>
    <w:rsid w:val="00191E2E"/>
    <w:rsid w:val="00193877"/>
    <w:rsid w:val="001A0ADC"/>
    <w:rsid w:val="001B4061"/>
    <w:rsid w:val="001B7086"/>
    <w:rsid w:val="001C293D"/>
    <w:rsid w:val="001C2EF6"/>
    <w:rsid w:val="001D3509"/>
    <w:rsid w:val="001E5AB5"/>
    <w:rsid w:val="00204D54"/>
    <w:rsid w:val="00205D0D"/>
    <w:rsid w:val="0020747A"/>
    <w:rsid w:val="00210D2B"/>
    <w:rsid w:val="002260F0"/>
    <w:rsid w:val="00226D68"/>
    <w:rsid w:val="00237D83"/>
    <w:rsid w:val="00244A36"/>
    <w:rsid w:val="0024729A"/>
    <w:rsid w:val="002559C3"/>
    <w:rsid w:val="002611E5"/>
    <w:rsid w:val="00273B93"/>
    <w:rsid w:val="002751CA"/>
    <w:rsid w:val="00277981"/>
    <w:rsid w:val="00280CDB"/>
    <w:rsid w:val="00284DFE"/>
    <w:rsid w:val="00290F6A"/>
    <w:rsid w:val="0029135C"/>
    <w:rsid w:val="002938F7"/>
    <w:rsid w:val="00297895"/>
    <w:rsid w:val="002A5D25"/>
    <w:rsid w:val="002C11D1"/>
    <w:rsid w:val="002C4C0C"/>
    <w:rsid w:val="002D2B06"/>
    <w:rsid w:val="002E1FAF"/>
    <w:rsid w:val="002E208D"/>
    <w:rsid w:val="002F20E5"/>
    <w:rsid w:val="003028FB"/>
    <w:rsid w:val="00317FE7"/>
    <w:rsid w:val="003220E3"/>
    <w:rsid w:val="003377E7"/>
    <w:rsid w:val="00340706"/>
    <w:rsid w:val="00346D52"/>
    <w:rsid w:val="003500A4"/>
    <w:rsid w:val="00362EC6"/>
    <w:rsid w:val="00363C79"/>
    <w:rsid w:val="0036483D"/>
    <w:rsid w:val="003662B9"/>
    <w:rsid w:val="00373793"/>
    <w:rsid w:val="0037622C"/>
    <w:rsid w:val="003805EC"/>
    <w:rsid w:val="00381981"/>
    <w:rsid w:val="003A2FD4"/>
    <w:rsid w:val="003A43DA"/>
    <w:rsid w:val="003A6951"/>
    <w:rsid w:val="003B4251"/>
    <w:rsid w:val="003C27EE"/>
    <w:rsid w:val="003C3D66"/>
    <w:rsid w:val="003C5746"/>
    <w:rsid w:val="003C5A99"/>
    <w:rsid w:val="003C7833"/>
    <w:rsid w:val="003D5127"/>
    <w:rsid w:val="003E1503"/>
    <w:rsid w:val="003F6656"/>
    <w:rsid w:val="003F75BB"/>
    <w:rsid w:val="00415809"/>
    <w:rsid w:val="00420449"/>
    <w:rsid w:val="00424620"/>
    <w:rsid w:val="0042669A"/>
    <w:rsid w:val="00432931"/>
    <w:rsid w:val="00436721"/>
    <w:rsid w:val="0044577E"/>
    <w:rsid w:val="00446425"/>
    <w:rsid w:val="004505FD"/>
    <w:rsid w:val="00450B26"/>
    <w:rsid w:val="00456140"/>
    <w:rsid w:val="00456ED9"/>
    <w:rsid w:val="004611E9"/>
    <w:rsid w:val="00463429"/>
    <w:rsid w:val="0046451E"/>
    <w:rsid w:val="00464F1F"/>
    <w:rsid w:val="00472D6E"/>
    <w:rsid w:val="00472DBC"/>
    <w:rsid w:val="004755F1"/>
    <w:rsid w:val="004756F6"/>
    <w:rsid w:val="00477734"/>
    <w:rsid w:val="0048030A"/>
    <w:rsid w:val="00484019"/>
    <w:rsid w:val="00486210"/>
    <w:rsid w:val="004873E2"/>
    <w:rsid w:val="00492405"/>
    <w:rsid w:val="004933D8"/>
    <w:rsid w:val="00496018"/>
    <w:rsid w:val="004B4D1F"/>
    <w:rsid w:val="004C34EF"/>
    <w:rsid w:val="004C6984"/>
    <w:rsid w:val="004E08C4"/>
    <w:rsid w:val="004E3609"/>
    <w:rsid w:val="004E58DE"/>
    <w:rsid w:val="004E6207"/>
    <w:rsid w:val="004F412E"/>
    <w:rsid w:val="004F728E"/>
    <w:rsid w:val="004F7BE9"/>
    <w:rsid w:val="00501205"/>
    <w:rsid w:val="00505522"/>
    <w:rsid w:val="00506C08"/>
    <w:rsid w:val="005128CF"/>
    <w:rsid w:val="005145AA"/>
    <w:rsid w:val="00515B88"/>
    <w:rsid w:val="00531960"/>
    <w:rsid w:val="0053339A"/>
    <w:rsid w:val="0053623A"/>
    <w:rsid w:val="005440B5"/>
    <w:rsid w:val="00552FD7"/>
    <w:rsid w:val="00572AD8"/>
    <w:rsid w:val="00573607"/>
    <w:rsid w:val="00577751"/>
    <w:rsid w:val="00582EF8"/>
    <w:rsid w:val="005944B3"/>
    <w:rsid w:val="00596E26"/>
    <w:rsid w:val="005A5A46"/>
    <w:rsid w:val="005B4113"/>
    <w:rsid w:val="005B6CC2"/>
    <w:rsid w:val="005D1810"/>
    <w:rsid w:val="005D7012"/>
    <w:rsid w:val="005E1188"/>
    <w:rsid w:val="006203A8"/>
    <w:rsid w:val="00622CA3"/>
    <w:rsid w:val="00625166"/>
    <w:rsid w:val="006268B1"/>
    <w:rsid w:val="00633678"/>
    <w:rsid w:val="00641270"/>
    <w:rsid w:val="00660D63"/>
    <w:rsid w:val="00672E3A"/>
    <w:rsid w:val="00674A53"/>
    <w:rsid w:val="006750D6"/>
    <w:rsid w:val="0067567C"/>
    <w:rsid w:val="00683856"/>
    <w:rsid w:val="006A1FA7"/>
    <w:rsid w:val="006A288C"/>
    <w:rsid w:val="006A7F25"/>
    <w:rsid w:val="006B0E3B"/>
    <w:rsid w:val="006B5A17"/>
    <w:rsid w:val="006D3B1E"/>
    <w:rsid w:val="006D6EC8"/>
    <w:rsid w:val="006E0D64"/>
    <w:rsid w:val="006E2300"/>
    <w:rsid w:val="006E2B93"/>
    <w:rsid w:val="006E60DA"/>
    <w:rsid w:val="006F30EF"/>
    <w:rsid w:val="006F320E"/>
    <w:rsid w:val="006F3310"/>
    <w:rsid w:val="006F4CDD"/>
    <w:rsid w:val="00700986"/>
    <w:rsid w:val="007019CA"/>
    <w:rsid w:val="007028F4"/>
    <w:rsid w:val="0071060E"/>
    <w:rsid w:val="00725B2A"/>
    <w:rsid w:val="00731852"/>
    <w:rsid w:val="00735219"/>
    <w:rsid w:val="00744B38"/>
    <w:rsid w:val="0074636B"/>
    <w:rsid w:val="00753631"/>
    <w:rsid w:val="00760689"/>
    <w:rsid w:val="00761A99"/>
    <w:rsid w:val="00775455"/>
    <w:rsid w:val="00775C35"/>
    <w:rsid w:val="007767C3"/>
    <w:rsid w:val="00782575"/>
    <w:rsid w:val="00785385"/>
    <w:rsid w:val="00785E47"/>
    <w:rsid w:val="00786177"/>
    <w:rsid w:val="0079040A"/>
    <w:rsid w:val="00795537"/>
    <w:rsid w:val="007A5049"/>
    <w:rsid w:val="007A74C1"/>
    <w:rsid w:val="007B5AE9"/>
    <w:rsid w:val="007E6267"/>
    <w:rsid w:val="007F001A"/>
    <w:rsid w:val="007F0123"/>
    <w:rsid w:val="007F246A"/>
    <w:rsid w:val="008032CE"/>
    <w:rsid w:val="00804B9D"/>
    <w:rsid w:val="0081319E"/>
    <w:rsid w:val="008211FA"/>
    <w:rsid w:val="008219CC"/>
    <w:rsid w:val="00824B44"/>
    <w:rsid w:val="00824E06"/>
    <w:rsid w:val="008302D3"/>
    <w:rsid w:val="00832652"/>
    <w:rsid w:val="0084333C"/>
    <w:rsid w:val="008436DC"/>
    <w:rsid w:val="00851916"/>
    <w:rsid w:val="00861300"/>
    <w:rsid w:val="00862EA7"/>
    <w:rsid w:val="00865CF2"/>
    <w:rsid w:val="008724F6"/>
    <w:rsid w:val="00885BB9"/>
    <w:rsid w:val="008938D2"/>
    <w:rsid w:val="008B37BA"/>
    <w:rsid w:val="008B7CBC"/>
    <w:rsid w:val="008C1954"/>
    <w:rsid w:val="008D3530"/>
    <w:rsid w:val="008D3EFC"/>
    <w:rsid w:val="008D589F"/>
    <w:rsid w:val="008E67CA"/>
    <w:rsid w:val="009151D3"/>
    <w:rsid w:val="00917F84"/>
    <w:rsid w:val="00922C07"/>
    <w:rsid w:val="00935D13"/>
    <w:rsid w:val="0093630B"/>
    <w:rsid w:val="00940EF9"/>
    <w:rsid w:val="00942268"/>
    <w:rsid w:val="00954FFD"/>
    <w:rsid w:val="0096144D"/>
    <w:rsid w:val="00972814"/>
    <w:rsid w:val="009820CD"/>
    <w:rsid w:val="00994325"/>
    <w:rsid w:val="00995152"/>
    <w:rsid w:val="009A0D1C"/>
    <w:rsid w:val="009A2D96"/>
    <w:rsid w:val="009A5559"/>
    <w:rsid w:val="009B14E9"/>
    <w:rsid w:val="009B268F"/>
    <w:rsid w:val="009B7A00"/>
    <w:rsid w:val="009C0B1B"/>
    <w:rsid w:val="009C5920"/>
    <w:rsid w:val="009C5D16"/>
    <w:rsid w:val="009D02F5"/>
    <w:rsid w:val="009D563E"/>
    <w:rsid w:val="009D7F16"/>
    <w:rsid w:val="009E561B"/>
    <w:rsid w:val="009F0870"/>
    <w:rsid w:val="009F2314"/>
    <w:rsid w:val="009F25C8"/>
    <w:rsid w:val="009F2B2B"/>
    <w:rsid w:val="009F557F"/>
    <w:rsid w:val="00A0247D"/>
    <w:rsid w:val="00A10653"/>
    <w:rsid w:val="00A13BCE"/>
    <w:rsid w:val="00A14D18"/>
    <w:rsid w:val="00A21586"/>
    <w:rsid w:val="00A34277"/>
    <w:rsid w:val="00A3443E"/>
    <w:rsid w:val="00A41096"/>
    <w:rsid w:val="00A53E3D"/>
    <w:rsid w:val="00A5512A"/>
    <w:rsid w:val="00A55AC6"/>
    <w:rsid w:val="00A55FBE"/>
    <w:rsid w:val="00A61820"/>
    <w:rsid w:val="00A745EA"/>
    <w:rsid w:val="00A760F7"/>
    <w:rsid w:val="00AA0E00"/>
    <w:rsid w:val="00AA114B"/>
    <w:rsid w:val="00AA4117"/>
    <w:rsid w:val="00AC3FA3"/>
    <w:rsid w:val="00AD0183"/>
    <w:rsid w:val="00AD0E19"/>
    <w:rsid w:val="00AD1AA1"/>
    <w:rsid w:val="00AD3089"/>
    <w:rsid w:val="00AD6CC9"/>
    <w:rsid w:val="00AF1FE5"/>
    <w:rsid w:val="00AF4484"/>
    <w:rsid w:val="00AF7574"/>
    <w:rsid w:val="00B00D8F"/>
    <w:rsid w:val="00B035B5"/>
    <w:rsid w:val="00B07778"/>
    <w:rsid w:val="00B138B0"/>
    <w:rsid w:val="00B17A9C"/>
    <w:rsid w:val="00B21847"/>
    <w:rsid w:val="00B21857"/>
    <w:rsid w:val="00B21B5D"/>
    <w:rsid w:val="00B26DFA"/>
    <w:rsid w:val="00B305AB"/>
    <w:rsid w:val="00B34AF5"/>
    <w:rsid w:val="00B36DCB"/>
    <w:rsid w:val="00B476D7"/>
    <w:rsid w:val="00B51CAB"/>
    <w:rsid w:val="00B74039"/>
    <w:rsid w:val="00B91B93"/>
    <w:rsid w:val="00B96A00"/>
    <w:rsid w:val="00BA56AE"/>
    <w:rsid w:val="00BB5434"/>
    <w:rsid w:val="00BD69DE"/>
    <w:rsid w:val="00BF144F"/>
    <w:rsid w:val="00C03A2F"/>
    <w:rsid w:val="00C10685"/>
    <w:rsid w:val="00C161FE"/>
    <w:rsid w:val="00C205C9"/>
    <w:rsid w:val="00C25AD6"/>
    <w:rsid w:val="00C27A23"/>
    <w:rsid w:val="00C305B2"/>
    <w:rsid w:val="00C34042"/>
    <w:rsid w:val="00C46661"/>
    <w:rsid w:val="00C477DE"/>
    <w:rsid w:val="00C529F3"/>
    <w:rsid w:val="00C62749"/>
    <w:rsid w:val="00C668DC"/>
    <w:rsid w:val="00C76659"/>
    <w:rsid w:val="00C77DC4"/>
    <w:rsid w:val="00C80A05"/>
    <w:rsid w:val="00C84610"/>
    <w:rsid w:val="00C85F10"/>
    <w:rsid w:val="00C86833"/>
    <w:rsid w:val="00CA0B44"/>
    <w:rsid w:val="00CA2BF6"/>
    <w:rsid w:val="00CA7215"/>
    <w:rsid w:val="00CB31F3"/>
    <w:rsid w:val="00CB6D88"/>
    <w:rsid w:val="00CC1885"/>
    <w:rsid w:val="00CC2EAB"/>
    <w:rsid w:val="00CC55D9"/>
    <w:rsid w:val="00CD5276"/>
    <w:rsid w:val="00CD663D"/>
    <w:rsid w:val="00CD7CD1"/>
    <w:rsid w:val="00CE33F6"/>
    <w:rsid w:val="00D00A5A"/>
    <w:rsid w:val="00D01784"/>
    <w:rsid w:val="00D0231F"/>
    <w:rsid w:val="00D03131"/>
    <w:rsid w:val="00D14B8F"/>
    <w:rsid w:val="00D16428"/>
    <w:rsid w:val="00D16D89"/>
    <w:rsid w:val="00D346B7"/>
    <w:rsid w:val="00D376F5"/>
    <w:rsid w:val="00D506CC"/>
    <w:rsid w:val="00D550F7"/>
    <w:rsid w:val="00D564BF"/>
    <w:rsid w:val="00D56FDA"/>
    <w:rsid w:val="00D612BA"/>
    <w:rsid w:val="00D638D4"/>
    <w:rsid w:val="00D74DFB"/>
    <w:rsid w:val="00D77D4E"/>
    <w:rsid w:val="00D8448E"/>
    <w:rsid w:val="00D90C27"/>
    <w:rsid w:val="00D90FA7"/>
    <w:rsid w:val="00DA2592"/>
    <w:rsid w:val="00DA6234"/>
    <w:rsid w:val="00DD6022"/>
    <w:rsid w:val="00DE1FD4"/>
    <w:rsid w:val="00DE4FF9"/>
    <w:rsid w:val="00E01286"/>
    <w:rsid w:val="00E0552C"/>
    <w:rsid w:val="00E07736"/>
    <w:rsid w:val="00E12043"/>
    <w:rsid w:val="00E16AF7"/>
    <w:rsid w:val="00E24D0E"/>
    <w:rsid w:val="00E37C35"/>
    <w:rsid w:val="00E445C8"/>
    <w:rsid w:val="00E448B4"/>
    <w:rsid w:val="00E4583B"/>
    <w:rsid w:val="00E52507"/>
    <w:rsid w:val="00E573DE"/>
    <w:rsid w:val="00E77A75"/>
    <w:rsid w:val="00E81565"/>
    <w:rsid w:val="00E84D57"/>
    <w:rsid w:val="00E862CD"/>
    <w:rsid w:val="00E86662"/>
    <w:rsid w:val="00E941D0"/>
    <w:rsid w:val="00E94C8A"/>
    <w:rsid w:val="00E96599"/>
    <w:rsid w:val="00EA6C86"/>
    <w:rsid w:val="00EC3223"/>
    <w:rsid w:val="00EC6316"/>
    <w:rsid w:val="00EE1A48"/>
    <w:rsid w:val="00EE4EB6"/>
    <w:rsid w:val="00EF76F2"/>
    <w:rsid w:val="00F056D4"/>
    <w:rsid w:val="00F15E34"/>
    <w:rsid w:val="00F20480"/>
    <w:rsid w:val="00F20A0C"/>
    <w:rsid w:val="00F22771"/>
    <w:rsid w:val="00F27C8E"/>
    <w:rsid w:val="00F43C81"/>
    <w:rsid w:val="00F47964"/>
    <w:rsid w:val="00F541AD"/>
    <w:rsid w:val="00F663ED"/>
    <w:rsid w:val="00F702CA"/>
    <w:rsid w:val="00F76A9B"/>
    <w:rsid w:val="00F84303"/>
    <w:rsid w:val="00FA0325"/>
    <w:rsid w:val="00FA48DB"/>
    <w:rsid w:val="00FB0381"/>
    <w:rsid w:val="00FD2599"/>
    <w:rsid w:val="00FD6619"/>
    <w:rsid w:val="00FD6AD2"/>
    <w:rsid w:val="00FE1AF2"/>
    <w:rsid w:val="00FE2220"/>
    <w:rsid w:val="00FE3218"/>
    <w:rsid w:val="00FE33A6"/>
    <w:rsid w:val="00FE3DF5"/>
    <w:rsid w:val="00FE5725"/>
    <w:rsid w:val="00FF4FAB"/>
    <w:rsid w:val="00FF51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2901D"/>
  <w15:chartTrackingRefBased/>
  <w15:docId w15:val="{EB436198-3CD3-49BA-ACF7-AA4E2DFE2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4A8"/>
    <w:rPr>
      <w:sz w:val="24"/>
    </w:rPr>
  </w:style>
  <w:style w:type="paragraph" w:styleId="Heading1">
    <w:name w:val="heading 1"/>
    <w:basedOn w:val="Normal"/>
    <w:next w:val="Normal"/>
    <w:link w:val="Heading1Char"/>
    <w:uiPriority w:val="9"/>
    <w:qFormat/>
    <w:rsid w:val="000644A8"/>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semiHidden/>
    <w:unhideWhenUsed/>
    <w:qFormat/>
    <w:rsid w:val="000644A8"/>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44A8"/>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44A8"/>
    <w:pPr>
      <w:keepNext/>
      <w:keepLines/>
      <w:spacing w:before="40" w:after="0"/>
      <w:outlineLvl w:val="3"/>
    </w:pPr>
    <w:rPr>
      <w:rFonts w:asciiTheme="majorHAnsi" w:eastAsiaTheme="majorEastAsia" w:hAnsiTheme="majorHAnsi" w:cstheme="majorBidi"/>
      <w:color w:val="0F4761" w:themeColor="accent1" w:themeShade="BF"/>
      <w:szCs w:val="24"/>
    </w:rPr>
  </w:style>
  <w:style w:type="paragraph" w:styleId="Heading5">
    <w:name w:val="heading 5"/>
    <w:basedOn w:val="Normal"/>
    <w:next w:val="Normal"/>
    <w:link w:val="Heading5Char"/>
    <w:uiPriority w:val="9"/>
    <w:semiHidden/>
    <w:unhideWhenUsed/>
    <w:qFormat/>
    <w:rsid w:val="000644A8"/>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0644A8"/>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0644A8"/>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0644A8"/>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0644A8"/>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4A8"/>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semiHidden/>
    <w:rsid w:val="000644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44A8"/>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44A8"/>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0644A8"/>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0644A8"/>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0644A8"/>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0644A8"/>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0644A8"/>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0644A8"/>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0644A8"/>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0644A8"/>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0644A8"/>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0644A8"/>
    <w:pPr>
      <w:spacing w:before="120" w:after="120"/>
      <w:ind w:left="720"/>
    </w:pPr>
    <w:rPr>
      <w:color w:val="0E2841" w:themeColor="text2"/>
      <w:szCs w:val="24"/>
    </w:rPr>
  </w:style>
  <w:style w:type="character" w:customStyle="1" w:styleId="QuoteChar">
    <w:name w:val="Quote Char"/>
    <w:basedOn w:val="DefaultParagraphFont"/>
    <w:link w:val="Quote"/>
    <w:uiPriority w:val="29"/>
    <w:rsid w:val="000644A8"/>
    <w:rPr>
      <w:color w:val="0E2841" w:themeColor="text2"/>
      <w:sz w:val="24"/>
      <w:szCs w:val="24"/>
    </w:rPr>
  </w:style>
  <w:style w:type="paragraph" w:styleId="ListParagraph">
    <w:name w:val="List Paragraph"/>
    <w:basedOn w:val="Normal"/>
    <w:uiPriority w:val="34"/>
    <w:qFormat/>
    <w:rsid w:val="00171C43"/>
    <w:pPr>
      <w:ind w:left="720"/>
      <w:contextualSpacing/>
    </w:pPr>
  </w:style>
  <w:style w:type="character" w:styleId="IntenseEmphasis">
    <w:name w:val="Intense Emphasis"/>
    <w:basedOn w:val="DefaultParagraphFont"/>
    <w:uiPriority w:val="21"/>
    <w:qFormat/>
    <w:rsid w:val="000644A8"/>
    <w:rPr>
      <w:b/>
      <w:bCs/>
      <w:i/>
      <w:iCs/>
    </w:rPr>
  </w:style>
  <w:style w:type="paragraph" w:styleId="IntenseQuote">
    <w:name w:val="Intense Quote"/>
    <w:basedOn w:val="Normal"/>
    <w:next w:val="Normal"/>
    <w:link w:val="IntenseQuoteChar"/>
    <w:uiPriority w:val="30"/>
    <w:qFormat/>
    <w:rsid w:val="000644A8"/>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0644A8"/>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0644A8"/>
    <w:rPr>
      <w:b/>
      <w:bCs/>
      <w:smallCaps/>
      <w:color w:val="0E2841" w:themeColor="text2"/>
      <w:u w:val="single"/>
    </w:rPr>
  </w:style>
  <w:style w:type="character" w:styleId="BookTitle">
    <w:name w:val="Book Title"/>
    <w:basedOn w:val="DefaultParagraphFont"/>
    <w:uiPriority w:val="33"/>
    <w:qFormat/>
    <w:rsid w:val="000644A8"/>
    <w:rPr>
      <w:b/>
      <w:bCs/>
      <w:smallCaps/>
      <w:spacing w:val="10"/>
    </w:rPr>
  </w:style>
  <w:style w:type="paragraph" w:styleId="Caption">
    <w:name w:val="caption"/>
    <w:basedOn w:val="Normal"/>
    <w:next w:val="Normal"/>
    <w:uiPriority w:val="35"/>
    <w:semiHidden/>
    <w:unhideWhenUsed/>
    <w:qFormat/>
    <w:rsid w:val="000644A8"/>
    <w:pPr>
      <w:spacing w:line="240" w:lineRule="auto"/>
    </w:pPr>
    <w:rPr>
      <w:b/>
      <w:bCs/>
      <w:smallCaps/>
      <w:color w:val="0E2841" w:themeColor="text2"/>
    </w:rPr>
  </w:style>
  <w:style w:type="character" w:styleId="Strong">
    <w:name w:val="Strong"/>
    <w:basedOn w:val="DefaultParagraphFont"/>
    <w:uiPriority w:val="22"/>
    <w:qFormat/>
    <w:rsid w:val="000644A8"/>
    <w:rPr>
      <w:b/>
      <w:bCs/>
    </w:rPr>
  </w:style>
  <w:style w:type="character" w:styleId="Emphasis">
    <w:name w:val="Emphasis"/>
    <w:basedOn w:val="DefaultParagraphFont"/>
    <w:uiPriority w:val="20"/>
    <w:qFormat/>
    <w:rsid w:val="000644A8"/>
    <w:rPr>
      <w:i/>
      <w:iCs/>
    </w:rPr>
  </w:style>
  <w:style w:type="paragraph" w:styleId="NoSpacing">
    <w:name w:val="No Spacing"/>
    <w:uiPriority w:val="1"/>
    <w:qFormat/>
    <w:rsid w:val="000644A8"/>
    <w:pPr>
      <w:spacing w:after="0" w:line="240" w:lineRule="auto"/>
    </w:pPr>
  </w:style>
  <w:style w:type="character" w:styleId="SubtleEmphasis">
    <w:name w:val="Subtle Emphasis"/>
    <w:basedOn w:val="DefaultParagraphFont"/>
    <w:uiPriority w:val="19"/>
    <w:qFormat/>
    <w:rsid w:val="000644A8"/>
    <w:rPr>
      <w:i/>
      <w:iCs/>
      <w:color w:val="595959" w:themeColor="text1" w:themeTint="A6"/>
    </w:rPr>
  </w:style>
  <w:style w:type="character" w:styleId="SubtleReference">
    <w:name w:val="Subtle Reference"/>
    <w:basedOn w:val="DefaultParagraphFont"/>
    <w:uiPriority w:val="31"/>
    <w:qFormat/>
    <w:rsid w:val="000644A8"/>
    <w:rPr>
      <w:smallCaps/>
      <w:color w:val="595959" w:themeColor="text1" w:themeTint="A6"/>
      <w:u w:val="none" w:color="7F7F7F" w:themeColor="text1" w:themeTint="80"/>
      <w:bdr w:val="none" w:sz="0" w:space="0" w:color="auto"/>
    </w:rPr>
  </w:style>
  <w:style w:type="paragraph" w:styleId="TOCHeading">
    <w:name w:val="TOC Heading"/>
    <w:basedOn w:val="Heading1"/>
    <w:next w:val="Normal"/>
    <w:uiPriority w:val="39"/>
    <w:unhideWhenUsed/>
    <w:qFormat/>
    <w:rsid w:val="000644A8"/>
    <w:pPr>
      <w:outlineLvl w:val="9"/>
    </w:pPr>
  </w:style>
  <w:style w:type="paragraph" w:styleId="TOC1">
    <w:name w:val="toc 1"/>
    <w:basedOn w:val="Normal"/>
    <w:next w:val="Normal"/>
    <w:autoRedefine/>
    <w:uiPriority w:val="39"/>
    <w:unhideWhenUsed/>
    <w:rsid w:val="006A288C"/>
    <w:pPr>
      <w:spacing w:after="100"/>
    </w:pPr>
  </w:style>
  <w:style w:type="character" w:styleId="Hyperlink">
    <w:name w:val="Hyperlink"/>
    <w:basedOn w:val="DefaultParagraphFont"/>
    <w:uiPriority w:val="99"/>
    <w:unhideWhenUsed/>
    <w:rsid w:val="006A288C"/>
    <w:rPr>
      <w:color w:val="467886" w:themeColor="hyperlink"/>
      <w:u w:val="single"/>
    </w:rPr>
  </w:style>
  <w:style w:type="paragraph" w:styleId="EndnoteText">
    <w:name w:val="endnote text"/>
    <w:basedOn w:val="Normal"/>
    <w:link w:val="EndnoteTextChar"/>
    <w:uiPriority w:val="99"/>
    <w:unhideWhenUsed/>
    <w:rsid w:val="006A288C"/>
    <w:pPr>
      <w:spacing w:after="0" w:line="240" w:lineRule="auto"/>
    </w:pPr>
    <w:rPr>
      <w:sz w:val="20"/>
      <w:szCs w:val="20"/>
    </w:rPr>
  </w:style>
  <w:style w:type="character" w:customStyle="1" w:styleId="EndnoteTextChar">
    <w:name w:val="Endnote Text Char"/>
    <w:basedOn w:val="DefaultParagraphFont"/>
    <w:link w:val="EndnoteText"/>
    <w:uiPriority w:val="99"/>
    <w:rsid w:val="006A288C"/>
    <w:rPr>
      <w:sz w:val="20"/>
      <w:szCs w:val="20"/>
    </w:rPr>
  </w:style>
  <w:style w:type="character" w:styleId="EndnoteReference">
    <w:name w:val="endnote reference"/>
    <w:basedOn w:val="DefaultParagraphFont"/>
    <w:uiPriority w:val="99"/>
    <w:semiHidden/>
    <w:unhideWhenUsed/>
    <w:rsid w:val="006A288C"/>
    <w:rPr>
      <w:vertAlign w:val="superscript"/>
    </w:rPr>
  </w:style>
  <w:style w:type="paragraph" w:customStyle="1" w:styleId="CLGendnotes">
    <w:name w:val="CLG endnotes"/>
    <w:basedOn w:val="EndnoteText"/>
    <w:link w:val="CLGendnotesChar"/>
    <w:rsid w:val="006A288C"/>
    <w:rPr>
      <w:rFonts w:ascii="Calibri" w:eastAsiaTheme="minorHAnsi" w:hAnsi="Calibri" w:cs="Calibri"/>
      <w:kern w:val="2"/>
      <w:sz w:val="24"/>
      <w:szCs w:val="24"/>
      <w14:ligatures w14:val="standardContextual"/>
    </w:rPr>
  </w:style>
  <w:style w:type="character" w:customStyle="1" w:styleId="CLGendnotesChar">
    <w:name w:val="CLG endnotes Char"/>
    <w:basedOn w:val="EndnoteTextChar"/>
    <w:link w:val="CLGendnotes"/>
    <w:rsid w:val="006A288C"/>
    <w:rPr>
      <w:rFonts w:ascii="Calibri" w:eastAsiaTheme="minorHAnsi" w:hAnsi="Calibri" w:cs="Calibri"/>
      <w:kern w:val="2"/>
      <w:sz w:val="24"/>
      <w:szCs w:val="24"/>
      <w14:ligatures w14:val="standardContextual"/>
    </w:rPr>
  </w:style>
  <w:style w:type="character" w:styleId="CommentReference">
    <w:name w:val="annotation reference"/>
    <w:basedOn w:val="DefaultParagraphFont"/>
    <w:uiPriority w:val="99"/>
    <w:semiHidden/>
    <w:unhideWhenUsed/>
    <w:rsid w:val="00171C43"/>
    <w:rPr>
      <w:sz w:val="16"/>
      <w:szCs w:val="16"/>
    </w:rPr>
  </w:style>
  <w:style w:type="paragraph" w:styleId="CommentText">
    <w:name w:val="annotation text"/>
    <w:basedOn w:val="Normal"/>
    <w:link w:val="CommentTextChar"/>
    <w:uiPriority w:val="99"/>
    <w:unhideWhenUsed/>
    <w:rsid w:val="00171C43"/>
    <w:pPr>
      <w:spacing w:line="240" w:lineRule="auto"/>
    </w:pPr>
    <w:rPr>
      <w:sz w:val="20"/>
      <w:szCs w:val="20"/>
    </w:rPr>
  </w:style>
  <w:style w:type="character" w:customStyle="1" w:styleId="CommentTextChar">
    <w:name w:val="Comment Text Char"/>
    <w:basedOn w:val="DefaultParagraphFont"/>
    <w:link w:val="CommentText"/>
    <w:uiPriority w:val="99"/>
    <w:rsid w:val="00171C43"/>
    <w:rPr>
      <w:sz w:val="20"/>
      <w:szCs w:val="20"/>
    </w:rPr>
  </w:style>
  <w:style w:type="paragraph" w:styleId="CommentSubject">
    <w:name w:val="annotation subject"/>
    <w:basedOn w:val="CommentText"/>
    <w:next w:val="CommentText"/>
    <w:link w:val="CommentSubjectChar"/>
    <w:uiPriority w:val="99"/>
    <w:semiHidden/>
    <w:unhideWhenUsed/>
    <w:rsid w:val="00171C43"/>
    <w:rPr>
      <w:b/>
      <w:bCs/>
    </w:rPr>
  </w:style>
  <w:style w:type="character" w:customStyle="1" w:styleId="CommentSubjectChar">
    <w:name w:val="Comment Subject Char"/>
    <w:basedOn w:val="CommentTextChar"/>
    <w:link w:val="CommentSubject"/>
    <w:uiPriority w:val="99"/>
    <w:semiHidden/>
    <w:rsid w:val="00171C43"/>
    <w:rPr>
      <w:b/>
      <w:bCs/>
      <w:sz w:val="20"/>
      <w:szCs w:val="20"/>
    </w:rPr>
  </w:style>
  <w:style w:type="character" w:styleId="UnresolvedMention">
    <w:name w:val="Unresolved Mention"/>
    <w:basedOn w:val="DefaultParagraphFont"/>
    <w:uiPriority w:val="99"/>
    <w:semiHidden/>
    <w:unhideWhenUsed/>
    <w:rsid w:val="00432931"/>
    <w:rPr>
      <w:color w:val="605E5C"/>
      <w:shd w:val="clear" w:color="auto" w:fill="E1DFDD"/>
    </w:rPr>
  </w:style>
  <w:style w:type="paragraph" w:styleId="Header">
    <w:name w:val="header"/>
    <w:basedOn w:val="Normal"/>
    <w:link w:val="HeaderChar"/>
    <w:uiPriority w:val="99"/>
    <w:unhideWhenUsed/>
    <w:rsid w:val="00F27C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C8E"/>
    <w:rPr>
      <w:sz w:val="24"/>
    </w:rPr>
  </w:style>
  <w:style w:type="paragraph" w:styleId="Footer">
    <w:name w:val="footer"/>
    <w:basedOn w:val="Normal"/>
    <w:link w:val="FooterChar"/>
    <w:uiPriority w:val="99"/>
    <w:unhideWhenUsed/>
    <w:rsid w:val="00F27C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C8E"/>
    <w:rPr>
      <w:sz w:val="24"/>
    </w:rPr>
  </w:style>
  <w:style w:type="paragraph" w:styleId="Revision">
    <w:name w:val="Revision"/>
    <w:hidden/>
    <w:uiPriority w:val="99"/>
    <w:semiHidden/>
    <w:rsid w:val="00AC3FA3"/>
    <w:pPr>
      <w:spacing w:after="0" w:line="240" w:lineRule="auto"/>
    </w:pPr>
    <w:rPr>
      <w:sz w:val="24"/>
    </w:rPr>
  </w:style>
  <w:style w:type="character" w:styleId="FollowedHyperlink">
    <w:name w:val="FollowedHyperlink"/>
    <w:basedOn w:val="DefaultParagraphFont"/>
    <w:uiPriority w:val="99"/>
    <w:semiHidden/>
    <w:unhideWhenUsed/>
    <w:rsid w:val="000F157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ne.gov/ag/consumer-protection/consumer-help-topics/purchasing-goods-or-services/defective-goods" TargetMode="External"/><Relationship Id="rId13" Type="http://schemas.openxmlformats.org/officeDocument/2006/relationships/hyperlink" Target="https://maine.gov/ag/consumer-protection/consumer-help-topics/consumer-complain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ine.gov/ag/consumer-protection/consumer-help-topics/consumer-complaint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ine.gov/ag/consumer-protection/consumer-help-topics/consumer-complaint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aine.gov/ag/consumer-protection/consumer-help-topics/consumer-complaints" TargetMode="External"/><Relationship Id="rId4" Type="http://schemas.openxmlformats.org/officeDocument/2006/relationships/settings" Target="settings.xml"/><Relationship Id="rId9" Type="http://schemas.openxmlformats.org/officeDocument/2006/relationships/hyperlink" Target="https://maine.gov/ag/consumer-protection/consumer-help-topics/purchasing-goods-or-services/defective-good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DB592-AD9C-427A-B865-ED979FFB1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2242</Words>
  <Characters>12781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14994</CharactersWithSpaces>
  <SharedDoc>false</SharedDoc>
  <HLinks>
    <vt:vector size="12" baseType="variant">
      <vt:variant>
        <vt:i4>852044</vt:i4>
      </vt:variant>
      <vt:variant>
        <vt:i4>9</vt:i4>
      </vt:variant>
      <vt:variant>
        <vt:i4>0</vt:i4>
      </vt:variant>
      <vt:variant>
        <vt:i4>5</vt:i4>
      </vt:variant>
      <vt:variant>
        <vt:lpwstr>https://www.maine.gov/ag/consumer-protection/consumer-help-topics/consumer-complaints</vt:lpwstr>
      </vt:variant>
      <vt:variant>
        <vt:lpwstr/>
      </vt:variant>
      <vt:variant>
        <vt:i4>852044</vt:i4>
      </vt:variant>
      <vt:variant>
        <vt:i4>6</vt:i4>
      </vt:variant>
      <vt:variant>
        <vt:i4>0</vt:i4>
      </vt:variant>
      <vt:variant>
        <vt:i4>5</vt:i4>
      </vt:variant>
      <vt:variant>
        <vt:lpwstr>https://www.maine.gov/ag/consumer-protection/consumer-help-topics/consumer-complaints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Warranties</dc:title>
  <dc:subject/>
  <dc:creator>Maine Office of the Attorney General</dc:creator>
  <cp:keywords/>
  <dc:description/>
  <cp:lastModifiedBy>Olson, Jules M</cp:lastModifiedBy>
  <cp:revision>3</cp:revision>
  <dcterms:created xsi:type="dcterms:W3CDTF">2026-04-15T20:09:00Z</dcterms:created>
  <dcterms:modified xsi:type="dcterms:W3CDTF">2026-04-15T20:10:00Z</dcterms:modified>
</cp:coreProperties>
</file>