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831CE" w14:textId="77777777" w:rsidR="00F355D5" w:rsidRPr="00A11AA6" w:rsidRDefault="00F355D5" w:rsidP="00F355D5">
      <w:pPr>
        <w:pStyle w:val="Title"/>
        <w:rPr>
          <w:rStyle w:val="BookTitle"/>
        </w:rPr>
      </w:pPr>
      <w:r w:rsidRPr="00A11AA6">
        <w:rPr>
          <w:rStyle w:val="BookTitle"/>
        </w:rPr>
        <w:t>Maine Consumer Law Guide</w:t>
      </w:r>
    </w:p>
    <w:p w14:paraId="1B0B8095" w14:textId="77777777" w:rsidR="00F355D5" w:rsidRPr="00CF73CB" w:rsidRDefault="00F355D5" w:rsidP="00F355D5">
      <w:pPr>
        <w:pStyle w:val="Subtitle"/>
      </w:pPr>
      <w:r w:rsidRPr="00CF73CB">
        <w:t>From the Office of the Maine Attorney General</w:t>
      </w:r>
    </w:p>
    <w:p w14:paraId="1236451F" w14:textId="23509851" w:rsidR="00EE2550" w:rsidRDefault="00F355D5" w:rsidP="00F355D5">
      <w:pPr>
        <w:pStyle w:val="Title"/>
        <w:spacing w:after="120" w:line="240" w:lineRule="auto"/>
      </w:pPr>
      <w:r w:rsidRPr="00F355D5">
        <w:rPr>
          <w:rStyle w:val="BookTitle"/>
          <w:b w:val="0"/>
          <w:bCs w:val="0"/>
        </w:rPr>
        <w:t>Chapter</w:t>
      </w:r>
      <w:r w:rsidRPr="00A11AA6">
        <w:rPr>
          <w:rStyle w:val="BookTitle"/>
        </w:rPr>
        <w:t xml:space="preserve"> </w:t>
      </w:r>
      <w:r w:rsidR="00EE2550">
        <w:t>3: The Maine Unfair Trade Practices Act</w:t>
      </w:r>
    </w:p>
    <w:p w14:paraId="47067115" w14:textId="13F6748F" w:rsidR="00EE2550" w:rsidRDefault="00EE2550" w:rsidP="006E3A8D">
      <w:r>
        <w:t xml:space="preserve">Last revised: </w:t>
      </w:r>
      <w:r w:rsidR="00664202">
        <w:t>April 2026</w:t>
      </w:r>
      <w:r>
        <w:t>.</w:t>
      </w:r>
    </w:p>
    <w:p w14:paraId="5D2CFCA8" w14:textId="77777777" w:rsidR="00EE2550" w:rsidRDefault="00EE2550" w:rsidP="006E3A8D">
      <w:pPr>
        <w:rPr>
          <w:spacing w:val="2"/>
        </w:rPr>
      </w:pPr>
      <w:r w:rsidRPr="002769A6">
        <w:rPr>
          <w:spacing w:val="2"/>
        </w:rPr>
        <w:t>This consumer rights chapter describes Maine’s most important consumer law, the Maine Unfair Trade Practices Act.</w:t>
      </w:r>
    </w:p>
    <w:sdt>
      <w:sdtPr>
        <w:id w:val="-1139347751"/>
        <w:docPartObj>
          <w:docPartGallery w:val="Table of Contents"/>
          <w:docPartUnique/>
        </w:docPartObj>
      </w:sdtPr>
      <w:sdtEndPr>
        <w:rPr>
          <w:rFonts w:asciiTheme="minorHAnsi" w:eastAsiaTheme="minorEastAsia" w:hAnsiTheme="minorHAnsi" w:cstheme="minorBidi"/>
          <w:b/>
          <w:bCs/>
          <w:noProof/>
          <w:color w:val="auto"/>
          <w:sz w:val="24"/>
          <w:szCs w:val="22"/>
        </w:rPr>
      </w:sdtEndPr>
      <w:sdtContent>
        <w:p w14:paraId="19FDBAF0" w14:textId="363D0591" w:rsidR="00706656" w:rsidRDefault="00706656">
          <w:pPr>
            <w:pStyle w:val="TOCHeading"/>
          </w:pPr>
          <w:r>
            <w:t>Contents</w:t>
          </w:r>
        </w:p>
        <w:p w14:paraId="740D3C0F" w14:textId="640EEBE8" w:rsidR="00706656" w:rsidRDefault="00706656">
          <w:pPr>
            <w:pStyle w:val="TOC1"/>
            <w:tabs>
              <w:tab w:val="right" w:leader="dot" w:pos="10070"/>
            </w:tabs>
            <w:rPr>
              <w:noProof/>
              <w:kern w:val="2"/>
              <w:szCs w:val="24"/>
              <w14:ligatures w14:val="standardContextual"/>
            </w:rPr>
          </w:pPr>
          <w:r>
            <w:fldChar w:fldCharType="begin"/>
          </w:r>
          <w:r>
            <w:instrText xml:space="preserve"> TOC \o "1-3" \h \z \u </w:instrText>
          </w:r>
          <w:r>
            <w:fldChar w:fldCharType="separate"/>
          </w:r>
          <w:hyperlink w:anchor="_Toc227239410" w:history="1">
            <w:r w:rsidRPr="009832B5">
              <w:rPr>
                <w:rStyle w:val="Hyperlink"/>
                <w:noProof/>
              </w:rPr>
              <w:t>3.1 The Maine Unfair Trade Practices Act</w:t>
            </w:r>
            <w:r>
              <w:rPr>
                <w:noProof/>
                <w:webHidden/>
              </w:rPr>
              <w:tab/>
            </w:r>
            <w:r>
              <w:rPr>
                <w:noProof/>
                <w:webHidden/>
              </w:rPr>
              <w:fldChar w:fldCharType="begin"/>
            </w:r>
            <w:r>
              <w:rPr>
                <w:noProof/>
                <w:webHidden/>
              </w:rPr>
              <w:instrText xml:space="preserve"> PAGEREF _Toc227239410 \h </w:instrText>
            </w:r>
            <w:r>
              <w:rPr>
                <w:noProof/>
                <w:webHidden/>
              </w:rPr>
            </w:r>
            <w:r>
              <w:rPr>
                <w:noProof/>
                <w:webHidden/>
              </w:rPr>
              <w:fldChar w:fldCharType="separate"/>
            </w:r>
            <w:r>
              <w:rPr>
                <w:noProof/>
                <w:webHidden/>
              </w:rPr>
              <w:t>1</w:t>
            </w:r>
            <w:r>
              <w:rPr>
                <w:noProof/>
                <w:webHidden/>
              </w:rPr>
              <w:fldChar w:fldCharType="end"/>
            </w:r>
          </w:hyperlink>
        </w:p>
        <w:p w14:paraId="3AC60D3A" w14:textId="7A45C389" w:rsidR="00706656" w:rsidRDefault="00706656">
          <w:pPr>
            <w:pStyle w:val="TOC1"/>
            <w:tabs>
              <w:tab w:val="right" w:leader="dot" w:pos="10070"/>
            </w:tabs>
            <w:rPr>
              <w:noProof/>
              <w:kern w:val="2"/>
              <w:szCs w:val="24"/>
              <w14:ligatures w14:val="standardContextual"/>
            </w:rPr>
          </w:pPr>
          <w:hyperlink w:anchor="_Toc227239411" w:history="1">
            <w:r w:rsidRPr="009832B5">
              <w:rPr>
                <w:rStyle w:val="Hyperlink"/>
                <w:noProof/>
              </w:rPr>
              <w:t>3.2 What Trade Practices Are Unfair?</w:t>
            </w:r>
            <w:r>
              <w:rPr>
                <w:noProof/>
                <w:webHidden/>
              </w:rPr>
              <w:tab/>
            </w:r>
            <w:r>
              <w:rPr>
                <w:noProof/>
                <w:webHidden/>
              </w:rPr>
              <w:fldChar w:fldCharType="begin"/>
            </w:r>
            <w:r>
              <w:rPr>
                <w:noProof/>
                <w:webHidden/>
              </w:rPr>
              <w:instrText xml:space="preserve"> PAGEREF _Toc227239411 \h </w:instrText>
            </w:r>
            <w:r>
              <w:rPr>
                <w:noProof/>
                <w:webHidden/>
              </w:rPr>
            </w:r>
            <w:r>
              <w:rPr>
                <w:noProof/>
                <w:webHidden/>
              </w:rPr>
              <w:fldChar w:fldCharType="separate"/>
            </w:r>
            <w:r>
              <w:rPr>
                <w:noProof/>
                <w:webHidden/>
              </w:rPr>
              <w:t>2</w:t>
            </w:r>
            <w:r>
              <w:rPr>
                <w:noProof/>
                <w:webHidden/>
              </w:rPr>
              <w:fldChar w:fldCharType="end"/>
            </w:r>
          </w:hyperlink>
        </w:p>
        <w:p w14:paraId="5AF6349F" w14:textId="6E21B3E5" w:rsidR="00706656" w:rsidRDefault="00706656">
          <w:pPr>
            <w:pStyle w:val="TOC1"/>
            <w:tabs>
              <w:tab w:val="right" w:leader="dot" w:pos="10070"/>
            </w:tabs>
            <w:rPr>
              <w:noProof/>
              <w:kern w:val="2"/>
              <w:szCs w:val="24"/>
              <w14:ligatures w14:val="standardContextual"/>
            </w:rPr>
          </w:pPr>
          <w:hyperlink w:anchor="_Toc227239412" w:history="1">
            <w:r w:rsidRPr="009832B5">
              <w:rPr>
                <w:rStyle w:val="Hyperlink"/>
                <w:noProof/>
              </w:rPr>
              <w:t>3.3 What Trade Practices Are Deceptive?</w:t>
            </w:r>
            <w:r>
              <w:rPr>
                <w:noProof/>
                <w:webHidden/>
              </w:rPr>
              <w:tab/>
            </w:r>
            <w:r>
              <w:rPr>
                <w:noProof/>
                <w:webHidden/>
              </w:rPr>
              <w:fldChar w:fldCharType="begin"/>
            </w:r>
            <w:r>
              <w:rPr>
                <w:noProof/>
                <w:webHidden/>
              </w:rPr>
              <w:instrText xml:space="preserve"> PAGEREF _Toc227239412 \h </w:instrText>
            </w:r>
            <w:r>
              <w:rPr>
                <w:noProof/>
                <w:webHidden/>
              </w:rPr>
            </w:r>
            <w:r>
              <w:rPr>
                <w:noProof/>
                <w:webHidden/>
              </w:rPr>
              <w:fldChar w:fldCharType="separate"/>
            </w:r>
            <w:r>
              <w:rPr>
                <w:noProof/>
                <w:webHidden/>
              </w:rPr>
              <w:t>2</w:t>
            </w:r>
            <w:r>
              <w:rPr>
                <w:noProof/>
                <w:webHidden/>
              </w:rPr>
              <w:fldChar w:fldCharType="end"/>
            </w:r>
          </w:hyperlink>
        </w:p>
        <w:p w14:paraId="324DADB3" w14:textId="66931C29" w:rsidR="00706656" w:rsidRDefault="00706656">
          <w:pPr>
            <w:pStyle w:val="TOC1"/>
            <w:tabs>
              <w:tab w:val="right" w:leader="dot" w:pos="10070"/>
            </w:tabs>
            <w:rPr>
              <w:noProof/>
              <w:kern w:val="2"/>
              <w:szCs w:val="24"/>
              <w14:ligatures w14:val="standardContextual"/>
            </w:rPr>
          </w:pPr>
          <w:hyperlink w:anchor="_Toc227239413" w:history="1">
            <w:r w:rsidRPr="009832B5">
              <w:rPr>
                <w:rStyle w:val="Hyperlink"/>
                <w:noProof/>
              </w:rPr>
              <w:t>3.4 Statutory Violations of the Unfair Trade Practices Act</w:t>
            </w:r>
            <w:r>
              <w:rPr>
                <w:noProof/>
                <w:webHidden/>
              </w:rPr>
              <w:tab/>
            </w:r>
            <w:r>
              <w:rPr>
                <w:noProof/>
                <w:webHidden/>
              </w:rPr>
              <w:fldChar w:fldCharType="begin"/>
            </w:r>
            <w:r>
              <w:rPr>
                <w:noProof/>
                <w:webHidden/>
              </w:rPr>
              <w:instrText xml:space="preserve"> PAGEREF _Toc227239413 \h </w:instrText>
            </w:r>
            <w:r>
              <w:rPr>
                <w:noProof/>
                <w:webHidden/>
              </w:rPr>
            </w:r>
            <w:r>
              <w:rPr>
                <w:noProof/>
                <w:webHidden/>
              </w:rPr>
              <w:fldChar w:fldCharType="separate"/>
            </w:r>
            <w:r>
              <w:rPr>
                <w:noProof/>
                <w:webHidden/>
              </w:rPr>
              <w:t>3</w:t>
            </w:r>
            <w:r>
              <w:rPr>
                <w:noProof/>
                <w:webHidden/>
              </w:rPr>
              <w:fldChar w:fldCharType="end"/>
            </w:r>
          </w:hyperlink>
        </w:p>
        <w:p w14:paraId="690D821E" w14:textId="4DF2C8D2" w:rsidR="00706656" w:rsidRDefault="00706656">
          <w:pPr>
            <w:pStyle w:val="TOC1"/>
            <w:tabs>
              <w:tab w:val="right" w:leader="dot" w:pos="10070"/>
            </w:tabs>
            <w:rPr>
              <w:noProof/>
              <w:kern w:val="2"/>
              <w:szCs w:val="24"/>
              <w14:ligatures w14:val="standardContextual"/>
            </w:rPr>
          </w:pPr>
          <w:hyperlink w:anchor="_Toc227239414" w:history="1">
            <w:r w:rsidRPr="009832B5">
              <w:rPr>
                <w:rStyle w:val="Hyperlink"/>
                <w:noProof/>
              </w:rPr>
              <w:t>3.5 Sample UTPA Demand for Relief Letter</w:t>
            </w:r>
            <w:r>
              <w:rPr>
                <w:noProof/>
                <w:webHidden/>
              </w:rPr>
              <w:tab/>
            </w:r>
            <w:r>
              <w:rPr>
                <w:noProof/>
                <w:webHidden/>
              </w:rPr>
              <w:fldChar w:fldCharType="begin"/>
            </w:r>
            <w:r>
              <w:rPr>
                <w:noProof/>
                <w:webHidden/>
              </w:rPr>
              <w:instrText xml:space="preserve"> PAGEREF _Toc227239414 \h </w:instrText>
            </w:r>
            <w:r>
              <w:rPr>
                <w:noProof/>
                <w:webHidden/>
              </w:rPr>
            </w:r>
            <w:r>
              <w:rPr>
                <w:noProof/>
                <w:webHidden/>
              </w:rPr>
              <w:fldChar w:fldCharType="separate"/>
            </w:r>
            <w:r>
              <w:rPr>
                <w:noProof/>
                <w:webHidden/>
              </w:rPr>
              <w:t>3</w:t>
            </w:r>
            <w:r>
              <w:rPr>
                <w:noProof/>
                <w:webHidden/>
              </w:rPr>
              <w:fldChar w:fldCharType="end"/>
            </w:r>
          </w:hyperlink>
        </w:p>
        <w:p w14:paraId="35F949DA" w14:textId="760EF0E9" w:rsidR="00706656" w:rsidRDefault="00706656">
          <w:r>
            <w:rPr>
              <w:b/>
              <w:bCs/>
              <w:noProof/>
            </w:rPr>
            <w:fldChar w:fldCharType="end"/>
          </w:r>
        </w:p>
      </w:sdtContent>
    </w:sdt>
    <w:p w14:paraId="089B1A23" w14:textId="70E24559" w:rsidR="00EE2550" w:rsidRPr="00A6518A" w:rsidRDefault="00EE2550" w:rsidP="006E3A8D">
      <w:pPr>
        <w:pStyle w:val="Heading1"/>
        <w:spacing w:before="0" w:after="120" w:line="360" w:lineRule="auto"/>
      </w:pPr>
      <w:bookmarkStart w:id="0" w:name="_Toc227239410"/>
      <w:r w:rsidRPr="00A6518A">
        <w:t>3.1 The Maine Unfair Trade Practices Act</w:t>
      </w:r>
      <w:bookmarkEnd w:id="0"/>
    </w:p>
    <w:p w14:paraId="4146671D" w14:textId="461BEF45" w:rsidR="00CB4007" w:rsidRPr="00A6518A" w:rsidRDefault="00EE2550" w:rsidP="006E3A8D">
      <w:r w:rsidRPr="00A6518A">
        <w:t>The Maine Unfair Trade Practices Act (UTPA)</w:t>
      </w:r>
      <w:r w:rsidR="00CB4007" w:rsidRPr="00C03B6A">
        <w:rPr>
          <w:rStyle w:val="FootnoteReference"/>
        </w:rPr>
        <w:footnoteReference w:id="1"/>
      </w:r>
      <w:r w:rsidR="00CB4007" w:rsidRPr="00A6518A">
        <w:t xml:space="preserve"> prohibits unfair and deceptive practices in trade or commerce.</w:t>
      </w:r>
      <w:r w:rsidR="00CB4007">
        <w:t xml:space="preserve"> </w:t>
      </w:r>
      <w:r w:rsidR="00CB4007" w:rsidRPr="00A6518A">
        <w:t xml:space="preserve">The Attorney General </w:t>
      </w:r>
      <w:r w:rsidR="00CB4007">
        <w:t xml:space="preserve">may investigate and file a lawsuit under </w:t>
      </w:r>
      <w:r w:rsidR="00CB4007" w:rsidRPr="00A6518A">
        <w:t xml:space="preserve">this law when </w:t>
      </w:r>
      <w:r w:rsidR="00CB4007">
        <w:t>they</w:t>
      </w:r>
      <w:r w:rsidR="00CB4007" w:rsidRPr="00A6518A">
        <w:t xml:space="preserve"> determine that an enforcement action would be in the public interest.</w:t>
      </w:r>
      <w:r w:rsidR="00CB4007" w:rsidRPr="00446792">
        <w:rPr>
          <w:rStyle w:val="FootnoteReference"/>
        </w:rPr>
        <w:footnoteReference w:id="2"/>
      </w:r>
      <w:r w:rsidR="00CB4007">
        <w:t xml:space="preserve"> </w:t>
      </w:r>
    </w:p>
    <w:p w14:paraId="44EE986E" w14:textId="3A279988" w:rsidR="00CB4007" w:rsidRDefault="00CB4007" w:rsidP="007B0912">
      <w:pPr>
        <w:spacing w:line="240" w:lineRule="auto"/>
      </w:pPr>
      <w:r>
        <w:t>In addition to the Attorney General’s right to bring a lawsuit, you may also have the right to sue,</w:t>
      </w:r>
      <w:r>
        <w:rPr>
          <w:rStyle w:val="FootnoteReference"/>
        </w:rPr>
        <w:footnoteReference w:id="3"/>
      </w:r>
      <w:r>
        <w:t xml:space="preserve"> but that right is limited to consumer transactions that are “primarily for personal, family or </w:t>
      </w:r>
      <w:r>
        <w:lastRenderedPageBreak/>
        <w:t>household purposes.” If you lose money or property as a result of a business’ use of an unfair or deceptive practice, you may file a lawsuit</w:t>
      </w:r>
      <w:r>
        <w:rPr>
          <w:rStyle w:val="FootnoteReference"/>
        </w:rPr>
        <w:footnoteReference w:id="4"/>
      </w:r>
      <w:r>
        <w:t xml:space="preserve"> for reimbursement and other remedies. Pursuant to the Maine Statute of Limitations, you may not file a private lawsuit later than 6 years of the unfair or deceptive practice that led to your losses.</w:t>
      </w:r>
    </w:p>
    <w:p w14:paraId="105A8616" w14:textId="63AA5D53" w:rsidR="00CB4007" w:rsidRDefault="00CB4007" w:rsidP="007B0912">
      <w:pPr>
        <w:spacing w:line="240" w:lineRule="auto"/>
      </w:pPr>
      <w:r>
        <w:t>The private lawsuit provision is designed to encourage early settlement of disputes by requiring you to give the business a written demand for relief, describing the unfair or deceptive acts complained of and the losses claimed,</w:t>
      </w:r>
      <w:r>
        <w:rPr>
          <w:rStyle w:val="FootnoteReference"/>
        </w:rPr>
        <w:footnoteReference w:id="5"/>
      </w:r>
      <w:r>
        <w:t xml:space="preserve"> at least 30 days prior to filing the lawsuit.</w:t>
      </w:r>
      <w:r>
        <w:rPr>
          <w:rStyle w:val="FootnoteReference"/>
        </w:rPr>
        <w:footnoteReference w:id="6"/>
      </w:r>
      <w:r>
        <w:t xml:space="preserve"> The demand should be mailed or delivered to the business at the business’s last known address. You should keep a copy of your demand. Failure to give this written demand prior to filing suit could limit your right to attorney’s fees and costs.</w:t>
      </w:r>
      <w:r>
        <w:rPr>
          <w:rStyle w:val="FootnoteReference"/>
        </w:rPr>
        <w:footnoteReference w:id="7"/>
      </w:r>
      <w:r>
        <w:t xml:space="preserve"> </w:t>
      </w:r>
    </w:p>
    <w:p w14:paraId="7BD6B076" w14:textId="5ED23665" w:rsidR="00CB4007" w:rsidRDefault="00CB4007" w:rsidP="006E3A8D">
      <w:r>
        <w:t>The business may make a written settlement offer in response to the demand, which you can accept or decline. If you file a lawsuit and prevail, you may recover attorney’s fees</w:t>
      </w:r>
      <w:r>
        <w:rPr>
          <w:rStyle w:val="FootnoteReference"/>
        </w:rPr>
        <w:footnoteReference w:id="8"/>
      </w:r>
      <w:r>
        <w:t xml:space="preserve"> and costs of suit.</w:t>
      </w:r>
      <w:r>
        <w:rPr>
          <w:rStyle w:val="FootnoteReference"/>
        </w:rPr>
        <w:footnoteReference w:id="9"/>
      </w:r>
      <w:r>
        <w:t xml:space="preserve"> However, if you decline the business’ settlement offer and later obtain a judgment from the court that is less than the settlement offer, you may not recover attorney’s fees and costs incurred after the date the business made its offer.</w:t>
      </w:r>
      <w:r>
        <w:rPr>
          <w:rStyle w:val="FootnoteReference"/>
        </w:rPr>
        <w:footnoteReference w:id="10"/>
      </w:r>
    </w:p>
    <w:p w14:paraId="763CA117" w14:textId="3D4DA214" w:rsidR="00CB4007" w:rsidRDefault="00CB4007" w:rsidP="006E3A8D">
      <w:pPr>
        <w:pStyle w:val="Heading1"/>
        <w:spacing w:before="0" w:after="120" w:line="360" w:lineRule="auto"/>
      </w:pPr>
      <w:bookmarkStart w:id="1" w:name="_Toc227239411"/>
      <w:r>
        <w:t>3.2 What Trade Practices Are Unfair?</w:t>
      </w:r>
      <w:bookmarkEnd w:id="1"/>
    </w:p>
    <w:p w14:paraId="0EFCE3DF" w14:textId="7510C2E7" w:rsidR="00CB4007" w:rsidRDefault="00CB4007" w:rsidP="006E3A8D">
      <w:r>
        <w:t>The Maine UTPA is modeled after the Federal Trade Commission (FTC) Act.</w:t>
      </w:r>
      <w:r>
        <w:rPr>
          <w:rStyle w:val="FootnoteReference"/>
        </w:rPr>
        <w:footnoteReference w:id="11"/>
      </w:r>
      <w:r>
        <w:t xml:space="preserve"> Maine law provides that Maine courts are to be guided by the decisions of the federal courts and the FTC in determining whether an act or practice is unfair or deceptive.</w:t>
      </w:r>
      <w:r>
        <w:rPr>
          <w:rStyle w:val="FootnoteReference"/>
        </w:rPr>
        <w:footnoteReference w:id="12"/>
      </w:r>
    </w:p>
    <w:p w14:paraId="16BEA6E0" w14:textId="6DC0A058" w:rsidR="00CB4007" w:rsidRDefault="00CB4007" w:rsidP="006E3A8D">
      <w:r>
        <w:t>The Maine courts have adopted the FTC’s three-part test for unfairness. An act or practice is unfair if the following requirements are met:</w:t>
      </w:r>
      <w:r>
        <w:rPr>
          <w:rStyle w:val="FootnoteReference"/>
        </w:rPr>
        <w:footnoteReference w:id="13"/>
      </w:r>
    </w:p>
    <w:p w14:paraId="433167AA" w14:textId="0B412345" w:rsidR="00CB4007" w:rsidRDefault="00CB4007" w:rsidP="006E3A8D">
      <w:pPr>
        <w:pStyle w:val="ListParagraph"/>
        <w:numPr>
          <w:ilvl w:val="0"/>
          <w:numId w:val="1"/>
        </w:numPr>
      </w:pPr>
      <w:r>
        <w:t>It must cause, or be likely to cause, substantial injury to consumers;</w:t>
      </w:r>
    </w:p>
    <w:p w14:paraId="4EE82BA7" w14:textId="7AAC687C" w:rsidR="00CB4007" w:rsidRDefault="00CB4007" w:rsidP="006E3A8D">
      <w:pPr>
        <w:pStyle w:val="ListParagraph"/>
        <w:numPr>
          <w:ilvl w:val="0"/>
          <w:numId w:val="1"/>
        </w:numPr>
      </w:pPr>
      <w:r>
        <w:t>It must not be outweighed by countervailing benefits to consumers or competition; and</w:t>
      </w:r>
    </w:p>
    <w:p w14:paraId="3BDF7E15" w14:textId="0C58D12A" w:rsidR="00CB4007" w:rsidRDefault="00CB4007" w:rsidP="006E3A8D">
      <w:pPr>
        <w:pStyle w:val="ListParagraph"/>
        <w:numPr>
          <w:ilvl w:val="0"/>
          <w:numId w:val="1"/>
        </w:numPr>
      </w:pPr>
      <w:r>
        <w:lastRenderedPageBreak/>
        <w:t xml:space="preserve">It must not be reasonably avoidable by consumers. </w:t>
      </w:r>
    </w:p>
    <w:p w14:paraId="07F4D25C" w14:textId="1411B090" w:rsidR="00CB4007" w:rsidRDefault="00CB4007" w:rsidP="006E3A8D">
      <w:pPr>
        <w:pStyle w:val="Heading1"/>
        <w:spacing w:before="0" w:after="120" w:line="360" w:lineRule="auto"/>
      </w:pPr>
      <w:bookmarkStart w:id="2" w:name="_Toc227239412"/>
      <w:r>
        <w:t>3.3 What Trade Practices Are Deceptive?</w:t>
      </w:r>
      <w:bookmarkEnd w:id="2"/>
    </w:p>
    <w:p w14:paraId="5636C805" w14:textId="2805A747" w:rsidR="00CB4007" w:rsidRDefault="00CB4007" w:rsidP="006E3A8D">
      <w:r>
        <w:t>Maine courts have also adopted the FTC’s test for deception. An act or practice is deceptive if it is a material representation, omission, act or practice that is likely to mislead consumers acting reasonably under the circumstance</w:t>
      </w:r>
      <w:r w:rsidR="000B32DF">
        <w:t>s.</w:t>
      </w:r>
      <w:r>
        <w:t xml:space="preserve"> “Material” means important to consumers and, hence, likely to affect their choice of, or conduct regarding, a product.</w:t>
      </w:r>
    </w:p>
    <w:p w14:paraId="1F09190E" w14:textId="2ED07FB1" w:rsidR="00CB4007" w:rsidRDefault="00CB4007" w:rsidP="006E3A8D">
      <w:r>
        <w:t>A trade practice may be deceptive, within the meaning of the UTPA even if the defendant had no intent to deceive.</w:t>
      </w:r>
    </w:p>
    <w:p w14:paraId="5168B9D2" w14:textId="74F0B0C7" w:rsidR="00EE2550" w:rsidRDefault="00EE2550" w:rsidP="006E3A8D">
      <w:pPr>
        <w:pStyle w:val="Heading1"/>
        <w:spacing w:before="0" w:after="120" w:line="360" w:lineRule="auto"/>
      </w:pPr>
      <w:bookmarkStart w:id="3" w:name="_Toc227239413"/>
      <w:r>
        <w:t>3.4 Statutory Violations of the Unfair Trade Practices Act</w:t>
      </w:r>
      <w:bookmarkEnd w:id="3"/>
    </w:p>
    <w:p w14:paraId="79A8B907" w14:textId="785BBF7B" w:rsidR="00EE2550" w:rsidRDefault="00EE2550" w:rsidP="00384088">
      <w:r>
        <w:t>Often, when enacting a statute that prohibits a particular commercial practice, the Maine Legislature will expressly state that violation of that statute is a violation (or is prima facie, or presumptive, evidence of a violation) of the UTPA.</w:t>
      </w:r>
      <w:r w:rsidR="0023169E">
        <w:t xml:space="preserve"> </w:t>
      </w:r>
      <w:r w:rsidR="00DB0870">
        <w:t>In those instances, evidence of unfairness or deception may not be necessary.</w:t>
      </w:r>
      <w:r>
        <w:t xml:space="preserve"> </w:t>
      </w:r>
    </w:p>
    <w:p w14:paraId="1F512E35" w14:textId="0E942E1C" w:rsidR="00EE2550" w:rsidRDefault="00EE2550" w:rsidP="006E3A8D">
      <w:pPr>
        <w:pStyle w:val="Heading1"/>
        <w:spacing w:before="0" w:after="120" w:line="360" w:lineRule="auto"/>
      </w:pPr>
      <w:bookmarkStart w:id="4" w:name="_Toc227239414"/>
      <w:r>
        <w:t>3.5 Sample UTPA Demand for Relief Letter</w:t>
      </w:r>
      <w:bookmarkEnd w:id="4"/>
    </w:p>
    <w:p w14:paraId="5E5C73EF" w14:textId="199C0B79" w:rsidR="00EE2550" w:rsidRDefault="00937D3E" w:rsidP="006E3A8D">
      <w:r>
        <w:t>D</w:t>
      </w:r>
      <w:r w:rsidR="00EE2550">
        <w:t>ate</w:t>
      </w:r>
    </w:p>
    <w:p w14:paraId="1BD88153" w14:textId="65B9AC81" w:rsidR="00EE2550" w:rsidRDefault="00EE2550" w:rsidP="006E3A8D">
      <w:r>
        <w:t xml:space="preserve">Name of </w:t>
      </w:r>
      <w:r w:rsidR="00374EE8">
        <w:t>Business</w:t>
      </w:r>
    </w:p>
    <w:p w14:paraId="5BE61D66" w14:textId="71D30F08" w:rsidR="00EE2550" w:rsidRDefault="00391065" w:rsidP="006E3A8D">
      <w:r>
        <w:t>Business</w:t>
      </w:r>
      <w:r w:rsidR="00EE2550">
        <w:t xml:space="preserve"> Address</w:t>
      </w:r>
    </w:p>
    <w:p w14:paraId="529FBE4C" w14:textId="0736619D" w:rsidR="00EE2550" w:rsidRDefault="00EE2550" w:rsidP="006E3A8D">
      <w:r>
        <w:t xml:space="preserve">Dear </w:t>
      </w:r>
      <w:r w:rsidR="00374EE8">
        <w:t>Business</w:t>
      </w:r>
      <w:r>
        <w:t>:</w:t>
      </w:r>
    </w:p>
    <w:p w14:paraId="5554549B" w14:textId="77777777" w:rsidR="00EE2550" w:rsidRDefault="00EE2550" w:rsidP="006E3A8D">
      <w:r>
        <w:t>Under the provisions of the Maine Unfair Trade Practices Act, 5 M.R.S.§ 213, I hereby make written demand for relief as outlined in that statute.</w:t>
      </w:r>
    </w:p>
    <w:p w14:paraId="1F3EA6D6" w14:textId="77777777" w:rsidR="00EE2550" w:rsidRDefault="00EE2550" w:rsidP="006E3A8D">
      <w:r>
        <w:t>On or about [date], the following unfair or deceptive act occurred:</w:t>
      </w:r>
    </w:p>
    <w:p w14:paraId="41932221" w14:textId="77777777" w:rsidR="00EE2550" w:rsidRDefault="00EE2550" w:rsidP="006E3A8D">
      <w:r>
        <w:t>[Explain what happened.]</w:t>
      </w:r>
    </w:p>
    <w:p w14:paraId="44912348" w14:textId="77777777" w:rsidR="00EE2550" w:rsidRDefault="00EE2550" w:rsidP="006E3A8D">
      <w:r>
        <w:t xml:space="preserve">I believe your actions in this matter violate the Maine Unfair Trade Practices Act, </w:t>
      </w:r>
    </w:p>
    <w:p w14:paraId="0F034C16" w14:textId="5A142494" w:rsidR="00EE2550" w:rsidRDefault="00EE2550" w:rsidP="006E3A8D">
      <w:r>
        <w:t>5 M.R.S. § 207.</w:t>
      </w:r>
      <w:r w:rsidR="0023169E">
        <w:t xml:space="preserve"> </w:t>
      </w:r>
      <w:r>
        <w:t>As a result of this unfair or deceptive act or practice, I suffered loss of money or property as follows:</w:t>
      </w:r>
    </w:p>
    <w:p w14:paraId="0C8AB40C" w14:textId="77777777" w:rsidR="00EE2550" w:rsidRDefault="00EE2550" w:rsidP="006E3A8D">
      <w:r>
        <w:t>[Indicate money or property (real or personal) loss.]</w:t>
      </w:r>
    </w:p>
    <w:p w14:paraId="4029F1D9" w14:textId="77777777" w:rsidR="00EE2550" w:rsidRDefault="00EE2550" w:rsidP="006E3A8D">
      <w:r>
        <w:t>Therefore, I hereby demand the following relief:</w:t>
      </w:r>
    </w:p>
    <w:p w14:paraId="242FE23B" w14:textId="77777777" w:rsidR="00EE2550" w:rsidRDefault="00EE2550" w:rsidP="006E3A8D">
      <w:r>
        <w:t>[Indicate the relief, or payment for damages, which you seek.]</w:t>
      </w:r>
    </w:p>
    <w:p w14:paraId="5C06C773" w14:textId="1DA5227C" w:rsidR="00EE2550" w:rsidRDefault="00EE2550" w:rsidP="006E3A8D">
      <w:r>
        <w:lastRenderedPageBreak/>
        <w:t>The Maine Unfair Trade Practices Act gives you the opportunity to make a good faith written offer of settlement in response to this letter within</w:t>
      </w:r>
      <w:r w:rsidR="00937D3E">
        <w:t xml:space="preserve"> </w:t>
      </w:r>
      <w:r>
        <w:t>30 days.</w:t>
      </w:r>
      <w:r w:rsidR="0023169E">
        <w:t xml:space="preserve"> </w:t>
      </w:r>
      <w:r>
        <w:t>Your failure to do so could subject you to a judgment for actual damages, restitution, an injunction, attorney’s fee and costs if I file a lawsuit.</w:t>
      </w:r>
    </w:p>
    <w:p w14:paraId="0B1E74B3" w14:textId="77777777" w:rsidR="00EE2550" w:rsidRDefault="00EE2550" w:rsidP="006E3A8D">
      <w:r>
        <w:t>Sincerely,</w:t>
      </w:r>
    </w:p>
    <w:p w14:paraId="1B9BE9A1" w14:textId="77777777" w:rsidR="00EE2550" w:rsidRDefault="00EE2550" w:rsidP="006E3A8D">
      <w:r>
        <w:t>Your name</w:t>
      </w:r>
      <w:r>
        <w:tab/>
      </w:r>
    </w:p>
    <w:p w14:paraId="475E8507" w14:textId="77777777" w:rsidR="00EE2550" w:rsidRDefault="00EE2550" w:rsidP="006E3A8D">
      <w:r>
        <w:t>Your address</w:t>
      </w:r>
    </w:p>
    <w:p w14:paraId="10223896" w14:textId="77777777" w:rsidR="00EE2550" w:rsidRDefault="00EE2550" w:rsidP="006E3A8D">
      <w:r>
        <w:t>Your telephone number</w:t>
      </w:r>
    </w:p>
    <w:sectPr w:rsidR="00EE2550" w:rsidSect="000B32DF">
      <w:endnotePr>
        <w:numFmt w:val="decimal"/>
      </w:endnotePr>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88735" w14:textId="77777777" w:rsidR="0076438C" w:rsidRDefault="0076438C" w:rsidP="00A6518A">
      <w:r>
        <w:separator/>
      </w:r>
    </w:p>
  </w:endnote>
  <w:endnote w:type="continuationSeparator" w:id="0">
    <w:p w14:paraId="503ECD4A" w14:textId="77777777" w:rsidR="0076438C" w:rsidRDefault="0076438C" w:rsidP="00A65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B1BB1" w14:textId="77777777" w:rsidR="0076438C" w:rsidRDefault="0076438C" w:rsidP="00A6518A">
      <w:r>
        <w:separator/>
      </w:r>
    </w:p>
  </w:footnote>
  <w:footnote w:type="continuationSeparator" w:id="0">
    <w:p w14:paraId="62F7DCD5" w14:textId="77777777" w:rsidR="0076438C" w:rsidRDefault="0076438C" w:rsidP="00A6518A">
      <w:r>
        <w:continuationSeparator/>
      </w:r>
    </w:p>
  </w:footnote>
  <w:footnote w:id="1">
    <w:p w14:paraId="05132653" w14:textId="6055E2EC" w:rsidR="00CB4007" w:rsidRDefault="00CB4007" w:rsidP="00A6518A">
      <w:pPr>
        <w:pStyle w:val="Heading1"/>
      </w:pPr>
      <w:r>
        <w:t>Endnotes</w:t>
      </w:r>
    </w:p>
    <w:p w14:paraId="3AEE67DF" w14:textId="5B025F69" w:rsidR="00CB4007" w:rsidRPr="00C66C2F" w:rsidRDefault="00CB4007" w:rsidP="00A6518A">
      <w:pPr>
        <w:pStyle w:val="FootnoteText"/>
        <w:rPr>
          <w:sz w:val="24"/>
          <w:szCs w:val="24"/>
        </w:rPr>
      </w:pPr>
      <w:r w:rsidRPr="009B38D4">
        <w:rPr>
          <w:rStyle w:val="FootnoteReference"/>
          <w:sz w:val="24"/>
          <w:szCs w:val="24"/>
        </w:rPr>
        <w:footnoteRef/>
      </w:r>
      <w:r w:rsidRPr="00C66C2F">
        <w:rPr>
          <w:sz w:val="24"/>
          <w:szCs w:val="24"/>
        </w:rPr>
        <w:t xml:space="preserve"> 5 M.R.S. §§ 205-A - 214.</w:t>
      </w:r>
    </w:p>
  </w:footnote>
  <w:footnote w:id="2">
    <w:p w14:paraId="48B3E742" w14:textId="46C4295C" w:rsidR="00CB4007" w:rsidRPr="00C66C2F" w:rsidRDefault="00CB4007" w:rsidP="00A6518A">
      <w:pPr>
        <w:pStyle w:val="FootnoteText"/>
        <w:rPr>
          <w:sz w:val="24"/>
          <w:szCs w:val="24"/>
        </w:rPr>
      </w:pPr>
      <w:r w:rsidRPr="009B38D4">
        <w:rPr>
          <w:rStyle w:val="FootnoteReference"/>
          <w:sz w:val="24"/>
          <w:szCs w:val="24"/>
        </w:rPr>
        <w:footnoteRef/>
      </w:r>
      <w:r w:rsidRPr="00C66C2F">
        <w:rPr>
          <w:sz w:val="24"/>
          <w:szCs w:val="24"/>
        </w:rPr>
        <w:t xml:space="preserve"> 5 M.R.S. § 209.</w:t>
      </w:r>
    </w:p>
  </w:footnote>
  <w:footnote w:id="3">
    <w:p w14:paraId="6C023E97" w14:textId="11082F1F" w:rsidR="00CB4007" w:rsidRPr="00C66C2F" w:rsidRDefault="00CB4007" w:rsidP="00A6518A">
      <w:pPr>
        <w:pStyle w:val="CLGendnotes"/>
        <w:rPr>
          <w:rFonts w:asciiTheme="minorHAnsi" w:hAnsiTheme="minorHAnsi"/>
        </w:rPr>
      </w:pPr>
      <w:r w:rsidRPr="00C66C2F">
        <w:rPr>
          <w:rStyle w:val="FootnoteReference"/>
          <w:rFonts w:asciiTheme="minorHAnsi" w:hAnsiTheme="minorHAnsi"/>
        </w:rPr>
        <w:footnoteRef/>
      </w:r>
      <w:r w:rsidRPr="00C66C2F">
        <w:rPr>
          <w:rFonts w:asciiTheme="minorHAnsi" w:hAnsiTheme="minorHAnsi"/>
        </w:rPr>
        <w:t xml:space="preserve"> 5 M.R.S. § 213.</w:t>
      </w:r>
      <w:r>
        <w:rPr>
          <w:rFonts w:asciiTheme="minorHAnsi" w:hAnsiTheme="minorHAnsi"/>
        </w:rPr>
        <w:t xml:space="preserve"> </w:t>
      </w:r>
      <w:r w:rsidRPr="00C66C2F">
        <w:rPr>
          <w:rFonts w:asciiTheme="minorHAnsi" w:hAnsiTheme="minorHAnsi"/>
        </w:rPr>
        <w:t>While the UTPA is modeled on the Federal Trade Commission Act, 15 U.S.C. § 45(a)(1), there is no federal analog to the private right of action provision.</w:t>
      </w:r>
    </w:p>
  </w:footnote>
  <w:footnote w:id="4">
    <w:p w14:paraId="667F47BC" w14:textId="30D29CEF" w:rsidR="00CB4007" w:rsidRPr="00C66C2F" w:rsidRDefault="00CB4007" w:rsidP="00A6518A">
      <w:pPr>
        <w:pStyle w:val="CLGendnotes"/>
        <w:rPr>
          <w:rFonts w:asciiTheme="minorHAnsi" w:hAnsiTheme="minorHAnsi"/>
        </w:rPr>
      </w:pPr>
      <w:r w:rsidRPr="00C66C2F">
        <w:rPr>
          <w:rStyle w:val="FootnoteReference"/>
          <w:rFonts w:asciiTheme="minorHAnsi" w:hAnsiTheme="minorHAnsi"/>
        </w:rPr>
        <w:footnoteRef/>
      </w:r>
      <w:r w:rsidRPr="00C66C2F">
        <w:rPr>
          <w:rFonts w:asciiTheme="minorHAnsi" w:hAnsiTheme="minorHAnsi"/>
        </w:rPr>
        <w:t xml:space="preserve"> The lawsuit can be brought in District Court or Superior Court.</w:t>
      </w:r>
      <w:r>
        <w:rPr>
          <w:rFonts w:asciiTheme="minorHAnsi" w:hAnsiTheme="minorHAnsi"/>
        </w:rPr>
        <w:t xml:space="preserve"> </w:t>
      </w:r>
      <w:r w:rsidRPr="00C66C2F">
        <w:rPr>
          <w:rFonts w:asciiTheme="minorHAnsi" w:hAnsiTheme="minorHAnsi"/>
        </w:rPr>
        <w:t>There is a right to a jury trial in an action brought in Superior Court.</w:t>
      </w:r>
      <w:r>
        <w:rPr>
          <w:rFonts w:asciiTheme="minorHAnsi" w:hAnsiTheme="minorHAnsi"/>
        </w:rPr>
        <w:t xml:space="preserve"> </w:t>
      </w:r>
      <w:r w:rsidRPr="00C66C2F">
        <w:rPr>
          <w:rFonts w:asciiTheme="minorHAnsi" w:hAnsiTheme="minorHAnsi"/>
        </w:rPr>
        <w:t>5 M.R.S. § 213(1).</w:t>
      </w:r>
    </w:p>
  </w:footnote>
  <w:footnote w:id="5">
    <w:p w14:paraId="69D0E116" w14:textId="3EFAA6D3" w:rsidR="00CB4007" w:rsidRPr="00C66C2F" w:rsidRDefault="00CB4007" w:rsidP="00A6518A">
      <w:pPr>
        <w:pStyle w:val="CLGendnotes"/>
        <w:rPr>
          <w:rFonts w:asciiTheme="minorHAnsi" w:hAnsiTheme="minorHAnsi"/>
        </w:rPr>
      </w:pPr>
      <w:r w:rsidRPr="00C66C2F">
        <w:rPr>
          <w:rStyle w:val="FootnoteReference"/>
          <w:rFonts w:asciiTheme="minorHAnsi" w:hAnsiTheme="minorHAnsi"/>
        </w:rPr>
        <w:footnoteRef/>
      </w:r>
      <w:r w:rsidRPr="00C66C2F">
        <w:rPr>
          <w:rFonts w:asciiTheme="minorHAnsi" w:hAnsiTheme="minorHAnsi"/>
        </w:rPr>
        <w:t xml:space="preserve"> The notice must include a demand for monetary relief and identify any unfair trade practices or deceptive acts.</w:t>
      </w:r>
    </w:p>
  </w:footnote>
  <w:footnote w:id="6">
    <w:p w14:paraId="494C41C9" w14:textId="77777777" w:rsidR="00CB4007" w:rsidRPr="00C66C2F" w:rsidRDefault="00CB4007" w:rsidP="00A6518A">
      <w:pPr>
        <w:pStyle w:val="CLGendnotes"/>
        <w:rPr>
          <w:rFonts w:asciiTheme="minorHAnsi" w:hAnsiTheme="minorHAnsi"/>
        </w:rPr>
      </w:pPr>
      <w:r w:rsidRPr="00C66C2F">
        <w:rPr>
          <w:rStyle w:val="FootnoteReference"/>
          <w:rFonts w:asciiTheme="minorHAnsi" w:hAnsiTheme="minorHAnsi"/>
        </w:rPr>
        <w:footnoteRef/>
      </w:r>
      <w:r w:rsidRPr="00C66C2F">
        <w:rPr>
          <w:rFonts w:asciiTheme="minorHAnsi" w:hAnsiTheme="minorHAnsi"/>
        </w:rPr>
        <w:t xml:space="preserve"> 5 M.R.S. § 213(1-A).</w:t>
      </w:r>
    </w:p>
  </w:footnote>
  <w:footnote w:id="7">
    <w:p w14:paraId="54707009" w14:textId="097D2666" w:rsidR="00CB4007" w:rsidRPr="00C66C2F" w:rsidRDefault="00CB4007" w:rsidP="00A6518A">
      <w:pPr>
        <w:pStyle w:val="CLGendnotes"/>
        <w:rPr>
          <w:rFonts w:asciiTheme="minorHAnsi" w:hAnsiTheme="minorHAnsi"/>
        </w:rPr>
      </w:pPr>
      <w:r w:rsidRPr="00C66C2F">
        <w:rPr>
          <w:rStyle w:val="FootnoteReference"/>
          <w:rFonts w:asciiTheme="minorHAnsi" w:hAnsiTheme="minorHAnsi"/>
        </w:rPr>
        <w:footnoteRef/>
      </w:r>
      <w:r w:rsidRPr="00C66C2F">
        <w:rPr>
          <w:rFonts w:asciiTheme="minorHAnsi" w:hAnsiTheme="minorHAnsi"/>
        </w:rPr>
        <w:t xml:space="preserve"> Failure to give the section 213(1-A) written notice of claim is not a defense to the claim, but it may be raised as a defense to a claim for attorney’s fees.</w:t>
      </w:r>
    </w:p>
  </w:footnote>
  <w:footnote w:id="8">
    <w:p w14:paraId="52F7F677" w14:textId="45DB1EFC" w:rsidR="00CB4007" w:rsidRPr="00C66C2F" w:rsidRDefault="00CB4007" w:rsidP="00A6518A">
      <w:pPr>
        <w:pStyle w:val="CLGendnotes"/>
        <w:rPr>
          <w:rFonts w:asciiTheme="minorHAnsi" w:hAnsiTheme="minorHAnsi"/>
        </w:rPr>
      </w:pPr>
      <w:r w:rsidRPr="00C66C2F">
        <w:rPr>
          <w:rStyle w:val="FootnoteReference"/>
          <w:rFonts w:asciiTheme="minorHAnsi" w:hAnsiTheme="minorHAnsi"/>
        </w:rPr>
        <w:footnoteRef/>
      </w:r>
      <w:r w:rsidRPr="00C66C2F">
        <w:rPr>
          <w:rFonts w:asciiTheme="minorHAnsi" w:hAnsiTheme="minorHAnsi"/>
        </w:rPr>
        <w:t xml:space="preserve"> Attorney fees under the UTPA are analyzed using the same methods as courts use in cases involving the federal civil rights attorney fee provision.</w:t>
      </w:r>
      <w:r>
        <w:rPr>
          <w:rFonts w:asciiTheme="minorHAnsi" w:hAnsiTheme="minorHAnsi"/>
        </w:rPr>
        <w:t xml:space="preserve"> </w:t>
      </w:r>
    </w:p>
  </w:footnote>
  <w:footnote w:id="9">
    <w:p w14:paraId="39DA9D2A" w14:textId="77777777" w:rsidR="00CB4007" w:rsidRPr="00C66C2F" w:rsidRDefault="00CB4007" w:rsidP="00A6518A">
      <w:pPr>
        <w:pStyle w:val="CLGendnotes"/>
        <w:rPr>
          <w:rFonts w:asciiTheme="minorHAnsi" w:hAnsiTheme="minorHAnsi"/>
        </w:rPr>
      </w:pPr>
      <w:r w:rsidRPr="00C66C2F">
        <w:rPr>
          <w:rStyle w:val="FootnoteReference"/>
          <w:rFonts w:asciiTheme="minorHAnsi" w:hAnsiTheme="minorHAnsi"/>
        </w:rPr>
        <w:footnoteRef/>
      </w:r>
      <w:r w:rsidRPr="00C66C2F">
        <w:rPr>
          <w:rFonts w:asciiTheme="minorHAnsi" w:hAnsiTheme="minorHAnsi"/>
        </w:rPr>
        <w:t xml:space="preserve"> 5 M.R.S. § 213(2).</w:t>
      </w:r>
    </w:p>
  </w:footnote>
  <w:footnote w:id="10">
    <w:p w14:paraId="028E16BC" w14:textId="5054B1C9" w:rsidR="00CB4007" w:rsidRPr="00C66C2F" w:rsidRDefault="00CB4007" w:rsidP="00A6518A">
      <w:pPr>
        <w:pStyle w:val="CLGendnotes"/>
        <w:rPr>
          <w:rFonts w:asciiTheme="minorHAnsi" w:hAnsiTheme="minorHAnsi"/>
        </w:rPr>
      </w:pPr>
      <w:r w:rsidRPr="00C66C2F">
        <w:rPr>
          <w:rStyle w:val="FootnoteReference"/>
          <w:rFonts w:asciiTheme="minorHAnsi" w:hAnsiTheme="minorHAnsi"/>
        </w:rPr>
        <w:footnoteRef/>
      </w:r>
      <w:r w:rsidRPr="00C66C2F">
        <w:rPr>
          <w:rFonts w:asciiTheme="minorHAnsi" w:hAnsiTheme="minorHAnsi"/>
        </w:rPr>
        <w:t xml:space="preserve"> 5 M.R.S. § 213(1-A). </w:t>
      </w:r>
    </w:p>
  </w:footnote>
  <w:footnote w:id="11">
    <w:p w14:paraId="3FC06A12" w14:textId="2AFD6E88" w:rsidR="00CB4007" w:rsidRPr="00C66C2F" w:rsidRDefault="00CB4007">
      <w:pPr>
        <w:pStyle w:val="FootnoteText"/>
        <w:rPr>
          <w:sz w:val="24"/>
          <w:szCs w:val="24"/>
        </w:rPr>
      </w:pPr>
      <w:r w:rsidRPr="00C66C2F">
        <w:rPr>
          <w:rStyle w:val="FootnoteReference"/>
          <w:sz w:val="24"/>
          <w:szCs w:val="24"/>
        </w:rPr>
        <w:footnoteRef/>
      </w:r>
      <w:r w:rsidRPr="00C66C2F">
        <w:rPr>
          <w:sz w:val="24"/>
          <w:szCs w:val="24"/>
        </w:rPr>
        <w:t xml:space="preserve"> 15 U.S.C. § 45(a)(1).</w:t>
      </w:r>
    </w:p>
  </w:footnote>
  <w:footnote w:id="12">
    <w:p w14:paraId="48E1FDE1" w14:textId="77777777" w:rsidR="00CB4007" w:rsidRPr="00C66C2F" w:rsidRDefault="00CB4007" w:rsidP="00A6518A">
      <w:pPr>
        <w:pStyle w:val="CLGendnotes"/>
        <w:rPr>
          <w:rFonts w:asciiTheme="minorHAnsi" w:hAnsiTheme="minorHAnsi"/>
        </w:rPr>
      </w:pPr>
      <w:r w:rsidRPr="00C66C2F">
        <w:rPr>
          <w:rStyle w:val="FootnoteReference"/>
          <w:rFonts w:asciiTheme="minorHAnsi" w:hAnsiTheme="minorHAnsi"/>
        </w:rPr>
        <w:footnoteRef/>
      </w:r>
      <w:r w:rsidRPr="00C66C2F">
        <w:rPr>
          <w:rFonts w:asciiTheme="minorHAnsi" w:hAnsiTheme="minorHAnsi"/>
        </w:rPr>
        <w:t xml:space="preserve"> </w:t>
      </w:r>
      <w:r w:rsidRPr="00C66C2F">
        <w:rPr>
          <w:rFonts w:asciiTheme="minorHAnsi" w:hAnsiTheme="minorHAnsi"/>
          <w:i/>
          <w:iCs/>
        </w:rPr>
        <w:t>See</w:t>
      </w:r>
      <w:r w:rsidRPr="00C66C2F">
        <w:rPr>
          <w:rFonts w:asciiTheme="minorHAnsi" w:hAnsiTheme="minorHAnsi"/>
        </w:rPr>
        <w:t xml:space="preserve"> 5 M.R.S. § 207(1).</w:t>
      </w:r>
    </w:p>
  </w:footnote>
  <w:footnote w:id="13">
    <w:p w14:paraId="64DD482B" w14:textId="1AB8A876" w:rsidR="00CB4007" w:rsidRPr="00C66C2F" w:rsidRDefault="00CB4007" w:rsidP="00A6518A">
      <w:pPr>
        <w:pStyle w:val="CLGendnotes"/>
        <w:rPr>
          <w:rFonts w:asciiTheme="minorHAnsi" w:hAnsiTheme="minorHAnsi"/>
        </w:rPr>
      </w:pPr>
      <w:r w:rsidRPr="00C66C2F">
        <w:rPr>
          <w:rStyle w:val="FootnoteReference"/>
          <w:rFonts w:asciiTheme="minorHAnsi" w:hAnsiTheme="minorHAnsi"/>
        </w:rPr>
        <w:footnoteRef/>
      </w:r>
      <w:r w:rsidRPr="00C66C2F">
        <w:rPr>
          <w:rFonts w:asciiTheme="minorHAnsi" w:hAnsiTheme="minorHAnsi"/>
        </w:rPr>
        <w:t xml:space="preserve"> The sale of defectively constructed houses satisfies the requirements of the unfairness test</w:t>
      </w:r>
      <w:r w:rsidR="000B32DF">
        <w:rPr>
          <w:rFonts w:asciiTheme="minorHAnsi" w:hAnsi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289D"/>
    <w:multiLevelType w:val="hybridMultilevel"/>
    <w:tmpl w:val="9A1E01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D2D75"/>
    <w:multiLevelType w:val="hybridMultilevel"/>
    <w:tmpl w:val="FA82E870"/>
    <w:lvl w:ilvl="0" w:tplc="68C008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61A2A"/>
    <w:multiLevelType w:val="hybridMultilevel"/>
    <w:tmpl w:val="233E813C"/>
    <w:lvl w:ilvl="0" w:tplc="CE3EBD0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E10D0"/>
    <w:multiLevelType w:val="hybridMultilevel"/>
    <w:tmpl w:val="69901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A45A0"/>
    <w:multiLevelType w:val="hybridMultilevel"/>
    <w:tmpl w:val="A0A0BD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B339E"/>
    <w:multiLevelType w:val="hybridMultilevel"/>
    <w:tmpl w:val="5D70E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5F4232"/>
    <w:multiLevelType w:val="hybridMultilevel"/>
    <w:tmpl w:val="94143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561EB3"/>
    <w:multiLevelType w:val="hybridMultilevel"/>
    <w:tmpl w:val="0B7CE084"/>
    <w:lvl w:ilvl="0" w:tplc="C900C0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5C3051"/>
    <w:multiLevelType w:val="hybridMultilevel"/>
    <w:tmpl w:val="827EB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8F270F"/>
    <w:multiLevelType w:val="hybridMultilevel"/>
    <w:tmpl w:val="26BE8E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A0519"/>
    <w:multiLevelType w:val="hybridMultilevel"/>
    <w:tmpl w:val="89AAB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1E4CEA"/>
    <w:multiLevelType w:val="hybridMultilevel"/>
    <w:tmpl w:val="1D42EFF0"/>
    <w:lvl w:ilvl="0" w:tplc="46C0C8A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580D0F"/>
    <w:multiLevelType w:val="hybridMultilevel"/>
    <w:tmpl w:val="465A7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266867">
    <w:abstractNumId w:val="8"/>
  </w:num>
  <w:num w:numId="2" w16cid:durableId="2109351039">
    <w:abstractNumId w:val="7"/>
  </w:num>
  <w:num w:numId="3" w16cid:durableId="1417358902">
    <w:abstractNumId w:val="4"/>
  </w:num>
  <w:num w:numId="4" w16cid:durableId="66847489">
    <w:abstractNumId w:val="2"/>
  </w:num>
  <w:num w:numId="5" w16cid:durableId="1070425316">
    <w:abstractNumId w:val="9"/>
  </w:num>
  <w:num w:numId="6" w16cid:durableId="1713649054">
    <w:abstractNumId w:val="5"/>
  </w:num>
  <w:num w:numId="7" w16cid:durableId="1560358375">
    <w:abstractNumId w:val="1"/>
  </w:num>
  <w:num w:numId="8" w16cid:durableId="1699619299">
    <w:abstractNumId w:val="6"/>
  </w:num>
  <w:num w:numId="9" w16cid:durableId="898370163">
    <w:abstractNumId w:val="3"/>
  </w:num>
  <w:num w:numId="10" w16cid:durableId="2087796946">
    <w:abstractNumId w:val="12"/>
  </w:num>
  <w:num w:numId="11" w16cid:durableId="746850576">
    <w:abstractNumId w:val="10"/>
  </w:num>
  <w:num w:numId="12" w16cid:durableId="906307386">
    <w:abstractNumId w:val="0"/>
  </w:num>
  <w:num w:numId="13" w16cid:durableId="12763237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50"/>
    <w:rsid w:val="000203F2"/>
    <w:rsid w:val="00035506"/>
    <w:rsid w:val="000363C1"/>
    <w:rsid w:val="000415C3"/>
    <w:rsid w:val="00043D68"/>
    <w:rsid w:val="0008352A"/>
    <w:rsid w:val="00085026"/>
    <w:rsid w:val="000A5403"/>
    <w:rsid w:val="000B3039"/>
    <w:rsid w:val="000B32DF"/>
    <w:rsid w:val="000C49D5"/>
    <w:rsid w:val="000C6973"/>
    <w:rsid w:val="000D1C9E"/>
    <w:rsid w:val="000D3601"/>
    <w:rsid w:val="001015CA"/>
    <w:rsid w:val="00106E4A"/>
    <w:rsid w:val="00112D6F"/>
    <w:rsid w:val="001207E1"/>
    <w:rsid w:val="00152730"/>
    <w:rsid w:val="001531B3"/>
    <w:rsid w:val="00155559"/>
    <w:rsid w:val="0016085E"/>
    <w:rsid w:val="001629D2"/>
    <w:rsid w:val="00162A0E"/>
    <w:rsid w:val="0017043A"/>
    <w:rsid w:val="00170832"/>
    <w:rsid w:val="00173566"/>
    <w:rsid w:val="00173618"/>
    <w:rsid w:val="0017424F"/>
    <w:rsid w:val="00186335"/>
    <w:rsid w:val="00194925"/>
    <w:rsid w:val="001A0ADC"/>
    <w:rsid w:val="001B4061"/>
    <w:rsid w:val="001B6D48"/>
    <w:rsid w:val="002119F2"/>
    <w:rsid w:val="00214C5E"/>
    <w:rsid w:val="00225CBD"/>
    <w:rsid w:val="0023169E"/>
    <w:rsid w:val="00232345"/>
    <w:rsid w:val="002673DC"/>
    <w:rsid w:val="002760AE"/>
    <w:rsid w:val="002769A6"/>
    <w:rsid w:val="0028008B"/>
    <w:rsid w:val="00297AD2"/>
    <w:rsid w:val="002B721A"/>
    <w:rsid w:val="002C3260"/>
    <w:rsid w:val="002C51FA"/>
    <w:rsid w:val="002D5BA7"/>
    <w:rsid w:val="002E200E"/>
    <w:rsid w:val="002F524A"/>
    <w:rsid w:val="00305B14"/>
    <w:rsid w:val="003263C9"/>
    <w:rsid w:val="00327739"/>
    <w:rsid w:val="00347199"/>
    <w:rsid w:val="0035027A"/>
    <w:rsid w:val="00352B68"/>
    <w:rsid w:val="00361692"/>
    <w:rsid w:val="00363C79"/>
    <w:rsid w:val="00374EE8"/>
    <w:rsid w:val="0037596C"/>
    <w:rsid w:val="00384088"/>
    <w:rsid w:val="003878AF"/>
    <w:rsid w:val="00387A0D"/>
    <w:rsid w:val="00391065"/>
    <w:rsid w:val="0039425A"/>
    <w:rsid w:val="003A26ED"/>
    <w:rsid w:val="003B2188"/>
    <w:rsid w:val="003B4251"/>
    <w:rsid w:val="003C1FA9"/>
    <w:rsid w:val="003C27EE"/>
    <w:rsid w:val="003C4B8D"/>
    <w:rsid w:val="003D5127"/>
    <w:rsid w:val="003E003D"/>
    <w:rsid w:val="003F0DB3"/>
    <w:rsid w:val="003F441B"/>
    <w:rsid w:val="003F4F40"/>
    <w:rsid w:val="00406692"/>
    <w:rsid w:val="00412EE9"/>
    <w:rsid w:val="00420449"/>
    <w:rsid w:val="004318DA"/>
    <w:rsid w:val="00432970"/>
    <w:rsid w:val="00446792"/>
    <w:rsid w:val="00454F3F"/>
    <w:rsid w:val="004705BB"/>
    <w:rsid w:val="0047296E"/>
    <w:rsid w:val="00480320"/>
    <w:rsid w:val="00493007"/>
    <w:rsid w:val="004B2C15"/>
    <w:rsid w:val="004B326B"/>
    <w:rsid w:val="004E01C9"/>
    <w:rsid w:val="004E3609"/>
    <w:rsid w:val="004F71EC"/>
    <w:rsid w:val="00501205"/>
    <w:rsid w:val="0050653F"/>
    <w:rsid w:val="00507A0F"/>
    <w:rsid w:val="00510957"/>
    <w:rsid w:val="00515D24"/>
    <w:rsid w:val="00516D43"/>
    <w:rsid w:val="00520188"/>
    <w:rsid w:val="00520DD5"/>
    <w:rsid w:val="00522788"/>
    <w:rsid w:val="00527D63"/>
    <w:rsid w:val="005603EB"/>
    <w:rsid w:val="005668C5"/>
    <w:rsid w:val="00571B96"/>
    <w:rsid w:val="0058613B"/>
    <w:rsid w:val="005A32FF"/>
    <w:rsid w:val="005A5FA3"/>
    <w:rsid w:val="005B0EB5"/>
    <w:rsid w:val="005B4852"/>
    <w:rsid w:val="005C3FC0"/>
    <w:rsid w:val="005D459C"/>
    <w:rsid w:val="005F0870"/>
    <w:rsid w:val="00616950"/>
    <w:rsid w:val="006203A8"/>
    <w:rsid w:val="006309D2"/>
    <w:rsid w:val="0063362B"/>
    <w:rsid w:val="00633678"/>
    <w:rsid w:val="00657FCA"/>
    <w:rsid w:val="00664202"/>
    <w:rsid w:val="006667A6"/>
    <w:rsid w:val="006724C4"/>
    <w:rsid w:val="006735A8"/>
    <w:rsid w:val="0067517E"/>
    <w:rsid w:val="006760A4"/>
    <w:rsid w:val="00694B50"/>
    <w:rsid w:val="0069771F"/>
    <w:rsid w:val="006A2070"/>
    <w:rsid w:val="006A6250"/>
    <w:rsid w:val="006C1CF4"/>
    <w:rsid w:val="006D552B"/>
    <w:rsid w:val="006D62C5"/>
    <w:rsid w:val="006D6AB6"/>
    <w:rsid w:val="006E3A8D"/>
    <w:rsid w:val="006F320E"/>
    <w:rsid w:val="00706656"/>
    <w:rsid w:val="0072227B"/>
    <w:rsid w:val="00742355"/>
    <w:rsid w:val="00746065"/>
    <w:rsid w:val="00756B20"/>
    <w:rsid w:val="0076438C"/>
    <w:rsid w:val="00771907"/>
    <w:rsid w:val="00771A8B"/>
    <w:rsid w:val="00781DD0"/>
    <w:rsid w:val="00785E47"/>
    <w:rsid w:val="00792842"/>
    <w:rsid w:val="007A525B"/>
    <w:rsid w:val="007A5323"/>
    <w:rsid w:val="007A64AF"/>
    <w:rsid w:val="007B0912"/>
    <w:rsid w:val="007C388C"/>
    <w:rsid w:val="008042D7"/>
    <w:rsid w:val="008049EB"/>
    <w:rsid w:val="00822CBA"/>
    <w:rsid w:val="00825418"/>
    <w:rsid w:val="00827665"/>
    <w:rsid w:val="0083275A"/>
    <w:rsid w:val="0083454E"/>
    <w:rsid w:val="008438A1"/>
    <w:rsid w:val="00845EDF"/>
    <w:rsid w:val="0085442D"/>
    <w:rsid w:val="00866925"/>
    <w:rsid w:val="008B7CBC"/>
    <w:rsid w:val="008C746A"/>
    <w:rsid w:val="008D6512"/>
    <w:rsid w:val="008E12C1"/>
    <w:rsid w:val="008F1A3E"/>
    <w:rsid w:val="008F230D"/>
    <w:rsid w:val="008F79B2"/>
    <w:rsid w:val="009025CD"/>
    <w:rsid w:val="009102AF"/>
    <w:rsid w:val="00912ECA"/>
    <w:rsid w:val="00923F5B"/>
    <w:rsid w:val="00931898"/>
    <w:rsid w:val="009351A6"/>
    <w:rsid w:val="00937D3E"/>
    <w:rsid w:val="00941E6A"/>
    <w:rsid w:val="00942DA5"/>
    <w:rsid w:val="00944664"/>
    <w:rsid w:val="0096155C"/>
    <w:rsid w:val="00975886"/>
    <w:rsid w:val="0098531B"/>
    <w:rsid w:val="00992B07"/>
    <w:rsid w:val="00992E9B"/>
    <w:rsid w:val="009A150B"/>
    <w:rsid w:val="009A31A0"/>
    <w:rsid w:val="009B38D4"/>
    <w:rsid w:val="009C18E6"/>
    <w:rsid w:val="009E07D6"/>
    <w:rsid w:val="009E4688"/>
    <w:rsid w:val="009F2544"/>
    <w:rsid w:val="00A15B6B"/>
    <w:rsid w:val="00A15E50"/>
    <w:rsid w:val="00A33BF6"/>
    <w:rsid w:val="00A34C7D"/>
    <w:rsid w:val="00A43F3C"/>
    <w:rsid w:val="00A50537"/>
    <w:rsid w:val="00A50D7B"/>
    <w:rsid w:val="00A52448"/>
    <w:rsid w:val="00A5568C"/>
    <w:rsid w:val="00A55AC6"/>
    <w:rsid w:val="00A6518A"/>
    <w:rsid w:val="00A72979"/>
    <w:rsid w:val="00A73004"/>
    <w:rsid w:val="00A745EA"/>
    <w:rsid w:val="00A93322"/>
    <w:rsid w:val="00AA36E6"/>
    <w:rsid w:val="00AB1D03"/>
    <w:rsid w:val="00AB536F"/>
    <w:rsid w:val="00AB54E7"/>
    <w:rsid w:val="00AC3161"/>
    <w:rsid w:val="00AC36C5"/>
    <w:rsid w:val="00AD0183"/>
    <w:rsid w:val="00AD176A"/>
    <w:rsid w:val="00AD1C06"/>
    <w:rsid w:val="00AD4305"/>
    <w:rsid w:val="00AF7574"/>
    <w:rsid w:val="00B01AE1"/>
    <w:rsid w:val="00B05883"/>
    <w:rsid w:val="00B3087C"/>
    <w:rsid w:val="00B57CF5"/>
    <w:rsid w:val="00B6178A"/>
    <w:rsid w:val="00B77C5D"/>
    <w:rsid w:val="00B82464"/>
    <w:rsid w:val="00B87D64"/>
    <w:rsid w:val="00BB1842"/>
    <w:rsid w:val="00BC6648"/>
    <w:rsid w:val="00BF09C9"/>
    <w:rsid w:val="00BF6183"/>
    <w:rsid w:val="00C03734"/>
    <w:rsid w:val="00C03B6A"/>
    <w:rsid w:val="00C11EC3"/>
    <w:rsid w:val="00C24807"/>
    <w:rsid w:val="00C335D4"/>
    <w:rsid w:val="00C36763"/>
    <w:rsid w:val="00C53A5B"/>
    <w:rsid w:val="00C60007"/>
    <w:rsid w:val="00C62045"/>
    <w:rsid w:val="00C65FD9"/>
    <w:rsid w:val="00C66C2F"/>
    <w:rsid w:val="00C70F2B"/>
    <w:rsid w:val="00C7783E"/>
    <w:rsid w:val="00C77DC4"/>
    <w:rsid w:val="00C87979"/>
    <w:rsid w:val="00CA663A"/>
    <w:rsid w:val="00CB1A43"/>
    <w:rsid w:val="00CB1D36"/>
    <w:rsid w:val="00CB4007"/>
    <w:rsid w:val="00CF73CB"/>
    <w:rsid w:val="00D254A8"/>
    <w:rsid w:val="00D41188"/>
    <w:rsid w:val="00D4361F"/>
    <w:rsid w:val="00D4469B"/>
    <w:rsid w:val="00D506CC"/>
    <w:rsid w:val="00D551C9"/>
    <w:rsid w:val="00D64D15"/>
    <w:rsid w:val="00D66009"/>
    <w:rsid w:val="00D669E1"/>
    <w:rsid w:val="00D94682"/>
    <w:rsid w:val="00DA6B0E"/>
    <w:rsid w:val="00DB0870"/>
    <w:rsid w:val="00DB4237"/>
    <w:rsid w:val="00DC0BB0"/>
    <w:rsid w:val="00DC1452"/>
    <w:rsid w:val="00DC57CE"/>
    <w:rsid w:val="00DD7BD1"/>
    <w:rsid w:val="00DE2D9A"/>
    <w:rsid w:val="00E0073A"/>
    <w:rsid w:val="00E01C80"/>
    <w:rsid w:val="00E0298A"/>
    <w:rsid w:val="00E07E8B"/>
    <w:rsid w:val="00E12AC2"/>
    <w:rsid w:val="00E408EB"/>
    <w:rsid w:val="00E55964"/>
    <w:rsid w:val="00E6292C"/>
    <w:rsid w:val="00E72658"/>
    <w:rsid w:val="00E774C0"/>
    <w:rsid w:val="00E92D9D"/>
    <w:rsid w:val="00E94387"/>
    <w:rsid w:val="00E94C8A"/>
    <w:rsid w:val="00E95EAA"/>
    <w:rsid w:val="00EC26B1"/>
    <w:rsid w:val="00ED12F7"/>
    <w:rsid w:val="00ED2C9F"/>
    <w:rsid w:val="00EE2550"/>
    <w:rsid w:val="00EF284C"/>
    <w:rsid w:val="00F20A0C"/>
    <w:rsid w:val="00F24C41"/>
    <w:rsid w:val="00F26F1A"/>
    <w:rsid w:val="00F316AC"/>
    <w:rsid w:val="00F333B6"/>
    <w:rsid w:val="00F355D5"/>
    <w:rsid w:val="00F414D3"/>
    <w:rsid w:val="00F50113"/>
    <w:rsid w:val="00F53D0F"/>
    <w:rsid w:val="00F6316B"/>
    <w:rsid w:val="00F94F0A"/>
    <w:rsid w:val="00F96E4A"/>
    <w:rsid w:val="00F971F2"/>
    <w:rsid w:val="00FD343C"/>
    <w:rsid w:val="00FF5117"/>
    <w:rsid w:val="02BD18C5"/>
    <w:rsid w:val="04500F21"/>
    <w:rsid w:val="04F6CE13"/>
    <w:rsid w:val="0C50EA83"/>
    <w:rsid w:val="0E234999"/>
    <w:rsid w:val="18EFC83E"/>
    <w:rsid w:val="1990DDC0"/>
    <w:rsid w:val="1A23D2D4"/>
    <w:rsid w:val="2193FA61"/>
    <w:rsid w:val="253942E1"/>
    <w:rsid w:val="2B1B7E2B"/>
    <w:rsid w:val="2E188D82"/>
    <w:rsid w:val="302DD29A"/>
    <w:rsid w:val="310A72CD"/>
    <w:rsid w:val="34A50A3D"/>
    <w:rsid w:val="35F2E78F"/>
    <w:rsid w:val="39CBB3A9"/>
    <w:rsid w:val="405E1F48"/>
    <w:rsid w:val="459E17F5"/>
    <w:rsid w:val="463D9804"/>
    <w:rsid w:val="4C0B348C"/>
    <w:rsid w:val="5145042C"/>
    <w:rsid w:val="5D766A88"/>
    <w:rsid w:val="620F7FD6"/>
    <w:rsid w:val="68E8094D"/>
    <w:rsid w:val="6AB052BB"/>
    <w:rsid w:val="6E7BB122"/>
    <w:rsid w:val="6EFBA8DE"/>
    <w:rsid w:val="73D7C4E2"/>
    <w:rsid w:val="762C51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9AFA6"/>
  <w15:chartTrackingRefBased/>
  <w15:docId w15:val="{7C9990CC-0CF2-4719-BA2E-4D56C5AF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2F7"/>
    <w:rPr>
      <w:sz w:val="24"/>
    </w:rPr>
  </w:style>
  <w:style w:type="paragraph" w:styleId="Heading1">
    <w:name w:val="heading 1"/>
    <w:basedOn w:val="Normal"/>
    <w:next w:val="Normal"/>
    <w:link w:val="Heading1Char"/>
    <w:uiPriority w:val="9"/>
    <w:qFormat/>
    <w:rsid w:val="00ED12F7"/>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ED12F7"/>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2F7"/>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2F7"/>
    <w:pPr>
      <w:keepNext/>
      <w:keepLines/>
      <w:spacing w:before="40" w:after="0"/>
      <w:outlineLvl w:val="3"/>
    </w:pPr>
    <w:rPr>
      <w:rFonts w:asciiTheme="majorHAnsi" w:eastAsiaTheme="majorEastAsia" w:hAnsiTheme="majorHAnsi" w:cstheme="majorBidi"/>
      <w:color w:val="0F4761" w:themeColor="accent1" w:themeShade="BF"/>
      <w:szCs w:val="24"/>
    </w:rPr>
  </w:style>
  <w:style w:type="paragraph" w:styleId="Heading5">
    <w:name w:val="heading 5"/>
    <w:basedOn w:val="Normal"/>
    <w:next w:val="Normal"/>
    <w:link w:val="Heading5Char"/>
    <w:uiPriority w:val="9"/>
    <w:semiHidden/>
    <w:unhideWhenUsed/>
    <w:qFormat/>
    <w:rsid w:val="00ED12F7"/>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ED12F7"/>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ED12F7"/>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ED12F7"/>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ED12F7"/>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2F7"/>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ED12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2F7"/>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2F7"/>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ED12F7"/>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ED12F7"/>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ED12F7"/>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ED12F7"/>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ED12F7"/>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ED12F7"/>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ED12F7"/>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ED12F7"/>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ED12F7"/>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ED12F7"/>
    <w:pPr>
      <w:spacing w:before="120" w:after="120"/>
      <w:ind w:left="720"/>
    </w:pPr>
    <w:rPr>
      <w:color w:val="0E2841" w:themeColor="text2"/>
      <w:szCs w:val="24"/>
    </w:rPr>
  </w:style>
  <w:style w:type="character" w:customStyle="1" w:styleId="QuoteChar">
    <w:name w:val="Quote Char"/>
    <w:basedOn w:val="DefaultParagraphFont"/>
    <w:link w:val="Quote"/>
    <w:uiPriority w:val="29"/>
    <w:rsid w:val="00ED12F7"/>
    <w:rPr>
      <w:color w:val="0E2841" w:themeColor="text2"/>
      <w:sz w:val="24"/>
      <w:szCs w:val="24"/>
    </w:rPr>
  </w:style>
  <w:style w:type="paragraph" w:styleId="ListParagraph">
    <w:name w:val="List Paragraph"/>
    <w:basedOn w:val="Normal"/>
    <w:uiPriority w:val="34"/>
    <w:qFormat/>
    <w:rsid w:val="00EE2550"/>
    <w:pPr>
      <w:ind w:left="720"/>
      <w:contextualSpacing/>
    </w:pPr>
  </w:style>
  <w:style w:type="character" w:styleId="IntenseEmphasis">
    <w:name w:val="Intense Emphasis"/>
    <w:basedOn w:val="DefaultParagraphFont"/>
    <w:uiPriority w:val="21"/>
    <w:qFormat/>
    <w:rsid w:val="00ED12F7"/>
    <w:rPr>
      <w:b/>
      <w:bCs/>
      <w:i/>
      <w:iCs/>
    </w:rPr>
  </w:style>
  <w:style w:type="paragraph" w:styleId="IntenseQuote">
    <w:name w:val="Intense Quote"/>
    <w:basedOn w:val="Normal"/>
    <w:next w:val="Normal"/>
    <w:link w:val="IntenseQuoteChar"/>
    <w:uiPriority w:val="30"/>
    <w:qFormat/>
    <w:rsid w:val="00ED12F7"/>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ED12F7"/>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ED12F7"/>
    <w:rPr>
      <w:b/>
      <w:bCs/>
      <w:smallCaps/>
      <w:color w:val="0E2841" w:themeColor="text2"/>
      <w:u w:val="single"/>
    </w:rPr>
  </w:style>
  <w:style w:type="paragraph" w:styleId="Caption">
    <w:name w:val="caption"/>
    <w:basedOn w:val="Normal"/>
    <w:next w:val="Normal"/>
    <w:uiPriority w:val="35"/>
    <w:semiHidden/>
    <w:unhideWhenUsed/>
    <w:qFormat/>
    <w:rsid w:val="00ED12F7"/>
    <w:pPr>
      <w:spacing w:line="240" w:lineRule="auto"/>
    </w:pPr>
    <w:rPr>
      <w:b/>
      <w:bCs/>
      <w:smallCaps/>
      <w:color w:val="0E2841" w:themeColor="text2"/>
    </w:rPr>
  </w:style>
  <w:style w:type="character" w:styleId="Strong">
    <w:name w:val="Strong"/>
    <w:basedOn w:val="DefaultParagraphFont"/>
    <w:uiPriority w:val="22"/>
    <w:qFormat/>
    <w:rsid w:val="00ED12F7"/>
    <w:rPr>
      <w:b/>
      <w:bCs/>
    </w:rPr>
  </w:style>
  <w:style w:type="character" w:styleId="Emphasis">
    <w:name w:val="Emphasis"/>
    <w:basedOn w:val="DefaultParagraphFont"/>
    <w:uiPriority w:val="20"/>
    <w:qFormat/>
    <w:rsid w:val="00ED12F7"/>
    <w:rPr>
      <w:i/>
      <w:iCs/>
    </w:rPr>
  </w:style>
  <w:style w:type="paragraph" w:styleId="NoSpacing">
    <w:name w:val="No Spacing"/>
    <w:uiPriority w:val="1"/>
    <w:qFormat/>
    <w:rsid w:val="00ED12F7"/>
    <w:pPr>
      <w:spacing w:after="0" w:line="240" w:lineRule="auto"/>
    </w:pPr>
  </w:style>
  <w:style w:type="character" w:styleId="SubtleEmphasis">
    <w:name w:val="Subtle Emphasis"/>
    <w:basedOn w:val="DefaultParagraphFont"/>
    <w:uiPriority w:val="19"/>
    <w:qFormat/>
    <w:rsid w:val="00ED12F7"/>
    <w:rPr>
      <w:i/>
      <w:iCs/>
      <w:color w:val="595959" w:themeColor="text1" w:themeTint="A6"/>
    </w:rPr>
  </w:style>
  <w:style w:type="character" w:styleId="SubtleReference">
    <w:name w:val="Subtle Reference"/>
    <w:basedOn w:val="DefaultParagraphFont"/>
    <w:uiPriority w:val="31"/>
    <w:qFormat/>
    <w:rsid w:val="00ED12F7"/>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ED12F7"/>
    <w:rPr>
      <w:b/>
      <w:bCs/>
      <w:smallCaps/>
      <w:spacing w:val="10"/>
    </w:rPr>
  </w:style>
  <w:style w:type="paragraph" w:styleId="TOCHeading">
    <w:name w:val="TOC Heading"/>
    <w:basedOn w:val="Heading1"/>
    <w:next w:val="Normal"/>
    <w:uiPriority w:val="39"/>
    <w:unhideWhenUsed/>
    <w:qFormat/>
    <w:rsid w:val="00ED12F7"/>
    <w:pPr>
      <w:outlineLvl w:val="9"/>
    </w:pPr>
  </w:style>
  <w:style w:type="paragraph" w:styleId="TOC1">
    <w:name w:val="toc 1"/>
    <w:basedOn w:val="Normal"/>
    <w:next w:val="Normal"/>
    <w:autoRedefine/>
    <w:uiPriority w:val="39"/>
    <w:unhideWhenUsed/>
    <w:rsid w:val="00EE2550"/>
    <w:pPr>
      <w:spacing w:after="100"/>
    </w:pPr>
  </w:style>
  <w:style w:type="character" w:styleId="Hyperlink">
    <w:name w:val="Hyperlink"/>
    <w:basedOn w:val="DefaultParagraphFont"/>
    <w:uiPriority w:val="99"/>
    <w:unhideWhenUsed/>
    <w:rsid w:val="00EE2550"/>
    <w:rPr>
      <w:color w:val="467886" w:themeColor="hyperlink"/>
      <w:u w:val="single"/>
    </w:rPr>
  </w:style>
  <w:style w:type="paragraph" w:styleId="Header">
    <w:name w:val="header"/>
    <w:basedOn w:val="Normal"/>
    <w:link w:val="HeaderChar"/>
    <w:uiPriority w:val="99"/>
    <w:unhideWhenUsed/>
    <w:rsid w:val="00EE2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550"/>
  </w:style>
  <w:style w:type="paragraph" w:styleId="Footer">
    <w:name w:val="footer"/>
    <w:basedOn w:val="Normal"/>
    <w:link w:val="FooterChar"/>
    <w:uiPriority w:val="99"/>
    <w:unhideWhenUsed/>
    <w:rsid w:val="00EE2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550"/>
  </w:style>
  <w:style w:type="paragraph" w:styleId="EndnoteText">
    <w:name w:val="endnote text"/>
    <w:basedOn w:val="Normal"/>
    <w:link w:val="EndnoteTextChar"/>
    <w:uiPriority w:val="99"/>
    <w:unhideWhenUsed/>
    <w:rsid w:val="00EE2550"/>
    <w:pPr>
      <w:spacing w:after="0" w:line="240" w:lineRule="auto"/>
    </w:pPr>
    <w:rPr>
      <w:sz w:val="20"/>
      <w:szCs w:val="20"/>
    </w:rPr>
  </w:style>
  <w:style w:type="character" w:customStyle="1" w:styleId="EndnoteTextChar">
    <w:name w:val="Endnote Text Char"/>
    <w:basedOn w:val="DefaultParagraphFont"/>
    <w:link w:val="EndnoteText"/>
    <w:uiPriority w:val="99"/>
    <w:rsid w:val="00EE2550"/>
    <w:rPr>
      <w:sz w:val="20"/>
      <w:szCs w:val="20"/>
    </w:rPr>
  </w:style>
  <w:style w:type="character" w:styleId="EndnoteReference">
    <w:name w:val="endnote reference"/>
    <w:basedOn w:val="DefaultParagraphFont"/>
    <w:uiPriority w:val="99"/>
    <w:semiHidden/>
    <w:unhideWhenUsed/>
    <w:rsid w:val="00EE2550"/>
    <w:rPr>
      <w:vertAlign w:val="superscript"/>
    </w:rPr>
  </w:style>
  <w:style w:type="paragraph" w:customStyle="1" w:styleId="CLGendnotes">
    <w:name w:val="CLG endnotes"/>
    <w:basedOn w:val="EndnoteText"/>
    <w:link w:val="CLGendnotesChar"/>
    <w:rsid w:val="00EE2550"/>
    <w:rPr>
      <w:rFonts w:ascii="Calibri" w:eastAsiaTheme="minorHAnsi" w:hAnsi="Calibri" w:cs="Calibri"/>
      <w:kern w:val="2"/>
      <w:sz w:val="24"/>
      <w:szCs w:val="24"/>
      <w14:ligatures w14:val="standardContextual"/>
    </w:rPr>
  </w:style>
  <w:style w:type="character" w:customStyle="1" w:styleId="CLGendnotesChar">
    <w:name w:val="CLG endnotes Char"/>
    <w:basedOn w:val="EndnoteTextChar"/>
    <w:link w:val="CLGendnotes"/>
    <w:rsid w:val="00EE2550"/>
    <w:rPr>
      <w:rFonts w:ascii="Calibri" w:eastAsiaTheme="minorHAnsi" w:hAnsi="Calibri" w:cs="Calibri"/>
      <w:kern w:val="2"/>
      <w:sz w:val="24"/>
      <w:szCs w:val="24"/>
      <w14:ligatures w14:val="standardContextual"/>
    </w:rPr>
  </w:style>
  <w:style w:type="paragraph" w:customStyle="1" w:styleId="CLGbody">
    <w:name w:val="CLG body"/>
    <w:basedOn w:val="Normal"/>
    <w:link w:val="CLGbodyChar"/>
    <w:rsid w:val="00937D3E"/>
    <w:pPr>
      <w:spacing w:line="278" w:lineRule="auto"/>
    </w:pPr>
    <w:rPr>
      <w:rFonts w:ascii="Calibri" w:eastAsiaTheme="minorHAnsi" w:hAnsi="Calibri" w:cs="Calibri"/>
      <w:kern w:val="2"/>
      <w:szCs w:val="28"/>
      <w14:ligatures w14:val="standardContextual"/>
    </w:rPr>
  </w:style>
  <w:style w:type="character" w:customStyle="1" w:styleId="CLGbodyChar">
    <w:name w:val="CLG body Char"/>
    <w:basedOn w:val="DefaultParagraphFont"/>
    <w:link w:val="CLGbody"/>
    <w:rsid w:val="00937D3E"/>
    <w:rPr>
      <w:rFonts w:ascii="Calibri" w:eastAsiaTheme="minorHAnsi" w:hAnsi="Calibri" w:cs="Calibri"/>
      <w:kern w:val="2"/>
      <w:sz w:val="24"/>
      <w:szCs w:val="28"/>
      <w14:ligatures w14:val="standardContextual"/>
    </w:rPr>
  </w:style>
  <w:style w:type="character" w:styleId="CommentReference">
    <w:name w:val="annotation reference"/>
    <w:basedOn w:val="DefaultParagraphFont"/>
    <w:uiPriority w:val="99"/>
    <w:semiHidden/>
    <w:unhideWhenUsed/>
    <w:rsid w:val="00352B68"/>
    <w:rPr>
      <w:sz w:val="16"/>
      <w:szCs w:val="16"/>
    </w:rPr>
  </w:style>
  <w:style w:type="paragraph" w:styleId="CommentText">
    <w:name w:val="annotation text"/>
    <w:basedOn w:val="Normal"/>
    <w:link w:val="CommentTextChar"/>
    <w:uiPriority w:val="99"/>
    <w:unhideWhenUsed/>
    <w:rsid w:val="00352B68"/>
    <w:pPr>
      <w:spacing w:line="240" w:lineRule="auto"/>
    </w:pPr>
    <w:rPr>
      <w:sz w:val="20"/>
      <w:szCs w:val="20"/>
    </w:rPr>
  </w:style>
  <w:style w:type="character" w:customStyle="1" w:styleId="CommentTextChar">
    <w:name w:val="Comment Text Char"/>
    <w:basedOn w:val="DefaultParagraphFont"/>
    <w:link w:val="CommentText"/>
    <w:uiPriority w:val="99"/>
    <w:rsid w:val="00352B68"/>
    <w:rPr>
      <w:sz w:val="20"/>
      <w:szCs w:val="20"/>
    </w:rPr>
  </w:style>
  <w:style w:type="paragraph" w:styleId="CommentSubject">
    <w:name w:val="annotation subject"/>
    <w:basedOn w:val="CommentText"/>
    <w:next w:val="CommentText"/>
    <w:link w:val="CommentSubjectChar"/>
    <w:uiPriority w:val="99"/>
    <w:semiHidden/>
    <w:unhideWhenUsed/>
    <w:rsid w:val="00352B68"/>
    <w:rPr>
      <w:b/>
      <w:bCs/>
    </w:rPr>
  </w:style>
  <w:style w:type="character" w:customStyle="1" w:styleId="CommentSubjectChar">
    <w:name w:val="Comment Subject Char"/>
    <w:basedOn w:val="CommentTextChar"/>
    <w:link w:val="CommentSubject"/>
    <w:uiPriority w:val="99"/>
    <w:semiHidden/>
    <w:rsid w:val="00352B68"/>
    <w:rPr>
      <w:b/>
      <w:bCs/>
      <w:sz w:val="20"/>
      <w:szCs w:val="20"/>
    </w:rPr>
  </w:style>
  <w:style w:type="paragraph" w:styleId="Revision">
    <w:name w:val="Revision"/>
    <w:hidden/>
    <w:uiPriority w:val="99"/>
    <w:semiHidden/>
    <w:rsid w:val="00C62045"/>
    <w:pPr>
      <w:spacing w:after="0" w:line="240" w:lineRule="auto"/>
    </w:pPr>
    <w:rPr>
      <w:sz w:val="24"/>
    </w:rPr>
  </w:style>
  <w:style w:type="paragraph" w:styleId="FootnoteText">
    <w:name w:val="footnote text"/>
    <w:basedOn w:val="Normal"/>
    <w:link w:val="FootnoteTextChar"/>
    <w:uiPriority w:val="99"/>
    <w:semiHidden/>
    <w:unhideWhenUsed/>
    <w:rsid w:val="00CB40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4007"/>
    <w:rPr>
      <w:sz w:val="20"/>
      <w:szCs w:val="20"/>
    </w:rPr>
  </w:style>
  <w:style w:type="character" w:styleId="FootnoteReference">
    <w:name w:val="footnote reference"/>
    <w:basedOn w:val="DefaultParagraphFont"/>
    <w:uiPriority w:val="99"/>
    <w:semiHidden/>
    <w:unhideWhenUsed/>
    <w:rsid w:val="00CB40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B6358-27CD-4129-9897-081B900C3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4</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Unfair Trade Practices Act guide</dc:title>
  <dc:subject/>
  <dc:creator>Olson, Jules M</dc:creator>
  <cp:keywords/>
  <dc:description/>
  <cp:lastModifiedBy>Olson, Jules M</cp:lastModifiedBy>
  <cp:revision>13</cp:revision>
  <cp:lastPrinted>2026-03-09T17:50:00Z</cp:lastPrinted>
  <dcterms:created xsi:type="dcterms:W3CDTF">2026-04-16T14:58:00Z</dcterms:created>
  <dcterms:modified xsi:type="dcterms:W3CDTF">2026-04-16T17:43:00Z</dcterms:modified>
</cp:coreProperties>
</file>