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B43F" w14:textId="77777777" w:rsidR="006C71FE" w:rsidRPr="008C146C" w:rsidRDefault="006C71FE" w:rsidP="006C71FE">
      <w:pPr>
        <w:pStyle w:val="Title"/>
        <w:rPr>
          <w:rStyle w:val="BookTitle"/>
        </w:rPr>
      </w:pPr>
      <w:r w:rsidRPr="008C146C">
        <w:rPr>
          <w:rStyle w:val="BookTitle"/>
        </w:rPr>
        <w:t>Maine Consumer Law Guide</w:t>
      </w:r>
    </w:p>
    <w:p w14:paraId="3C64BB50" w14:textId="77777777" w:rsidR="006C71FE" w:rsidRPr="008C146C" w:rsidRDefault="006C71FE" w:rsidP="006C71FE">
      <w:pPr>
        <w:pStyle w:val="Subtitle"/>
      </w:pPr>
      <w:r w:rsidRPr="008C146C">
        <w:t>From the Office of the Maine Attorney General</w:t>
      </w:r>
    </w:p>
    <w:p w14:paraId="7F72D196" w14:textId="7633941D" w:rsidR="006C71FE" w:rsidRPr="008C146C" w:rsidRDefault="006C71FE" w:rsidP="008C146C">
      <w:pPr>
        <w:pStyle w:val="Title"/>
      </w:pPr>
      <w:r w:rsidRPr="008C146C">
        <w:t xml:space="preserve">Chapter 14: </w:t>
      </w:r>
      <w:r w:rsidR="00FE7CCD" w:rsidRPr="008C146C">
        <w:t>Tenant Rights and Protections</w:t>
      </w:r>
    </w:p>
    <w:p w14:paraId="72DF6C6A" w14:textId="5A8C5D82" w:rsidR="006C71FE" w:rsidRPr="008C146C" w:rsidRDefault="006C71FE" w:rsidP="006C71FE">
      <w:r w:rsidRPr="008C146C">
        <w:t xml:space="preserve">Last revised: </w:t>
      </w:r>
      <w:r w:rsidR="00FE7CCD" w:rsidRPr="008C146C">
        <w:t>April 2026</w:t>
      </w:r>
      <w:r w:rsidRPr="008C146C">
        <w:t>.</w:t>
      </w:r>
    </w:p>
    <w:p w14:paraId="47A132D9" w14:textId="527559F0" w:rsidR="00FE7CCD" w:rsidRDefault="00FE7CCD" w:rsidP="00FE7CCD">
      <w:pPr>
        <w:rPr>
          <w:rFonts w:ascii="Calibri" w:hAnsi="Calibri" w:cs="Calibri"/>
        </w:rPr>
      </w:pPr>
      <w:r w:rsidRPr="008C146C">
        <w:rPr>
          <w:rFonts w:ascii="Calibri" w:hAnsi="Calibri" w:cs="Calibri"/>
        </w:rPr>
        <w:t xml:space="preserve">This Chapter discusses the rights and protections provided by Maine law </w:t>
      </w:r>
      <w:r w:rsidR="00B3572B">
        <w:rPr>
          <w:rFonts w:ascii="Calibri" w:hAnsi="Calibri" w:cs="Calibri"/>
        </w:rPr>
        <w:t>to</w:t>
      </w:r>
      <w:r w:rsidRPr="008C146C">
        <w:rPr>
          <w:rFonts w:ascii="Calibri" w:hAnsi="Calibri" w:cs="Calibri"/>
        </w:rPr>
        <w:t xml:space="preserve"> tenants. </w:t>
      </w:r>
    </w:p>
    <w:sdt>
      <w:sdtPr>
        <w:id w:val="-1994097764"/>
        <w:docPartObj>
          <w:docPartGallery w:val="Table of Contents"/>
          <w:docPartUnique/>
        </w:docPartObj>
      </w:sdtPr>
      <w:sdtEndPr>
        <w:rPr>
          <w:rFonts w:asciiTheme="minorHAnsi" w:eastAsiaTheme="minorEastAsia" w:hAnsiTheme="minorHAnsi" w:cstheme="minorBidi"/>
          <w:b/>
          <w:bCs/>
          <w:noProof/>
          <w:color w:val="auto"/>
          <w:sz w:val="22"/>
          <w:szCs w:val="22"/>
        </w:rPr>
      </w:sdtEndPr>
      <w:sdtContent>
        <w:p w14:paraId="2877D09F" w14:textId="517304F7" w:rsidR="00D036D5" w:rsidRDefault="00D036D5">
          <w:pPr>
            <w:pStyle w:val="TOCHeading"/>
          </w:pPr>
          <w:r>
            <w:t>Contents</w:t>
          </w:r>
        </w:p>
        <w:p w14:paraId="7244BB59" w14:textId="714AF5C1" w:rsidR="00C1178F" w:rsidRDefault="00D036D5">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227069427" w:history="1">
            <w:r w:rsidR="00C1178F" w:rsidRPr="00022E10">
              <w:rPr>
                <w:rStyle w:val="Hyperlink"/>
                <w:noProof/>
              </w:rPr>
              <w:t>14.1 Terminology</w:t>
            </w:r>
            <w:r w:rsidR="00C1178F">
              <w:rPr>
                <w:noProof/>
                <w:webHidden/>
              </w:rPr>
              <w:tab/>
            </w:r>
            <w:r w:rsidR="00C1178F">
              <w:rPr>
                <w:noProof/>
                <w:webHidden/>
              </w:rPr>
              <w:fldChar w:fldCharType="begin"/>
            </w:r>
            <w:r w:rsidR="00C1178F">
              <w:rPr>
                <w:noProof/>
                <w:webHidden/>
              </w:rPr>
              <w:instrText xml:space="preserve"> PAGEREF _Toc227069427 \h </w:instrText>
            </w:r>
            <w:r w:rsidR="00C1178F">
              <w:rPr>
                <w:noProof/>
                <w:webHidden/>
              </w:rPr>
            </w:r>
            <w:r w:rsidR="00C1178F">
              <w:rPr>
                <w:noProof/>
                <w:webHidden/>
              </w:rPr>
              <w:fldChar w:fldCharType="separate"/>
            </w:r>
            <w:r w:rsidR="00C1178F">
              <w:rPr>
                <w:noProof/>
                <w:webHidden/>
              </w:rPr>
              <w:t>2</w:t>
            </w:r>
            <w:r w:rsidR="00C1178F">
              <w:rPr>
                <w:noProof/>
                <w:webHidden/>
              </w:rPr>
              <w:fldChar w:fldCharType="end"/>
            </w:r>
          </w:hyperlink>
        </w:p>
        <w:p w14:paraId="51D4471B" w14:textId="4525F00E" w:rsidR="00C1178F" w:rsidRDefault="00C1178F">
          <w:pPr>
            <w:pStyle w:val="TOC1"/>
            <w:tabs>
              <w:tab w:val="right" w:leader="dot" w:pos="10070"/>
            </w:tabs>
            <w:rPr>
              <w:noProof/>
              <w:kern w:val="2"/>
              <w:sz w:val="24"/>
              <w:szCs w:val="24"/>
              <w14:ligatures w14:val="standardContextual"/>
            </w:rPr>
          </w:pPr>
          <w:hyperlink w:anchor="_Toc227069428" w:history="1">
            <w:r w:rsidRPr="00022E10">
              <w:rPr>
                <w:rStyle w:val="Hyperlink"/>
                <w:noProof/>
              </w:rPr>
              <w:t>14.2 Becoming a Tenant</w:t>
            </w:r>
            <w:r>
              <w:rPr>
                <w:noProof/>
                <w:webHidden/>
              </w:rPr>
              <w:tab/>
            </w:r>
            <w:r>
              <w:rPr>
                <w:noProof/>
                <w:webHidden/>
              </w:rPr>
              <w:fldChar w:fldCharType="begin"/>
            </w:r>
            <w:r>
              <w:rPr>
                <w:noProof/>
                <w:webHidden/>
              </w:rPr>
              <w:instrText xml:space="preserve"> PAGEREF _Toc227069428 \h </w:instrText>
            </w:r>
            <w:r>
              <w:rPr>
                <w:noProof/>
                <w:webHidden/>
              </w:rPr>
            </w:r>
            <w:r>
              <w:rPr>
                <w:noProof/>
                <w:webHidden/>
              </w:rPr>
              <w:fldChar w:fldCharType="separate"/>
            </w:r>
            <w:r>
              <w:rPr>
                <w:noProof/>
                <w:webHidden/>
              </w:rPr>
              <w:t>2</w:t>
            </w:r>
            <w:r>
              <w:rPr>
                <w:noProof/>
                <w:webHidden/>
              </w:rPr>
              <w:fldChar w:fldCharType="end"/>
            </w:r>
          </w:hyperlink>
        </w:p>
        <w:p w14:paraId="57B8C7B9" w14:textId="06527AF4" w:rsidR="00C1178F" w:rsidRDefault="00C1178F">
          <w:pPr>
            <w:pStyle w:val="TOC2"/>
            <w:tabs>
              <w:tab w:val="right" w:leader="dot" w:pos="10070"/>
            </w:tabs>
            <w:rPr>
              <w:noProof/>
              <w:kern w:val="2"/>
              <w:sz w:val="24"/>
              <w:szCs w:val="24"/>
              <w14:ligatures w14:val="standardContextual"/>
            </w:rPr>
          </w:pPr>
          <w:hyperlink w:anchor="_Toc227069429" w:history="1">
            <w:r w:rsidRPr="00022E10">
              <w:rPr>
                <w:rStyle w:val="Hyperlink"/>
                <w:noProof/>
              </w:rPr>
              <w:t>Application Fees</w:t>
            </w:r>
            <w:r>
              <w:rPr>
                <w:noProof/>
                <w:webHidden/>
              </w:rPr>
              <w:tab/>
            </w:r>
            <w:r>
              <w:rPr>
                <w:noProof/>
                <w:webHidden/>
              </w:rPr>
              <w:fldChar w:fldCharType="begin"/>
            </w:r>
            <w:r>
              <w:rPr>
                <w:noProof/>
                <w:webHidden/>
              </w:rPr>
              <w:instrText xml:space="preserve"> PAGEREF _Toc227069429 \h </w:instrText>
            </w:r>
            <w:r>
              <w:rPr>
                <w:noProof/>
                <w:webHidden/>
              </w:rPr>
            </w:r>
            <w:r>
              <w:rPr>
                <w:noProof/>
                <w:webHidden/>
              </w:rPr>
              <w:fldChar w:fldCharType="separate"/>
            </w:r>
            <w:r>
              <w:rPr>
                <w:noProof/>
                <w:webHidden/>
              </w:rPr>
              <w:t>2</w:t>
            </w:r>
            <w:r>
              <w:rPr>
                <w:noProof/>
                <w:webHidden/>
              </w:rPr>
              <w:fldChar w:fldCharType="end"/>
            </w:r>
          </w:hyperlink>
        </w:p>
        <w:p w14:paraId="66D2FA24" w14:textId="2B1F82E0" w:rsidR="00C1178F" w:rsidRDefault="00C1178F">
          <w:pPr>
            <w:pStyle w:val="TOC2"/>
            <w:tabs>
              <w:tab w:val="right" w:leader="dot" w:pos="10070"/>
            </w:tabs>
            <w:rPr>
              <w:noProof/>
              <w:kern w:val="2"/>
              <w:sz w:val="24"/>
              <w:szCs w:val="24"/>
              <w14:ligatures w14:val="standardContextual"/>
            </w:rPr>
          </w:pPr>
          <w:hyperlink w:anchor="_Toc227069430" w:history="1">
            <w:r w:rsidRPr="00022E10">
              <w:rPr>
                <w:rStyle w:val="Hyperlink"/>
                <w:noProof/>
              </w:rPr>
              <w:t>Total Price Disclosure</w:t>
            </w:r>
            <w:r>
              <w:rPr>
                <w:noProof/>
                <w:webHidden/>
              </w:rPr>
              <w:tab/>
            </w:r>
            <w:r>
              <w:rPr>
                <w:noProof/>
                <w:webHidden/>
              </w:rPr>
              <w:fldChar w:fldCharType="begin"/>
            </w:r>
            <w:r>
              <w:rPr>
                <w:noProof/>
                <w:webHidden/>
              </w:rPr>
              <w:instrText xml:space="preserve"> PAGEREF _Toc227069430 \h </w:instrText>
            </w:r>
            <w:r>
              <w:rPr>
                <w:noProof/>
                <w:webHidden/>
              </w:rPr>
            </w:r>
            <w:r>
              <w:rPr>
                <w:noProof/>
                <w:webHidden/>
              </w:rPr>
              <w:fldChar w:fldCharType="separate"/>
            </w:r>
            <w:r>
              <w:rPr>
                <w:noProof/>
                <w:webHidden/>
              </w:rPr>
              <w:t>2</w:t>
            </w:r>
            <w:r>
              <w:rPr>
                <w:noProof/>
                <w:webHidden/>
              </w:rPr>
              <w:fldChar w:fldCharType="end"/>
            </w:r>
          </w:hyperlink>
        </w:p>
        <w:p w14:paraId="46D33389" w14:textId="7AB36A59" w:rsidR="00C1178F" w:rsidRDefault="00C1178F">
          <w:pPr>
            <w:pStyle w:val="TOC2"/>
            <w:tabs>
              <w:tab w:val="right" w:leader="dot" w:pos="10070"/>
            </w:tabs>
            <w:rPr>
              <w:noProof/>
              <w:kern w:val="2"/>
              <w:sz w:val="24"/>
              <w:szCs w:val="24"/>
              <w14:ligatures w14:val="standardContextual"/>
            </w:rPr>
          </w:pPr>
          <w:hyperlink w:anchor="_Toc227069431" w:history="1">
            <w:r w:rsidRPr="00022E10">
              <w:rPr>
                <w:rStyle w:val="Hyperlink"/>
                <w:noProof/>
              </w:rPr>
              <w:t>Energy Efficiency Disclosure</w:t>
            </w:r>
            <w:r>
              <w:rPr>
                <w:noProof/>
                <w:webHidden/>
              </w:rPr>
              <w:tab/>
            </w:r>
            <w:r>
              <w:rPr>
                <w:noProof/>
                <w:webHidden/>
              </w:rPr>
              <w:fldChar w:fldCharType="begin"/>
            </w:r>
            <w:r>
              <w:rPr>
                <w:noProof/>
                <w:webHidden/>
              </w:rPr>
              <w:instrText xml:space="preserve"> PAGEREF _Toc227069431 \h </w:instrText>
            </w:r>
            <w:r>
              <w:rPr>
                <w:noProof/>
                <w:webHidden/>
              </w:rPr>
            </w:r>
            <w:r>
              <w:rPr>
                <w:noProof/>
                <w:webHidden/>
              </w:rPr>
              <w:fldChar w:fldCharType="separate"/>
            </w:r>
            <w:r>
              <w:rPr>
                <w:noProof/>
                <w:webHidden/>
              </w:rPr>
              <w:t>2</w:t>
            </w:r>
            <w:r>
              <w:rPr>
                <w:noProof/>
                <w:webHidden/>
              </w:rPr>
              <w:fldChar w:fldCharType="end"/>
            </w:r>
          </w:hyperlink>
        </w:p>
        <w:p w14:paraId="2F6CDD4C" w14:textId="3EDBCE6A" w:rsidR="00C1178F" w:rsidRDefault="00C1178F">
          <w:pPr>
            <w:pStyle w:val="TOC2"/>
            <w:tabs>
              <w:tab w:val="right" w:leader="dot" w:pos="10070"/>
            </w:tabs>
            <w:rPr>
              <w:noProof/>
              <w:kern w:val="2"/>
              <w:sz w:val="24"/>
              <w:szCs w:val="24"/>
              <w14:ligatures w14:val="standardContextual"/>
            </w:rPr>
          </w:pPr>
          <w:hyperlink w:anchor="_Toc227069432" w:history="1">
            <w:r w:rsidRPr="00022E10">
              <w:rPr>
                <w:rStyle w:val="Hyperlink"/>
                <w:noProof/>
              </w:rPr>
              <w:t>Other Required Landlord Disclosures</w:t>
            </w:r>
            <w:r>
              <w:rPr>
                <w:noProof/>
                <w:webHidden/>
              </w:rPr>
              <w:tab/>
            </w:r>
            <w:r>
              <w:rPr>
                <w:noProof/>
                <w:webHidden/>
              </w:rPr>
              <w:fldChar w:fldCharType="begin"/>
            </w:r>
            <w:r>
              <w:rPr>
                <w:noProof/>
                <w:webHidden/>
              </w:rPr>
              <w:instrText xml:space="preserve"> PAGEREF _Toc227069432 \h </w:instrText>
            </w:r>
            <w:r>
              <w:rPr>
                <w:noProof/>
                <w:webHidden/>
              </w:rPr>
            </w:r>
            <w:r>
              <w:rPr>
                <w:noProof/>
                <w:webHidden/>
              </w:rPr>
              <w:fldChar w:fldCharType="separate"/>
            </w:r>
            <w:r>
              <w:rPr>
                <w:noProof/>
                <w:webHidden/>
              </w:rPr>
              <w:t>2</w:t>
            </w:r>
            <w:r>
              <w:rPr>
                <w:noProof/>
                <w:webHidden/>
              </w:rPr>
              <w:fldChar w:fldCharType="end"/>
            </w:r>
          </w:hyperlink>
        </w:p>
        <w:p w14:paraId="7E726DDE" w14:textId="09C46D09" w:rsidR="00C1178F" w:rsidRDefault="00C1178F">
          <w:pPr>
            <w:pStyle w:val="TOC1"/>
            <w:tabs>
              <w:tab w:val="right" w:leader="dot" w:pos="10070"/>
            </w:tabs>
            <w:rPr>
              <w:noProof/>
              <w:kern w:val="2"/>
              <w:sz w:val="24"/>
              <w:szCs w:val="24"/>
              <w14:ligatures w14:val="standardContextual"/>
            </w:rPr>
          </w:pPr>
          <w:hyperlink w:anchor="_Toc227069433" w:history="1">
            <w:r w:rsidRPr="00022E10">
              <w:rPr>
                <w:rStyle w:val="Hyperlink"/>
                <w:noProof/>
              </w:rPr>
              <w:t>14.3 Security Deposits</w:t>
            </w:r>
            <w:r>
              <w:rPr>
                <w:noProof/>
                <w:webHidden/>
              </w:rPr>
              <w:tab/>
            </w:r>
            <w:r>
              <w:rPr>
                <w:noProof/>
                <w:webHidden/>
              </w:rPr>
              <w:fldChar w:fldCharType="begin"/>
            </w:r>
            <w:r>
              <w:rPr>
                <w:noProof/>
                <w:webHidden/>
              </w:rPr>
              <w:instrText xml:space="preserve"> PAGEREF _Toc227069433 \h </w:instrText>
            </w:r>
            <w:r>
              <w:rPr>
                <w:noProof/>
                <w:webHidden/>
              </w:rPr>
            </w:r>
            <w:r>
              <w:rPr>
                <w:noProof/>
                <w:webHidden/>
              </w:rPr>
              <w:fldChar w:fldCharType="separate"/>
            </w:r>
            <w:r>
              <w:rPr>
                <w:noProof/>
                <w:webHidden/>
              </w:rPr>
              <w:t>3</w:t>
            </w:r>
            <w:r>
              <w:rPr>
                <w:noProof/>
                <w:webHidden/>
              </w:rPr>
              <w:fldChar w:fldCharType="end"/>
            </w:r>
          </w:hyperlink>
        </w:p>
        <w:p w14:paraId="06EDE5DF" w14:textId="0A4524F7" w:rsidR="00C1178F" w:rsidRDefault="00C1178F">
          <w:pPr>
            <w:pStyle w:val="TOC2"/>
            <w:tabs>
              <w:tab w:val="right" w:leader="dot" w:pos="10070"/>
            </w:tabs>
            <w:rPr>
              <w:noProof/>
              <w:kern w:val="2"/>
              <w:sz w:val="24"/>
              <w:szCs w:val="24"/>
              <w14:ligatures w14:val="standardContextual"/>
            </w:rPr>
          </w:pPr>
          <w:hyperlink w:anchor="_Toc227069434" w:history="1">
            <w:r w:rsidRPr="00022E10">
              <w:rPr>
                <w:rStyle w:val="Hyperlink"/>
                <w:noProof/>
              </w:rPr>
              <w:t>During the Tenancy</w:t>
            </w:r>
            <w:r>
              <w:rPr>
                <w:noProof/>
                <w:webHidden/>
              </w:rPr>
              <w:tab/>
            </w:r>
            <w:r>
              <w:rPr>
                <w:noProof/>
                <w:webHidden/>
              </w:rPr>
              <w:fldChar w:fldCharType="begin"/>
            </w:r>
            <w:r>
              <w:rPr>
                <w:noProof/>
                <w:webHidden/>
              </w:rPr>
              <w:instrText xml:space="preserve"> PAGEREF _Toc227069434 \h </w:instrText>
            </w:r>
            <w:r>
              <w:rPr>
                <w:noProof/>
                <w:webHidden/>
              </w:rPr>
            </w:r>
            <w:r>
              <w:rPr>
                <w:noProof/>
                <w:webHidden/>
              </w:rPr>
              <w:fldChar w:fldCharType="separate"/>
            </w:r>
            <w:r>
              <w:rPr>
                <w:noProof/>
                <w:webHidden/>
              </w:rPr>
              <w:t>3</w:t>
            </w:r>
            <w:r>
              <w:rPr>
                <w:noProof/>
                <w:webHidden/>
              </w:rPr>
              <w:fldChar w:fldCharType="end"/>
            </w:r>
          </w:hyperlink>
        </w:p>
        <w:p w14:paraId="6F98582D" w14:textId="54202DF4" w:rsidR="00C1178F" w:rsidRDefault="00C1178F">
          <w:pPr>
            <w:pStyle w:val="TOC2"/>
            <w:tabs>
              <w:tab w:val="right" w:leader="dot" w:pos="10070"/>
            </w:tabs>
            <w:rPr>
              <w:noProof/>
              <w:kern w:val="2"/>
              <w:sz w:val="24"/>
              <w:szCs w:val="24"/>
              <w14:ligatures w14:val="standardContextual"/>
            </w:rPr>
          </w:pPr>
          <w:hyperlink w:anchor="_Toc227069435" w:history="1">
            <w:r w:rsidRPr="00022E10">
              <w:rPr>
                <w:rStyle w:val="Hyperlink"/>
                <w:noProof/>
              </w:rPr>
              <w:t>After the Tenancy</w:t>
            </w:r>
            <w:r>
              <w:rPr>
                <w:noProof/>
                <w:webHidden/>
              </w:rPr>
              <w:tab/>
            </w:r>
            <w:r>
              <w:rPr>
                <w:noProof/>
                <w:webHidden/>
              </w:rPr>
              <w:fldChar w:fldCharType="begin"/>
            </w:r>
            <w:r>
              <w:rPr>
                <w:noProof/>
                <w:webHidden/>
              </w:rPr>
              <w:instrText xml:space="preserve"> PAGEREF _Toc227069435 \h </w:instrText>
            </w:r>
            <w:r>
              <w:rPr>
                <w:noProof/>
                <w:webHidden/>
              </w:rPr>
            </w:r>
            <w:r>
              <w:rPr>
                <w:noProof/>
                <w:webHidden/>
              </w:rPr>
              <w:fldChar w:fldCharType="separate"/>
            </w:r>
            <w:r>
              <w:rPr>
                <w:noProof/>
                <w:webHidden/>
              </w:rPr>
              <w:t>3</w:t>
            </w:r>
            <w:r>
              <w:rPr>
                <w:noProof/>
                <w:webHidden/>
              </w:rPr>
              <w:fldChar w:fldCharType="end"/>
            </w:r>
          </w:hyperlink>
        </w:p>
        <w:p w14:paraId="427BB115" w14:textId="332B78C7" w:rsidR="00C1178F" w:rsidRDefault="00C1178F">
          <w:pPr>
            <w:pStyle w:val="TOC1"/>
            <w:tabs>
              <w:tab w:val="right" w:leader="dot" w:pos="10070"/>
            </w:tabs>
            <w:rPr>
              <w:noProof/>
              <w:kern w:val="2"/>
              <w:sz w:val="24"/>
              <w:szCs w:val="24"/>
              <w14:ligatures w14:val="standardContextual"/>
            </w:rPr>
          </w:pPr>
          <w:hyperlink w:anchor="_Toc227069436" w:history="1">
            <w:r w:rsidRPr="00022E10">
              <w:rPr>
                <w:rStyle w:val="Hyperlink"/>
                <w:noProof/>
              </w:rPr>
              <w:t>14.4 Rent Increases</w:t>
            </w:r>
            <w:r>
              <w:rPr>
                <w:noProof/>
                <w:webHidden/>
              </w:rPr>
              <w:tab/>
            </w:r>
            <w:r>
              <w:rPr>
                <w:noProof/>
                <w:webHidden/>
              </w:rPr>
              <w:fldChar w:fldCharType="begin"/>
            </w:r>
            <w:r>
              <w:rPr>
                <w:noProof/>
                <w:webHidden/>
              </w:rPr>
              <w:instrText xml:space="preserve"> PAGEREF _Toc227069436 \h </w:instrText>
            </w:r>
            <w:r>
              <w:rPr>
                <w:noProof/>
                <w:webHidden/>
              </w:rPr>
            </w:r>
            <w:r>
              <w:rPr>
                <w:noProof/>
                <w:webHidden/>
              </w:rPr>
              <w:fldChar w:fldCharType="separate"/>
            </w:r>
            <w:r>
              <w:rPr>
                <w:noProof/>
                <w:webHidden/>
              </w:rPr>
              <w:t>3</w:t>
            </w:r>
            <w:r>
              <w:rPr>
                <w:noProof/>
                <w:webHidden/>
              </w:rPr>
              <w:fldChar w:fldCharType="end"/>
            </w:r>
          </w:hyperlink>
        </w:p>
        <w:p w14:paraId="1E453A7D" w14:textId="1CD092A5" w:rsidR="00C1178F" w:rsidRDefault="00C1178F">
          <w:pPr>
            <w:pStyle w:val="TOC1"/>
            <w:tabs>
              <w:tab w:val="right" w:leader="dot" w:pos="10070"/>
            </w:tabs>
            <w:rPr>
              <w:noProof/>
              <w:kern w:val="2"/>
              <w:sz w:val="24"/>
              <w:szCs w:val="24"/>
              <w14:ligatures w14:val="standardContextual"/>
            </w:rPr>
          </w:pPr>
          <w:hyperlink w:anchor="_Toc227069437" w:history="1">
            <w:r w:rsidRPr="00022E10">
              <w:rPr>
                <w:rStyle w:val="Hyperlink"/>
                <w:noProof/>
              </w:rPr>
              <w:t>14.5 Illegal Discrimination</w:t>
            </w:r>
            <w:r>
              <w:rPr>
                <w:noProof/>
                <w:webHidden/>
              </w:rPr>
              <w:tab/>
            </w:r>
            <w:r>
              <w:rPr>
                <w:noProof/>
                <w:webHidden/>
              </w:rPr>
              <w:fldChar w:fldCharType="begin"/>
            </w:r>
            <w:r>
              <w:rPr>
                <w:noProof/>
                <w:webHidden/>
              </w:rPr>
              <w:instrText xml:space="preserve"> PAGEREF _Toc227069437 \h </w:instrText>
            </w:r>
            <w:r>
              <w:rPr>
                <w:noProof/>
                <w:webHidden/>
              </w:rPr>
            </w:r>
            <w:r>
              <w:rPr>
                <w:noProof/>
                <w:webHidden/>
              </w:rPr>
              <w:fldChar w:fldCharType="separate"/>
            </w:r>
            <w:r>
              <w:rPr>
                <w:noProof/>
                <w:webHidden/>
              </w:rPr>
              <w:t>3</w:t>
            </w:r>
            <w:r>
              <w:rPr>
                <w:noProof/>
                <w:webHidden/>
              </w:rPr>
              <w:fldChar w:fldCharType="end"/>
            </w:r>
          </w:hyperlink>
        </w:p>
        <w:p w14:paraId="60E1884D" w14:textId="1283B21C" w:rsidR="00C1178F" w:rsidRDefault="00C1178F">
          <w:pPr>
            <w:pStyle w:val="TOC1"/>
            <w:tabs>
              <w:tab w:val="right" w:leader="dot" w:pos="10070"/>
            </w:tabs>
            <w:rPr>
              <w:noProof/>
              <w:kern w:val="2"/>
              <w:sz w:val="24"/>
              <w:szCs w:val="24"/>
              <w14:ligatures w14:val="standardContextual"/>
            </w:rPr>
          </w:pPr>
          <w:hyperlink w:anchor="_Toc227069438" w:history="1">
            <w:r w:rsidRPr="00022E10">
              <w:rPr>
                <w:rStyle w:val="Hyperlink"/>
                <w:noProof/>
              </w:rPr>
              <w:t>14.6 Rental Housing Must Be Fit and Safe for Human Habitation</w:t>
            </w:r>
            <w:r>
              <w:rPr>
                <w:noProof/>
                <w:webHidden/>
              </w:rPr>
              <w:tab/>
            </w:r>
            <w:r>
              <w:rPr>
                <w:noProof/>
                <w:webHidden/>
              </w:rPr>
              <w:fldChar w:fldCharType="begin"/>
            </w:r>
            <w:r>
              <w:rPr>
                <w:noProof/>
                <w:webHidden/>
              </w:rPr>
              <w:instrText xml:space="preserve"> PAGEREF _Toc227069438 \h </w:instrText>
            </w:r>
            <w:r>
              <w:rPr>
                <w:noProof/>
                <w:webHidden/>
              </w:rPr>
            </w:r>
            <w:r>
              <w:rPr>
                <w:noProof/>
                <w:webHidden/>
              </w:rPr>
              <w:fldChar w:fldCharType="separate"/>
            </w:r>
            <w:r>
              <w:rPr>
                <w:noProof/>
                <w:webHidden/>
              </w:rPr>
              <w:t>4</w:t>
            </w:r>
            <w:r>
              <w:rPr>
                <w:noProof/>
                <w:webHidden/>
              </w:rPr>
              <w:fldChar w:fldCharType="end"/>
            </w:r>
          </w:hyperlink>
        </w:p>
        <w:p w14:paraId="4736E955" w14:textId="07480040" w:rsidR="00C1178F" w:rsidRDefault="00C1178F">
          <w:pPr>
            <w:pStyle w:val="TOC2"/>
            <w:tabs>
              <w:tab w:val="right" w:leader="dot" w:pos="10070"/>
            </w:tabs>
            <w:rPr>
              <w:noProof/>
              <w:kern w:val="2"/>
              <w:sz w:val="24"/>
              <w:szCs w:val="24"/>
              <w14:ligatures w14:val="standardContextual"/>
            </w:rPr>
          </w:pPr>
          <w:hyperlink w:anchor="_Toc227069439" w:history="1">
            <w:r w:rsidRPr="00022E10">
              <w:rPr>
                <w:rStyle w:val="Hyperlink"/>
                <w:noProof/>
              </w:rPr>
              <w:t>Implied Warranty and Covenant of Habitability</w:t>
            </w:r>
            <w:r>
              <w:rPr>
                <w:noProof/>
                <w:webHidden/>
              </w:rPr>
              <w:tab/>
            </w:r>
            <w:r>
              <w:rPr>
                <w:noProof/>
                <w:webHidden/>
              </w:rPr>
              <w:fldChar w:fldCharType="begin"/>
            </w:r>
            <w:r>
              <w:rPr>
                <w:noProof/>
                <w:webHidden/>
              </w:rPr>
              <w:instrText xml:space="preserve"> PAGEREF _Toc227069439 \h </w:instrText>
            </w:r>
            <w:r>
              <w:rPr>
                <w:noProof/>
                <w:webHidden/>
              </w:rPr>
            </w:r>
            <w:r>
              <w:rPr>
                <w:noProof/>
                <w:webHidden/>
              </w:rPr>
              <w:fldChar w:fldCharType="separate"/>
            </w:r>
            <w:r>
              <w:rPr>
                <w:noProof/>
                <w:webHidden/>
              </w:rPr>
              <w:t>4</w:t>
            </w:r>
            <w:r>
              <w:rPr>
                <w:noProof/>
                <w:webHidden/>
              </w:rPr>
              <w:fldChar w:fldCharType="end"/>
            </w:r>
          </w:hyperlink>
        </w:p>
        <w:p w14:paraId="20A24948" w14:textId="2388B36E" w:rsidR="00C1178F" w:rsidRDefault="00C1178F">
          <w:pPr>
            <w:pStyle w:val="TOC2"/>
            <w:tabs>
              <w:tab w:val="right" w:leader="dot" w:pos="10070"/>
            </w:tabs>
            <w:rPr>
              <w:noProof/>
              <w:kern w:val="2"/>
              <w:sz w:val="24"/>
              <w:szCs w:val="24"/>
              <w14:ligatures w14:val="standardContextual"/>
            </w:rPr>
          </w:pPr>
          <w:hyperlink w:anchor="_Toc227069440" w:history="1">
            <w:r w:rsidRPr="00022E10">
              <w:rPr>
                <w:rStyle w:val="Hyperlink"/>
                <w:noProof/>
              </w:rPr>
              <w:t>Heat</w:t>
            </w:r>
            <w:r>
              <w:rPr>
                <w:noProof/>
                <w:webHidden/>
              </w:rPr>
              <w:tab/>
            </w:r>
            <w:r>
              <w:rPr>
                <w:noProof/>
                <w:webHidden/>
              </w:rPr>
              <w:fldChar w:fldCharType="begin"/>
            </w:r>
            <w:r>
              <w:rPr>
                <w:noProof/>
                <w:webHidden/>
              </w:rPr>
              <w:instrText xml:space="preserve"> PAGEREF _Toc227069440 \h </w:instrText>
            </w:r>
            <w:r>
              <w:rPr>
                <w:noProof/>
                <w:webHidden/>
              </w:rPr>
            </w:r>
            <w:r>
              <w:rPr>
                <w:noProof/>
                <w:webHidden/>
              </w:rPr>
              <w:fldChar w:fldCharType="separate"/>
            </w:r>
            <w:r>
              <w:rPr>
                <w:noProof/>
                <w:webHidden/>
              </w:rPr>
              <w:t>4</w:t>
            </w:r>
            <w:r>
              <w:rPr>
                <w:noProof/>
                <w:webHidden/>
              </w:rPr>
              <w:fldChar w:fldCharType="end"/>
            </w:r>
          </w:hyperlink>
        </w:p>
        <w:p w14:paraId="0CE21C1C" w14:textId="2C69131D" w:rsidR="00C1178F" w:rsidRDefault="00C1178F">
          <w:pPr>
            <w:pStyle w:val="TOC2"/>
            <w:tabs>
              <w:tab w:val="right" w:leader="dot" w:pos="10070"/>
            </w:tabs>
            <w:rPr>
              <w:noProof/>
              <w:kern w:val="2"/>
              <w:sz w:val="24"/>
              <w:szCs w:val="24"/>
              <w14:ligatures w14:val="standardContextual"/>
            </w:rPr>
          </w:pPr>
          <w:hyperlink w:anchor="_Toc227069441" w:history="1">
            <w:r w:rsidRPr="00022E10">
              <w:rPr>
                <w:rStyle w:val="Hyperlink"/>
                <w:noProof/>
              </w:rPr>
              <w:t>Other Utilities</w:t>
            </w:r>
            <w:r>
              <w:rPr>
                <w:noProof/>
                <w:webHidden/>
              </w:rPr>
              <w:tab/>
            </w:r>
            <w:r>
              <w:rPr>
                <w:noProof/>
                <w:webHidden/>
              </w:rPr>
              <w:fldChar w:fldCharType="begin"/>
            </w:r>
            <w:r>
              <w:rPr>
                <w:noProof/>
                <w:webHidden/>
              </w:rPr>
              <w:instrText xml:space="preserve"> PAGEREF _Toc227069441 \h </w:instrText>
            </w:r>
            <w:r>
              <w:rPr>
                <w:noProof/>
                <w:webHidden/>
              </w:rPr>
            </w:r>
            <w:r>
              <w:rPr>
                <w:noProof/>
                <w:webHidden/>
              </w:rPr>
              <w:fldChar w:fldCharType="separate"/>
            </w:r>
            <w:r>
              <w:rPr>
                <w:noProof/>
                <w:webHidden/>
              </w:rPr>
              <w:t>4</w:t>
            </w:r>
            <w:r>
              <w:rPr>
                <w:noProof/>
                <w:webHidden/>
              </w:rPr>
              <w:fldChar w:fldCharType="end"/>
            </w:r>
          </w:hyperlink>
        </w:p>
        <w:p w14:paraId="595D268D" w14:textId="1C980630" w:rsidR="00C1178F" w:rsidRDefault="00C1178F">
          <w:pPr>
            <w:pStyle w:val="TOC2"/>
            <w:tabs>
              <w:tab w:val="right" w:leader="dot" w:pos="10070"/>
            </w:tabs>
            <w:rPr>
              <w:noProof/>
              <w:kern w:val="2"/>
              <w:sz w:val="24"/>
              <w:szCs w:val="24"/>
              <w14:ligatures w14:val="standardContextual"/>
            </w:rPr>
          </w:pPr>
          <w:hyperlink w:anchor="_Toc227069442" w:history="1">
            <w:r w:rsidRPr="00022E10">
              <w:rPr>
                <w:rStyle w:val="Hyperlink"/>
                <w:noProof/>
              </w:rPr>
              <w:t>Lead</w:t>
            </w:r>
            <w:r>
              <w:rPr>
                <w:noProof/>
                <w:webHidden/>
              </w:rPr>
              <w:tab/>
            </w:r>
            <w:r>
              <w:rPr>
                <w:noProof/>
                <w:webHidden/>
              </w:rPr>
              <w:fldChar w:fldCharType="begin"/>
            </w:r>
            <w:r>
              <w:rPr>
                <w:noProof/>
                <w:webHidden/>
              </w:rPr>
              <w:instrText xml:space="preserve"> PAGEREF _Toc227069442 \h </w:instrText>
            </w:r>
            <w:r>
              <w:rPr>
                <w:noProof/>
                <w:webHidden/>
              </w:rPr>
            </w:r>
            <w:r>
              <w:rPr>
                <w:noProof/>
                <w:webHidden/>
              </w:rPr>
              <w:fldChar w:fldCharType="separate"/>
            </w:r>
            <w:r>
              <w:rPr>
                <w:noProof/>
                <w:webHidden/>
              </w:rPr>
              <w:t>4</w:t>
            </w:r>
            <w:r>
              <w:rPr>
                <w:noProof/>
                <w:webHidden/>
              </w:rPr>
              <w:fldChar w:fldCharType="end"/>
            </w:r>
          </w:hyperlink>
        </w:p>
        <w:p w14:paraId="659CDAE5" w14:textId="102BDFC0" w:rsidR="00C1178F" w:rsidRDefault="00C1178F">
          <w:pPr>
            <w:pStyle w:val="TOC2"/>
            <w:tabs>
              <w:tab w:val="right" w:leader="dot" w:pos="10070"/>
            </w:tabs>
            <w:rPr>
              <w:noProof/>
              <w:kern w:val="2"/>
              <w:sz w:val="24"/>
              <w:szCs w:val="24"/>
              <w14:ligatures w14:val="standardContextual"/>
            </w:rPr>
          </w:pPr>
          <w:hyperlink w:anchor="_Toc227069443" w:history="1">
            <w:r w:rsidRPr="00022E10">
              <w:rPr>
                <w:rStyle w:val="Hyperlink"/>
                <w:noProof/>
              </w:rPr>
              <w:t>Bedbugs</w:t>
            </w:r>
            <w:r>
              <w:rPr>
                <w:noProof/>
                <w:webHidden/>
              </w:rPr>
              <w:tab/>
            </w:r>
            <w:r>
              <w:rPr>
                <w:noProof/>
                <w:webHidden/>
              </w:rPr>
              <w:fldChar w:fldCharType="begin"/>
            </w:r>
            <w:r>
              <w:rPr>
                <w:noProof/>
                <w:webHidden/>
              </w:rPr>
              <w:instrText xml:space="preserve"> PAGEREF _Toc227069443 \h </w:instrText>
            </w:r>
            <w:r>
              <w:rPr>
                <w:noProof/>
                <w:webHidden/>
              </w:rPr>
            </w:r>
            <w:r>
              <w:rPr>
                <w:noProof/>
                <w:webHidden/>
              </w:rPr>
              <w:fldChar w:fldCharType="separate"/>
            </w:r>
            <w:r>
              <w:rPr>
                <w:noProof/>
                <w:webHidden/>
              </w:rPr>
              <w:t>5</w:t>
            </w:r>
            <w:r>
              <w:rPr>
                <w:noProof/>
                <w:webHidden/>
              </w:rPr>
              <w:fldChar w:fldCharType="end"/>
            </w:r>
          </w:hyperlink>
        </w:p>
        <w:p w14:paraId="4D865DB4" w14:textId="199BBE73" w:rsidR="00C1178F" w:rsidRDefault="00C1178F">
          <w:pPr>
            <w:pStyle w:val="TOC1"/>
            <w:tabs>
              <w:tab w:val="right" w:leader="dot" w:pos="10070"/>
            </w:tabs>
            <w:rPr>
              <w:noProof/>
              <w:kern w:val="2"/>
              <w:sz w:val="24"/>
              <w:szCs w:val="24"/>
              <w14:ligatures w14:val="standardContextual"/>
            </w:rPr>
          </w:pPr>
          <w:hyperlink w:anchor="_Toc227069444" w:history="1">
            <w:r w:rsidRPr="00022E10">
              <w:rPr>
                <w:rStyle w:val="Hyperlink"/>
                <w:noProof/>
              </w:rPr>
              <w:t>14.7 Landlord Access</w:t>
            </w:r>
            <w:r>
              <w:rPr>
                <w:noProof/>
                <w:webHidden/>
              </w:rPr>
              <w:tab/>
            </w:r>
            <w:r>
              <w:rPr>
                <w:noProof/>
                <w:webHidden/>
              </w:rPr>
              <w:fldChar w:fldCharType="begin"/>
            </w:r>
            <w:r>
              <w:rPr>
                <w:noProof/>
                <w:webHidden/>
              </w:rPr>
              <w:instrText xml:space="preserve"> PAGEREF _Toc227069444 \h </w:instrText>
            </w:r>
            <w:r>
              <w:rPr>
                <w:noProof/>
                <w:webHidden/>
              </w:rPr>
            </w:r>
            <w:r>
              <w:rPr>
                <w:noProof/>
                <w:webHidden/>
              </w:rPr>
              <w:fldChar w:fldCharType="separate"/>
            </w:r>
            <w:r>
              <w:rPr>
                <w:noProof/>
                <w:webHidden/>
              </w:rPr>
              <w:t>5</w:t>
            </w:r>
            <w:r>
              <w:rPr>
                <w:noProof/>
                <w:webHidden/>
              </w:rPr>
              <w:fldChar w:fldCharType="end"/>
            </w:r>
          </w:hyperlink>
        </w:p>
        <w:p w14:paraId="36C5AC6A" w14:textId="41997248" w:rsidR="00C1178F" w:rsidRDefault="00C1178F">
          <w:pPr>
            <w:pStyle w:val="TOC1"/>
            <w:tabs>
              <w:tab w:val="right" w:leader="dot" w:pos="10070"/>
            </w:tabs>
            <w:rPr>
              <w:noProof/>
              <w:kern w:val="2"/>
              <w:sz w:val="24"/>
              <w:szCs w:val="24"/>
              <w14:ligatures w14:val="standardContextual"/>
            </w:rPr>
          </w:pPr>
          <w:hyperlink w:anchor="_Toc227069445" w:history="1">
            <w:r w:rsidRPr="00022E10">
              <w:rPr>
                <w:rStyle w:val="Hyperlink"/>
                <w:noProof/>
              </w:rPr>
              <w:t>14.8 Evictions</w:t>
            </w:r>
            <w:r>
              <w:rPr>
                <w:noProof/>
                <w:webHidden/>
              </w:rPr>
              <w:tab/>
            </w:r>
            <w:r>
              <w:rPr>
                <w:noProof/>
                <w:webHidden/>
              </w:rPr>
              <w:fldChar w:fldCharType="begin"/>
            </w:r>
            <w:r>
              <w:rPr>
                <w:noProof/>
                <w:webHidden/>
              </w:rPr>
              <w:instrText xml:space="preserve"> PAGEREF _Toc227069445 \h </w:instrText>
            </w:r>
            <w:r>
              <w:rPr>
                <w:noProof/>
                <w:webHidden/>
              </w:rPr>
            </w:r>
            <w:r>
              <w:rPr>
                <w:noProof/>
                <w:webHidden/>
              </w:rPr>
              <w:fldChar w:fldCharType="separate"/>
            </w:r>
            <w:r>
              <w:rPr>
                <w:noProof/>
                <w:webHidden/>
              </w:rPr>
              <w:t>5</w:t>
            </w:r>
            <w:r>
              <w:rPr>
                <w:noProof/>
                <w:webHidden/>
              </w:rPr>
              <w:fldChar w:fldCharType="end"/>
            </w:r>
          </w:hyperlink>
        </w:p>
        <w:p w14:paraId="5874392B" w14:textId="4E017CE9" w:rsidR="00C1178F" w:rsidRDefault="00C1178F">
          <w:pPr>
            <w:pStyle w:val="TOC2"/>
            <w:tabs>
              <w:tab w:val="right" w:leader="dot" w:pos="10070"/>
            </w:tabs>
            <w:rPr>
              <w:noProof/>
              <w:kern w:val="2"/>
              <w:sz w:val="24"/>
              <w:szCs w:val="24"/>
              <w14:ligatures w14:val="standardContextual"/>
            </w:rPr>
          </w:pPr>
          <w:hyperlink w:anchor="_Toc227069446" w:history="1">
            <w:r w:rsidRPr="00022E10">
              <w:rPr>
                <w:rStyle w:val="Hyperlink"/>
                <w:noProof/>
              </w:rPr>
              <w:t>Notice to Quit</w:t>
            </w:r>
            <w:r>
              <w:rPr>
                <w:noProof/>
                <w:webHidden/>
              </w:rPr>
              <w:tab/>
            </w:r>
            <w:r>
              <w:rPr>
                <w:noProof/>
                <w:webHidden/>
              </w:rPr>
              <w:fldChar w:fldCharType="begin"/>
            </w:r>
            <w:r>
              <w:rPr>
                <w:noProof/>
                <w:webHidden/>
              </w:rPr>
              <w:instrText xml:space="preserve"> PAGEREF _Toc227069446 \h </w:instrText>
            </w:r>
            <w:r>
              <w:rPr>
                <w:noProof/>
                <w:webHidden/>
              </w:rPr>
            </w:r>
            <w:r>
              <w:rPr>
                <w:noProof/>
                <w:webHidden/>
              </w:rPr>
              <w:fldChar w:fldCharType="separate"/>
            </w:r>
            <w:r>
              <w:rPr>
                <w:noProof/>
                <w:webHidden/>
              </w:rPr>
              <w:t>6</w:t>
            </w:r>
            <w:r>
              <w:rPr>
                <w:noProof/>
                <w:webHidden/>
              </w:rPr>
              <w:fldChar w:fldCharType="end"/>
            </w:r>
          </w:hyperlink>
        </w:p>
        <w:p w14:paraId="7DC21E94" w14:textId="70366079" w:rsidR="00C1178F" w:rsidRDefault="00C1178F">
          <w:pPr>
            <w:pStyle w:val="TOC2"/>
            <w:tabs>
              <w:tab w:val="right" w:leader="dot" w:pos="10070"/>
            </w:tabs>
            <w:rPr>
              <w:noProof/>
              <w:kern w:val="2"/>
              <w:sz w:val="24"/>
              <w:szCs w:val="24"/>
              <w14:ligatures w14:val="standardContextual"/>
            </w:rPr>
          </w:pPr>
          <w:hyperlink w:anchor="_Toc227069447" w:history="1">
            <w:r w:rsidRPr="00022E10">
              <w:rPr>
                <w:rStyle w:val="Hyperlink"/>
                <w:noProof/>
              </w:rPr>
              <w:t>Court Proceeding</w:t>
            </w:r>
            <w:r>
              <w:rPr>
                <w:noProof/>
                <w:webHidden/>
              </w:rPr>
              <w:tab/>
            </w:r>
            <w:r>
              <w:rPr>
                <w:noProof/>
                <w:webHidden/>
              </w:rPr>
              <w:fldChar w:fldCharType="begin"/>
            </w:r>
            <w:r>
              <w:rPr>
                <w:noProof/>
                <w:webHidden/>
              </w:rPr>
              <w:instrText xml:space="preserve"> PAGEREF _Toc227069447 \h </w:instrText>
            </w:r>
            <w:r>
              <w:rPr>
                <w:noProof/>
                <w:webHidden/>
              </w:rPr>
            </w:r>
            <w:r>
              <w:rPr>
                <w:noProof/>
                <w:webHidden/>
              </w:rPr>
              <w:fldChar w:fldCharType="separate"/>
            </w:r>
            <w:r>
              <w:rPr>
                <w:noProof/>
                <w:webHidden/>
              </w:rPr>
              <w:t>6</w:t>
            </w:r>
            <w:r>
              <w:rPr>
                <w:noProof/>
                <w:webHidden/>
              </w:rPr>
              <w:fldChar w:fldCharType="end"/>
            </w:r>
          </w:hyperlink>
        </w:p>
        <w:p w14:paraId="1B1C0C8D" w14:textId="713110F8" w:rsidR="00C1178F" w:rsidRDefault="00C1178F">
          <w:pPr>
            <w:pStyle w:val="TOC2"/>
            <w:tabs>
              <w:tab w:val="right" w:leader="dot" w:pos="10070"/>
            </w:tabs>
            <w:rPr>
              <w:noProof/>
              <w:kern w:val="2"/>
              <w:sz w:val="24"/>
              <w:szCs w:val="24"/>
              <w14:ligatures w14:val="standardContextual"/>
            </w:rPr>
          </w:pPr>
          <w:hyperlink w:anchor="_Toc227069448" w:history="1">
            <w:r w:rsidRPr="00022E10">
              <w:rPr>
                <w:rStyle w:val="Hyperlink"/>
                <w:noProof/>
              </w:rPr>
              <w:t>Writ of Possession</w:t>
            </w:r>
            <w:r>
              <w:rPr>
                <w:noProof/>
                <w:webHidden/>
              </w:rPr>
              <w:tab/>
            </w:r>
            <w:r>
              <w:rPr>
                <w:noProof/>
                <w:webHidden/>
              </w:rPr>
              <w:fldChar w:fldCharType="begin"/>
            </w:r>
            <w:r>
              <w:rPr>
                <w:noProof/>
                <w:webHidden/>
              </w:rPr>
              <w:instrText xml:space="preserve"> PAGEREF _Toc227069448 \h </w:instrText>
            </w:r>
            <w:r>
              <w:rPr>
                <w:noProof/>
                <w:webHidden/>
              </w:rPr>
            </w:r>
            <w:r>
              <w:rPr>
                <w:noProof/>
                <w:webHidden/>
              </w:rPr>
              <w:fldChar w:fldCharType="separate"/>
            </w:r>
            <w:r>
              <w:rPr>
                <w:noProof/>
                <w:webHidden/>
              </w:rPr>
              <w:t>6</w:t>
            </w:r>
            <w:r>
              <w:rPr>
                <w:noProof/>
                <w:webHidden/>
              </w:rPr>
              <w:fldChar w:fldCharType="end"/>
            </w:r>
          </w:hyperlink>
        </w:p>
        <w:p w14:paraId="1E1A4F92" w14:textId="770B458B" w:rsidR="00C1178F" w:rsidRDefault="00C1178F">
          <w:pPr>
            <w:pStyle w:val="TOC1"/>
            <w:tabs>
              <w:tab w:val="right" w:leader="dot" w:pos="10070"/>
            </w:tabs>
            <w:rPr>
              <w:noProof/>
              <w:kern w:val="2"/>
              <w:sz w:val="24"/>
              <w:szCs w:val="24"/>
              <w14:ligatures w14:val="standardContextual"/>
            </w:rPr>
          </w:pPr>
          <w:hyperlink w:anchor="_Toc227069449" w:history="1">
            <w:r w:rsidRPr="00022E10">
              <w:rPr>
                <w:rStyle w:val="Hyperlink"/>
                <w:noProof/>
              </w:rPr>
              <w:t>14.9 Abandoned Property</w:t>
            </w:r>
            <w:r>
              <w:rPr>
                <w:noProof/>
                <w:webHidden/>
              </w:rPr>
              <w:tab/>
            </w:r>
            <w:r>
              <w:rPr>
                <w:noProof/>
                <w:webHidden/>
              </w:rPr>
              <w:fldChar w:fldCharType="begin"/>
            </w:r>
            <w:r>
              <w:rPr>
                <w:noProof/>
                <w:webHidden/>
              </w:rPr>
              <w:instrText xml:space="preserve"> PAGEREF _Toc227069449 \h </w:instrText>
            </w:r>
            <w:r>
              <w:rPr>
                <w:noProof/>
                <w:webHidden/>
              </w:rPr>
            </w:r>
            <w:r>
              <w:rPr>
                <w:noProof/>
                <w:webHidden/>
              </w:rPr>
              <w:fldChar w:fldCharType="separate"/>
            </w:r>
            <w:r>
              <w:rPr>
                <w:noProof/>
                <w:webHidden/>
              </w:rPr>
              <w:t>7</w:t>
            </w:r>
            <w:r>
              <w:rPr>
                <w:noProof/>
                <w:webHidden/>
              </w:rPr>
              <w:fldChar w:fldCharType="end"/>
            </w:r>
          </w:hyperlink>
        </w:p>
        <w:p w14:paraId="726B5F6A" w14:textId="3EC862E4" w:rsidR="00C1178F" w:rsidRDefault="00C1178F">
          <w:pPr>
            <w:pStyle w:val="TOC1"/>
            <w:tabs>
              <w:tab w:val="right" w:leader="dot" w:pos="10070"/>
            </w:tabs>
            <w:rPr>
              <w:noProof/>
              <w:kern w:val="2"/>
              <w:sz w:val="24"/>
              <w:szCs w:val="24"/>
              <w14:ligatures w14:val="standardContextual"/>
            </w:rPr>
          </w:pPr>
          <w:hyperlink w:anchor="_Toc227069450" w:history="1">
            <w:r w:rsidRPr="00022E10">
              <w:rPr>
                <w:rStyle w:val="Hyperlink"/>
                <w:noProof/>
              </w:rPr>
              <w:t>14.10 Landlord’s Duty to Mitigate</w:t>
            </w:r>
            <w:r>
              <w:rPr>
                <w:noProof/>
                <w:webHidden/>
              </w:rPr>
              <w:tab/>
            </w:r>
            <w:r>
              <w:rPr>
                <w:noProof/>
                <w:webHidden/>
              </w:rPr>
              <w:fldChar w:fldCharType="begin"/>
            </w:r>
            <w:r>
              <w:rPr>
                <w:noProof/>
                <w:webHidden/>
              </w:rPr>
              <w:instrText xml:space="preserve"> PAGEREF _Toc227069450 \h </w:instrText>
            </w:r>
            <w:r>
              <w:rPr>
                <w:noProof/>
                <w:webHidden/>
              </w:rPr>
            </w:r>
            <w:r>
              <w:rPr>
                <w:noProof/>
                <w:webHidden/>
              </w:rPr>
              <w:fldChar w:fldCharType="separate"/>
            </w:r>
            <w:r>
              <w:rPr>
                <w:noProof/>
                <w:webHidden/>
              </w:rPr>
              <w:t>7</w:t>
            </w:r>
            <w:r>
              <w:rPr>
                <w:noProof/>
                <w:webHidden/>
              </w:rPr>
              <w:fldChar w:fldCharType="end"/>
            </w:r>
          </w:hyperlink>
        </w:p>
        <w:p w14:paraId="1C385B5F" w14:textId="513F63BF" w:rsidR="00C1178F" w:rsidRDefault="00C1178F">
          <w:pPr>
            <w:pStyle w:val="TOC1"/>
            <w:tabs>
              <w:tab w:val="right" w:leader="dot" w:pos="10070"/>
            </w:tabs>
            <w:rPr>
              <w:noProof/>
              <w:kern w:val="2"/>
              <w:sz w:val="24"/>
              <w:szCs w:val="24"/>
              <w14:ligatures w14:val="standardContextual"/>
            </w:rPr>
          </w:pPr>
          <w:hyperlink w:anchor="_Toc227069451" w:history="1">
            <w:r w:rsidRPr="00022E10">
              <w:rPr>
                <w:rStyle w:val="Hyperlink"/>
                <w:noProof/>
              </w:rPr>
              <w:t>14.11 Illegal Agreements</w:t>
            </w:r>
            <w:r>
              <w:rPr>
                <w:noProof/>
                <w:webHidden/>
              </w:rPr>
              <w:tab/>
            </w:r>
            <w:r>
              <w:rPr>
                <w:noProof/>
                <w:webHidden/>
              </w:rPr>
              <w:fldChar w:fldCharType="begin"/>
            </w:r>
            <w:r>
              <w:rPr>
                <w:noProof/>
                <w:webHidden/>
              </w:rPr>
              <w:instrText xml:space="preserve"> PAGEREF _Toc227069451 \h </w:instrText>
            </w:r>
            <w:r>
              <w:rPr>
                <w:noProof/>
                <w:webHidden/>
              </w:rPr>
            </w:r>
            <w:r>
              <w:rPr>
                <w:noProof/>
                <w:webHidden/>
              </w:rPr>
              <w:fldChar w:fldCharType="separate"/>
            </w:r>
            <w:r>
              <w:rPr>
                <w:noProof/>
                <w:webHidden/>
              </w:rPr>
              <w:t>7</w:t>
            </w:r>
            <w:r>
              <w:rPr>
                <w:noProof/>
                <w:webHidden/>
              </w:rPr>
              <w:fldChar w:fldCharType="end"/>
            </w:r>
          </w:hyperlink>
        </w:p>
        <w:p w14:paraId="39161AB6" w14:textId="16E97C5F" w:rsidR="00C1178F" w:rsidRDefault="00C1178F">
          <w:pPr>
            <w:pStyle w:val="TOC1"/>
            <w:tabs>
              <w:tab w:val="right" w:leader="dot" w:pos="10070"/>
            </w:tabs>
            <w:rPr>
              <w:noProof/>
              <w:kern w:val="2"/>
              <w:sz w:val="24"/>
              <w:szCs w:val="24"/>
              <w14:ligatures w14:val="standardContextual"/>
            </w:rPr>
          </w:pPr>
          <w:hyperlink w:anchor="_Toc227069452" w:history="1">
            <w:r w:rsidRPr="00022E10">
              <w:rPr>
                <w:rStyle w:val="Hyperlink"/>
                <w:noProof/>
              </w:rPr>
              <w:t>14.12 Seeking Help</w:t>
            </w:r>
            <w:r>
              <w:rPr>
                <w:noProof/>
                <w:webHidden/>
              </w:rPr>
              <w:tab/>
            </w:r>
            <w:r>
              <w:rPr>
                <w:noProof/>
                <w:webHidden/>
              </w:rPr>
              <w:fldChar w:fldCharType="begin"/>
            </w:r>
            <w:r>
              <w:rPr>
                <w:noProof/>
                <w:webHidden/>
              </w:rPr>
              <w:instrText xml:space="preserve"> PAGEREF _Toc227069452 \h </w:instrText>
            </w:r>
            <w:r>
              <w:rPr>
                <w:noProof/>
                <w:webHidden/>
              </w:rPr>
            </w:r>
            <w:r>
              <w:rPr>
                <w:noProof/>
                <w:webHidden/>
              </w:rPr>
              <w:fldChar w:fldCharType="separate"/>
            </w:r>
            <w:r>
              <w:rPr>
                <w:noProof/>
                <w:webHidden/>
              </w:rPr>
              <w:t>8</w:t>
            </w:r>
            <w:r>
              <w:rPr>
                <w:noProof/>
                <w:webHidden/>
              </w:rPr>
              <w:fldChar w:fldCharType="end"/>
            </w:r>
          </w:hyperlink>
        </w:p>
        <w:p w14:paraId="178B1D62" w14:textId="200B91BC" w:rsidR="00D036D5" w:rsidRDefault="00D036D5">
          <w:r>
            <w:rPr>
              <w:b/>
              <w:bCs/>
              <w:noProof/>
            </w:rPr>
            <w:fldChar w:fldCharType="end"/>
          </w:r>
        </w:p>
      </w:sdtContent>
    </w:sdt>
    <w:p w14:paraId="4427BD7D" w14:textId="22CDA32D" w:rsidR="008758EE" w:rsidRPr="008C146C" w:rsidRDefault="00731308" w:rsidP="008C146C">
      <w:pPr>
        <w:pStyle w:val="Heading1"/>
      </w:pPr>
      <w:bookmarkStart w:id="0" w:name="_Toc227069427"/>
      <w:r>
        <w:t xml:space="preserve">14.1 </w:t>
      </w:r>
      <w:r w:rsidR="008758EE" w:rsidRPr="008C146C">
        <w:t>Terminology</w:t>
      </w:r>
      <w:bookmarkEnd w:id="0"/>
      <w:r w:rsidR="008758EE" w:rsidRPr="008C146C">
        <w:t xml:space="preserve"> </w:t>
      </w:r>
    </w:p>
    <w:p w14:paraId="3A3EC24C" w14:textId="599FDC40" w:rsidR="00C90F44" w:rsidRPr="008C146C" w:rsidRDefault="008758EE" w:rsidP="0078409C">
      <w:r w:rsidRPr="008C146C">
        <w:t xml:space="preserve">The legal relationship between a person who rents their home and their landlord is called a </w:t>
      </w:r>
      <w:r w:rsidRPr="00C368AA">
        <w:rPr>
          <w:b/>
          <w:bCs/>
        </w:rPr>
        <w:t>tenancy</w:t>
      </w:r>
      <w:r w:rsidRPr="008C146C">
        <w:t xml:space="preserve">. </w:t>
      </w:r>
      <w:r w:rsidR="006376E0">
        <w:t>A tenant</w:t>
      </w:r>
      <w:r w:rsidR="000C5E74" w:rsidRPr="008C146C">
        <w:t xml:space="preserve"> may also be called a lessee, and a </w:t>
      </w:r>
      <w:r w:rsidR="000C5E74" w:rsidRPr="00C368AA">
        <w:rPr>
          <w:b/>
          <w:bCs/>
        </w:rPr>
        <w:t>landlord</w:t>
      </w:r>
      <w:r w:rsidR="000C5E74" w:rsidRPr="008C146C">
        <w:t xml:space="preserve"> a lessor. </w:t>
      </w:r>
      <w:r w:rsidR="00DE3935" w:rsidRPr="008C146C">
        <w:t>For consistency, t</w:t>
      </w:r>
      <w:r w:rsidR="00DF19AB" w:rsidRPr="008C146C">
        <w:t xml:space="preserve">his Chapter uses the terms tenant and landlord. </w:t>
      </w:r>
      <w:r w:rsidRPr="008C146C">
        <w:t xml:space="preserve">The terms of </w:t>
      </w:r>
      <w:r w:rsidR="00DF19AB" w:rsidRPr="008C146C">
        <w:t>a tenancy</w:t>
      </w:r>
      <w:r w:rsidRPr="008C146C">
        <w:t xml:space="preserve"> </w:t>
      </w:r>
      <w:r w:rsidR="00B10359" w:rsidRPr="008C146C">
        <w:t>may be</w:t>
      </w:r>
      <w:r w:rsidRPr="008C146C">
        <w:t xml:space="preserve"> described in a </w:t>
      </w:r>
      <w:r w:rsidR="00DF19AB" w:rsidRPr="008C146C">
        <w:t xml:space="preserve">written agreement, </w:t>
      </w:r>
      <w:r w:rsidR="00DE3935" w:rsidRPr="008C146C">
        <w:t xml:space="preserve">often called </w:t>
      </w:r>
      <w:r w:rsidR="00DF19AB" w:rsidRPr="008C146C">
        <w:t xml:space="preserve">a </w:t>
      </w:r>
      <w:r w:rsidR="00DF19AB" w:rsidRPr="00C368AA">
        <w:rPr>
          <w:b/>
          <w:bCs/>
        </w:rPr>
        <w:t>lease</w:t>
      </w:r>
      <w:r w:rsidR="00DF19AB" w:rsidRPr="008C146C">
        <w:t>. Maine law generally does not require written agreements for tenancies.</w:t>
      </w:r>
      <w:r w:rsidR="00C90F44" w:rsidRPr="008C146C">
        <w:rPr>
          <w:rStyle w:val="EndnoteReference"/>
          <w:rFonts w:ascii="Calibri" w:hAnsi="Calibri" w:cs="Calibri"/>
        </w:rPr>
        <w:endnoteReference w:id="1"/>
      </w:r>
      <w:r w:rsidR="00C90F44" w:rsidRPr="008C146C">
        <w:t xml:space="preserve"> If there is no written agreement, that is known as a </w:t>
      </w:r>
      <w:r w:rsidR="00C90F44" w:rsidRPr="00C368AA">
        <w:rPr>
          <w:b/>
          <w:bCs/>
        </w:rPr>
        <w:t>tenancy at will</w:t>
      </w:r>
      <w:r w:rsidR="00C90F44" w:rsidRPr="008C146C">
        <w:t xml:space="preserve">. </w:t>
      </w:r>
    </w:p>
    <w:p w14:paraId="1C6A98F0" w14:textId="0F4328C6" w:rsidR="00C90F44" w:rsidRPr="008C146C" w:rsidRDefault="00C90F44" w:rsidP="008C146C">
      <w:pPr>
        <w:pStyle w:val="Heading1"/>
      </w:pPr>
      <w:bookmarkStart w:id="1" w:name="_Toc227069428"/>
      <w:r>
        <w:t xml:space="preserve">14.2 </w:t>
      </w:r>
      <w:r w:rsidRPr="008C146C">
        <w:t xml:space="preserve">Becoming </w:t>
      </w:r>
      <w:r w:rsidR="00C1178F">
        <w:t>a Tenant</w:t>
      </w:r>
      <w:bookmarkEnd w:id="1"/>
    </w:p>
    <w:p w14:paraId="55F5DBC5" w14:textId="77777777" w:rsidR="00C90F44" w:rsidRDefault="00C90F44" w:rsidP="00E508C3">
      <w:pPr>
        <w:pStyle w:val="Heading2"/>
      </w:pPr>
      <w:bookmarkStart w:id="2" w:name="_Toc227069429"/>
      <w:r w:rsidRPr="008C146C">
        <w:t>Application Fees</w:t>
      </w:r>
      <w:bookmarkEnd w:id="2"/>
      <w:r w:rsidRPr="008C146C">
        <w:t xml:space="preserve"> </w:t>
      </w:r>
    </w:p>
    <w:p w14:paraId="2C3A87AF" w14:textId="79BEE42C" w:rsidR="00C90F44" w:rsidRPr="008C146C" w:rsidRDefault="00C90F44" w:rsidP="0078409C">
      <w:r w:rsidRPr="008C146C">
        <w:t>Many landlords require applications to evaluate prospective tenants. In Maine, landlords cannot charge application fees.</w:t>
      </w:r>
      <w:r w:rsidRPr="008C146C">
        <w:rPr>
          <w:rStyle w:val="EndnoteReference"/>
          <w:rFonts w:ascii="Calibri" w:hAnsi="Calibri" w:cs="Calibri"/>
        </w:rPr>
        <w:endnoteReference w:id="2"/>
      </w:r>
      <w:r w:rsidRPr="008C146C">
        <w:t xml:space="preserve"> A landlord can require </w:t>
      </w:r>
      <w:r>
        <w:t xml:space="preserve">you, </w:t>
      </w:r>
      <w:r w:rsidRPr="008C146C">
        <w:t>an applicant</w:t>
      </w:r>
      <w:r>
        <w:t>,</w:t>
      </w:r>
      <w:r w:rsidRPr="008C146C">
        <w:t xml:space="preserve"> to pay for the actual cost of one screening process (such as a background check or credit check)</w:t>
      </w:r>
      <w:r>
        <w:t xml:space="preserve">. However, </w:t>
      </w:r>
      <w:r w:rsidRPr="008C146C">
        <w:t xml:space="preserve">the landlord </w:t>
      </w:r>
      <w:r>
        <w:t>can do so only if they have</w:t>
      </w:r>
      <w:r w:rsidRPr="008C146C">
        <w:t xml:space="preserve"> notified </w:t>
      </w:r>
      <w:r>
        <w:t>you</w:t>
      </w:r>
      <w:r w:rsidRPr="008C146C">
        <w:t xml:space="preserve"> that the</w:t>
      </w:r>
      <w:r>
        <w:t>y</w:t>
      </w:r>
      <w:r w:rsidRPr="008C146C">
        <w:t xml:space="preserve"> </w:t>
      </w:r>
      <w:r>
        <w:t>are</w:t>
      </w:r>
      <w:r w:rsidRPr="008C146C">
        <w:t xml:space="preserve"> legally required to provide</w:t>
      </w:r>
      <w:r>
        <w:t xml:space="preserve"> to you</w:t>
      </w:r>
      <w:r w:rsidRPr="008C146C">
        <w:t xml:space="preserve"> a complete copy of all information obtained from that process. </w:t>
      </w:r>
    </w:p>
    <w:p w14:paraId="5A5D99AB" w14:textId="6448B161" w:rsidR="00C90F44" w:rsidRDefault="00C90F44" w:rsidP="00E508C3">
      <w:pPr>
        <w:pStyle w:val="Heading2"/>
      </w:pPr>
      <w:bookmarkStart w:id="3" w:name="_Toc227069430"/>
      <w:r w:rsidRPr="008C146C">
        <w:t>Total Price Disclosure</w:t>
      </w:r>
      <w:bookmarkEnd w:id="3"/>
    </w:p>
    <w:p w14:paraId="61815DDC" w14:textId="3E8F2C90" w:rsidR="00C90F44" w:rsidRPr="008C146C" w:rsidRDefault="00C90F44" w:rsidP="0078409C">
      <w:r w:rsidRPr="008C146C">
        <w:t xml:space="preserve">A landlord must also provide </w:t>
      </w:r>
      <w:r>
        <w:t>you</w:t>
      </w:r>
      <w:r w:rsidRPr="008C146C">
        <w:t xml:space="preserve"> with a written disclosure of all costs that </w:t>
      </w:r>
      <w:r>
        <w:t>you</w:t>
      </w:r>
      <w:r w:rsidRPr="008C146C">
        <w:t xml:space="preserve"> will be responsible for paying if </w:t>
      </w:r>
      <w:r>
        <w:t>you</w:t>
      </w:r>
      <w:r w:rsidRPr="008C146C">
        <w:t xml:space="preserve"> become </w:t>
      </w:r>
      <w:r>
        <w:t>a tenant</w:t>
      </w:r>
      <w:r w:rsidRPr="008C146C">
        <w:t>.</w:t>
      </w:r>
      <w:r w:rsidRPr="008C146C">
        <w:rPr>
          <w:rStyle w:val="EndnoteReference"/>
          <w:rFonts w:ascii="Calibri" w:hAnsi="Calibri" w:cs="Calibri"/>
        </w:rPr>
        <w:endnoteReference w:id="3"/>
      </w:r>
      <w:r w:rsidRPr="008C146C">
        <w:t xml:space="preserve"> This Total Price Disclosure must include the total cost of rent, usually stated as a monthly amount, and any mandatory or optional recurring fees, utility service costs, and any other cost for which </w:t>
      </w:r>
      <w:r>
        <w:t>you</w:t>
      </w:r>
      <w:r w:rsidRPr="008C146C">
        <w:t xml:space="preserve"> </w:t>
      </w:r>
      <w:r>
        <w:t xml:space="preserve">are </w:t>
      </w:r>
      <w:r w:rsidRPr="008C146C">
        <w:t xml:space="preserve">responsible, and it must be signed by both </w:t>
      </w:r>
      <w:r>
        <w:t xml:space="preserve">you and </w:t>
      </w:r>
      <w:r w:rsidRPr="008C146C">
        <w:t xml:space="preserve">the landlord. A model </w:t>
      </w:r>
      <w:r>
        <w:t xml:space="preserve">total price disclosure is provided in our </w:t>
      </w:r>
      <w:hyperlink r:id="rId8" w:history="1">
        <w:r w:rsidRPr="003A127E">
          <w:rPr>
            <w:rStyle w:val="Hyperlink"/>
          </w:rPr>
          <w:t>model residential lease guide</w:t>
        </w:r>
      </w:hyperlink>
      <w:r>
        <w:t xml:space="preserve"> (</w:t>
      </w:r>
      <w:hyperlink r:id="rId9" w:history="1">
        <w:r w:rsidRPr="006E19B1">
          <w:rPr>
            <w:rStyle w:val="Hyperlink"/>
          </w:rPr>
          <w:t>https://maine.gov/ag/consumer-protection/consumer-help-topics/housing/model-residential-lease</w:t>
        </w:r>
      </w:hyperlink>
      <w:r>
        <w:t>).</w:t>
      </w:r>
      <w:r w:rsidRPr="008C146C">
        <w:t xml:space="preserve"> </w:t>
      </w:r>
    </w:p>
    <w:p w14:paraId="1B663399" w14:textId="48778ED5" w:rsidR="00C90F44" w:rsidRDefault="00C90F44" w:rsidP="00E508C3">
      <w:pPr>
        <w:pStyle w:val="Heading2"/>
      </w:pPr>
      <w:bookmarkStart w:id="4" w:name="_Toc227069431"/>
      <w:r w:rsidRPr="008C146C">
        <w:t>Energy Efficiency Disclosure</w:t>
      </w:r>
      <w:bookmarkEnd w:id="4"/>
    </w:p>
    <w:p w14:paraId="323F3BAF" w14:textId="6BF04A59" w:rsidR="00C90F44" w:rsidRPr="008C146C" w:rsidRDefault="00C90F44" w:rsidP="0078409C">
      <w:r w:rsidRPr="008C146C">
        <w:t xml:space="preserve">Before a lease is signed or </w:t>
      </w:r>
      <w:r>
        <w:t>you</w:t>
      </w:r>
      <w:r w:rsidRPr="008C146C">
        <w:t xml:space="preserve"> pay a deposit to a landlord, the landlord must provide a disclosure to</w:t>
      </w:r>
      <w:r>
        <w:t xml:space="preserve"> you</w:t>
      </w:r>
      <w:r w:rsidRPr="008C146C">
        <w:t xml:space="preserve"> that includes information about the energy efficiency of the rental property.</w:t>
      </w:r>
      <w:r w:rsidRPr="008C146C">
        <w:rPr>
          <w:rStyle w:val="EndnoteReference"/>
          <w:rFonts w:ascii="Calibri" w:hAnsi="Calibri" w:cs="Calibri"/>
        </w:rPr>
        <w:endnoteReference w:id="4"/>
      </w:r>
      <w:r w:rsidRPr="008C146C">
        <w:t xml:space="preserve"> Alternatively, the landlord may include in the application for prospective tenants the name of each supplier of energy for the rental property and the following statement: “You have the right to obtain a 12-month history of energy consumption and the cost of that consumption from the energy supplier.” </w:t>
      </w:r>
    </w:p>
    <w:p w14:paraId="5C6DA675" w14:textId="5896E328" w:rsidR="00C90F44" w:rsidRDefault="00C90F44" w:rsidP="00E508C3">
      <w:pPr>
        <w:pStyle w:val="Heading2"/>
      </w:pPr>
      <w:bookmarkStart w:id="5" w:name="_Toc227069432"/>
      <w:r w:rsidRPr="008C146C">
        <w:t>Other Required Landlord Disclosures</w:t>
      </w:r>
      <w:bookmarkEnd w:id="5"/>
    </w:p>
    <w:p w14:paraId="0A27635B" w14:textId="6CCFC55B" w:rsidR="00C90F44" w:rsidRPr="008C146C" w:rsidRDefault="00C90F44" w:rsidP="0078409C">
      <w:r>
        <w:t>A</w:t>
      </w:r>
      <w:r w:rsidRPr="008C146C">
        <w:t xml:space="preserve"> landlord must</w:t>
      </w:r>
      <w:r>
        <w:rPr>
          <w:rStyle w:val="EndnoteReference"/>
          <w:rFonts w:ascii="Calibri" w:hAnsi="Calibri" w:cs="Calibri"/>
        </w:rPr>
        <w:endnoteReference w:id="5"/>
      </w:r>
      <w:r w:rsidRPr="008C146C">
        <w:t xml:space="preserve"> make additional disclosures to </w:t>
      </w:r>
      <w:r>
        <w:t>you</w:t>
      </w:r>
      <w:r w:rsidRPr="008C146C">
        <w:t xml:space="preserve"> before </w:t>
      </w:r>
      <w:proofErr w:type="gramStart"/>
      <w:r w:rsidRPr="008C146C">
        <w:t>entering into</w:t>
      </w:r>
      <w:proofErr w:type="gramEnd"/>
      <w:r w:rsidRPr="008C146C">
        <w:t xml:space="preserve"> a tenancy, including: </w:t>
      </w:r>
    </w:p>
    <w:p w14:paraId="257039C0" w14:textId="056CB83E" w:rsidR="00C90F44" w:rsidRPr="008C146C" w:rsidRDefault="00C90F44" w:rsidP="0078409C">
      <w:pPr>
        <w:pStyle w:val="ListParagraph"/>
        <w:numPr>
          <w:ilvl w:val="0"/>
          <w:numId w:val="9"/>
        </w:numPr>
      </w:pPr>
      <w:r>
        <w:t>The</w:t>
      </w:r>
      <w:r w:rsidRPr="008C146C">
        <w:t xml:space="preserve"> results of radon testing;</w:t>
      </w:r>
      <w:r w:rsidRPr="008C146C">
        <w:rPr>
          <w:rStyle w:val="EndnoteReference"/>
          <w:rFonts w:ascii="Calibri" w:hAnsi="Calibri" w:cs="Calibri"/>
        </w:rPr>
        <w:endnoteReference w:id="6"/>
      </w:r>
    </w:p>
    <w:p w14:paraId="2A9A5557" w14:textId="46637D75" w:rsidR="00C90F44" w:rsidRPr="008C146C" w:rsidRDefault="00C90F44" w:rsidP="0078409C">
      <w:pPr>
        <w:pStyle w:val="ListParagraph"/>
        <w:numPr>
          <w:ilvl w:val="0"/>
          <w:numId w:val="9"/>
        </w:numPr>
      </w:pPr>
      <w:r>
        <w:t>T</w:t>
      </w:r>
      <w:r w:rsidRPr="008C146C">
        <w:t>heir smoking policy;</w:t>
      </w:r>
      <w:r w:rsidRPr="008C146C">
        <w:rPr>
          <w:rStyle w:val="EndnoteReference"/>
          <w:rFonts w:ascii="Calibri" w:hAnsi="Calibri" w:cs="Calibri"/>
        </w:rPr>
        <w:endnoteReference w:id="7"/>
      </w:r>
      <w:r w:rsidRPr="008C146C">
        <w:t xml:space="preserve"> and</w:t>
      </w:r>
    </w:p>
    <w:p w14:paraId="72BA9FD8" w14:textId="3C1AB4C3" w:rsidR="00C90F44" w:rsidRPr="008C146C" w:rsidRDefault="00C90F44" w:rsidP="0078409C">
      <w:pPr>
        <w:pStyle w:val="ListParagraph"/>
        <w:numPr>
          <w:ilvl w:val="0"/>
          <w:numId w:val="9"/>
        </w:numPr>
      </w:pPr>
      <w:r>
        <w:lastRenderedPageBreak/>
        <w:t>A</w:t>
      </w:r>
      <w:r w:rsidRPr="008C146C">
        <w:t xml:space="preserve"> lead paint disclosure.</w:t>
      </w:r>
      <w:r w:rsidRPr="008C146C">
        <w:rPr>
          <w:rStyle w:val="EndnoteReference"/>
          <w:rFonts w:ascii="Calibri" w:hAnsi="Calibri" w:cs="Calibri"/>
        </w:rPr>
        <w:endnoteReference w:id="8"/>
      </w:r>
    </w:p>
    <w:p w14:paraId="633BC143" w14:textId="6ECD63F5" w:rsidR="00C90F44" w:rsidRPr="008C146C" w:rsidRDefault="00C90F44" w:rsidP="008C146C">
      <w:pPr>
        <w:pStyle w:val="Heading1"/>
      </w:pPr>
      <w:bookmarkStart w:id="6" w:name="_Toc227069433"/>
      <w:r>
        <w:t xml:space="preserve">14.3 </w:t>
      </w:r>
      <w:r w:rsidRPr="008C146C">
        <w:t>Security Deposits</w:t>
      </w:r>
      <w:bookmarkEnd w:id="6"/>
    </w:p>
    <w:p w14:paraId="340459B4" w14:textId="77777777" w:rsidR="00C90F44" w:rsidRDefault="00C90F44" w:rsidP="00EC5863">
      <w:pPr>
        <w:pStyle w:val="Heading2"/>
      </w:pPr>
      <w:bookmarkStart w:id="7" w:name="_Toc227069434"/>
      <w:r w:rsidRPr="008C146C">
        <w:t>During the Tenancy</w:t>
      </w:r>
      <w:bookmarkEnd w:id="7"/>
    </w:p>
    <w:p w14:paraId="1C7985A8" w14:textId="0DF6D49F" w:rsidR="00C90F44" w:rsidRPr="008C146C" w:rsidRDefault="00C90F44" w:rsidP="0078409C">
      <w:r w:rsidRPr="008C146C">
        <w:t xml:space="preserve">Most landlords require </w:t>
      </w:r>
      <w:r>
        <w:t>you</w:t>
      </w:r>
      <w:r w:rsidRPr="008C146C">
        <w:t xml:space="preserve"> to pay a security deposit before the start of a tenancy. A security deposit cannot exceed two months’ rent. During a tenancy, the security deposit must be held separate from the landlord’s assets in a depository account so that it is not subject to claims by the landlord’s creditors. </w:t>
      </w:r>
    </w:p>
    <w:p w14:paraId="16BFC01D" w14:textId="29A14F3B" w:rsidR="00C90F44" w:rsidRDefault="00C90F44" w:rsidP="00EC5863">
      <w:pPr>
        <w:pStyle w:val="Heading2"/>
      </w:pPr>
      <w:bookmarkStart w:id="8" w:name="_Toc227069435"/>
      <w:r w:rsidRPr="008C146C">
        <w:t>After the Tenancy</w:t>
      </w:r>
      <w:bookmarkEnd w:id="8"/>
    </w:p>
    <w:p w14:paraId="40BCD170" w14:textId="0359F467" w:rsidR="00C90F44" w:rsidRDefault="00C90F44" w:rsidP="0078409C">
      <w:r w:rsidRPr="008C146C">
        <w:t xml:space="preserve">The landlord must return the security deposit or provide a written statement itemizing the lawful reasons for retaining it. Lawful reasons include unpaid rent, repairing damage </w:t>
      </w:r>
      <w:r>
        <w:t xml:space="preserve">you </w:t>
      </w:r>
      <w:r w:rsidRPr="008C146C">
        <w:t>caused, and costs of removing or storing items left behind. A landlord cannot retain a security deposit for “normal wear and tear.”</w:t>
      </w:r>
      <w:r w:rsidRPr="008C146C">
        <w:rPr>
          <w:rStyle w:val="EndnoteReference"/>
          <w:rFonts w:ascii="Calibri" w:hAnsi="Calibri" w:cs="Calibri"/>
        </w:rPr>
        <w:endnoteReference w:id="9"/>
      </w:r>
      <w:r w:rsidRPr="008C146C">
        <w:t xml:space="preserve"> A landlord must return a security deposit or provide the written statement within the time required by the lease (which cannot exceed 30 days) or, if there is no lease, within 21 days. Because the written statement can be sent to </w:t>
      </w:r>
      <w:r>
        <w:t>your</w:t>
      </w:r>
      <w:r w:rsidRPr="008C146C">
        <w:t xml:space="preserve"> last known address, </w:t>
      </w:r>
      <w:r>
        <w:t>you</w:t>
      </w:r>
      <w:r w:rsidRPr="008C146C">
        <w:t xml:space="preserve"> should give the landlord </w:t>
      </w:r>
      <w:r>
        <w:t>your</w:t>
      </w:r>
      <w:r w:rsidRPr="008C146C">
        <w:t xml:space="preserve"> new address or make sure </w:t>
      </w:r>
      <w:r>
        <w:t>your</w:t>
      </w:r>
      <w:r w:rsidRPr="008C146C">
        <w:t xml:space="preserve"> mail will be forwarded. If a landlord fails to return the security deposit or provide a written statement within the required time, the landlord cannot retain any portion of the security deposit. </w:t>
      </w:r>
    </w:p>
    <w:p w14:paraId="5CE68B49" w14:textId="24BC7224" w:rsidR="00C90F44" w:rsidRPr="008C146C" w:rsidRDefault="00C90F44" w:rsidP="0078409C">
      <w:r w:rsidRPr="008C146C">
        <w:t xml:space="preserve">If a landlord does not comply with these requirements, after providing 7 days’ notice </w:t>
      </w:r>
      <w:r>
        <w:t>you</w:t>
      </w:r>
      <w:r w:rsidRPr="008C146C">
        <w:t xml:space="preserve"> can bring a lawsuit for damages equal to twice the amount wrongfully retained, plus attorneys’ fees. </w:t>
      </w:r>
    </w:p>
    <w:p w14:paraId="6CCD5C4D" w14:textId="07249C6C" w:rsidR="00C90F44" w:rsidRPr="008C146C" w:rsidRDefault="00C90F44" w:rsidP="00EC5863">
      <w:pPr>
        <w:pStyle w:val="Heading1"/>
      </w:pPr>
      <w:bookmarkStart w:id="9" w:name="_Toc227069436"/>
      <w:r>
        <w:t xml:space="preserve">14.4 </w:t>
      </w:r>
      <w:r w:rsidRPr="008C146C">
        <w:t>Rent Increases</w:t>
      </w:r>
      <w:bookmarkEnd w:id="9"/>
    </w:p>
    <w:p w14:paraId="111C8DBA" w14:textId="6E23A50B" w:rsidR="00C90F44" w:rsidRPr="008C146C" w:rsidRDefault="00C90F44" w:rsidP="0078409C">
      <w:r w:rsidRPr="008C146C">
        <w:t>For tenants at will, a landlord must provide prior written notice of rent increases. For rent increases of more than 10%, 75 days’ notice is required. For all other increases, 45 days’ notice is required. For tenants with an unexpired lease, rent cannot be increased from what is stated in the lease.</w:t>
      </w:r>
      <w:r>
        <w:t xml:space="preserve"> </w:t>
      </w:r>
    </w:p>
    <w:p w14:paraId="7C0874CF" w14:textId="0BF4040D" w:rsidR="00C90F44" w:rsidRPr="008C146C" w:rsidRDefault="00C90F44" w:rsidP="00EC5863">
      <w:pPr>
        <w:pStyle w:val="Heading1"/>
      </w:pPr>
      <w:bookmarkStart w:id="10" w:name="_Toc227069437"/>
      <w:r>
        <w:t xml:space="preserve">14.5 </w:t>
      </w:r>
      <w:r w:rsidRPr="008C146C">
        <w:t>Illegal Discrimination</w:t>
      </w:r>
      <w:bookmarkEnd w:id="10"/>
    </w:p>
    <w:p w14:paraId="678A7A81" w14:textId="77777777" w:rsidR="00C90F44" w:rsidRDefault="00C90F44" w:rsidP="0078409C">
      <w:r w:rsidRPr="008C146C">
        <w:t>It is illegal to refuse to show or rent a unit or impose different terms on the basis of race, color, sex, sexual orientation or gender identity, physical or mental disability, religion, ancestry, national origin, familial status, any previous actions seeking and receiving an order of protection, or because of the receipt of any kind of public assistance.</w:t>
      </w:r>
      <w:r w:rsidRPr="008C146C">
        <w:rPr>
          <w:rStyle w:val="EndnoteReference"/>
          <w:rFonts w:ascii="Calibri" w:hAnsi="Calibri" w:cs="Calibri"/>
        </w:rPr>
        <w:endnoteReference w:id="10"/>
      </w:r>
      <w:r w:rsidRPr="008C146C">
        <w:t xml:space="preserve"> </w:t>
      </w:r>
    </w:p>
    <w:p w14:paraId="2A92DE3C" w14:textId="16FF9F2F" w:rsidR="00C90F44" w:rsidRDefault="00C90F44" w:rsidP="0078409C">
      <w:r w:rsidRPr="008C146C">
        <w:t>Landlords may not refuse to permit the use of an assistance animal,</w:t>
      </w:r>
      <w:r w:rsidRPr="008C146C">
        <w:rPr>
          <w:rStyle w:val="EndnoteReference"/>
          <w:rFonts w:ascii="Calibri" w:hAnsi="Calibri" w:cs="Calibri"/>
        </w:rPr>
        <w:endnoteReference w:id="11"/>
      </w:r>
      <w:r w:rsidRPr="008C146C">
        <w:t xml:space="preserve"> unless the animal poses a direct threat to the health or safety of others, or the use of the animal would result in substantial physical damage to the property of others or would substantially interfere with the reasonable enjoyment of the premises by others. </w:t>
      </w:r>
    </w:p>
    <w:p w14:paraId="1148400C" w14:textId="3AA78D91" w:rsidR="00C90F44" w:rsidRPr="008C146C" w:rsidRDefault="00C90F44" w:rsidP="0078409C">
      <w:r w:rsidRPr="008C146C">
        <w:t xml:space="preserve">For further information or to submit a complaint of discrimination, </w:t>
      </w:r>
      <w:r w:rsidRPr="00F07E14">
        <w:t xml:space="preserve">contact the </w:t>
      </w:r>
      <w:hyperlink r:id="rId10" w:history="1">
        <w:r w:rsidRPr="00F07E14">
          <w:rPr>
            <w:rStyle w:val="Hyperlink"/>
          </w:rPr>
          <w:t>Maine Human Rights Commission</w:t>
        </w:r>
      </w:hyperlink>
      <w:r w:rsidRPr="00F07E14">
        <w:t xml:space="preserve"> (</w:t>
      </w:r>
      <w:hyperlink r:id="rId11" w:history="1">
        <w:r w:rsidRPr="00F07E14">
          <w:rPr>
            <w:rStyle w:val="Hyperlink"/>
          </w:rPr>
          <w:t>https://www.maine.gov/mhrc/</w:t>
        </w:r>
      </w:hyperlink>
      <w:r>
        <w:t>)</w:t>
      </w:r>
      <w:r w:rsidRPr="008C146C">
        <w:t xml:space="preserve"> by writing to 51 State House Station, Augusta, ME 04333-0051 or by calling (207) 624-6290. </w:t>
      </w:r>
    </w:p>
    <w:p w14:paraId="6CDFD8A2" w14:textId="78256375" w:rsidR="00C90F44" w:rsidRPr="008C146C" w:rsidRDefault="00C90F44" w:rsidP="00EC5863">
      <w:pPr>
        <w:pStyle w:val="Heading1"/>
      </w:pPr>
      <w:bookmarkStart w:id="11" w:name="_Toc227069438"/>
      <w:r>
        <w:lastRenderedPageBreak/>
        <w:t xml:space="preserve">14.6 </w:t>
      </w:r>
      <w:r w:rsidRPr="008C146C">
        <w:t>Rental Housing Must Be Fit and Safe for Human Habitation</w:t>
      </w:r>
      <w:bookmarkEnd w:id="11"/>
    </w:p>
    <w:p w14:paraId="747E6536" w14:textId="36642E28" w:rsidR="00C90F44" w:rsidRDefault="00C90F44" w:rsidP="00EC5863">
      <w:pPr>
        <w:pStyle w:val="Heading2"/>
      </w:pPr>
      <w:bookmarkStart w:id="12" w:name="_Toc227069439"/>
      <w:r w:rsidRPr="008C146C">
        <w:t>Implied Warranty and Covenant of Habitability</w:t>
      </w:r>
      <w:bookmarkEnd w:id="12"/>
    </w:p>
    <w:p w14:paraId="337FB396" w14:textId="27A364E8" w:rsidR="00C90F44" w:rsidRPr="008C146C" w:rsidRDefault="00C90F44" w:rsidP="0078409C">
      <w:r w:rsidRPr="008C146C">
        <w:t>All rented housing must be fit for human habitation, which means it must be a reasonably safe and decent place to live. This is the Implied Warranty and Covenant of Habitability.</w:t>
      </w:r>
      <w:r w:rsidRPr="008C146C">
        <w:rPr>
          <w:rStyle w:val="EndnoteReference"/>
          <w:rFonts w:ascii="Calibri" w:hAnsi="Calibri" w:cs="Calibri"/>
        </w:rPr>
        <w:endnoteReference w:id="12"/>
      </w:r>
      <w:r w:rsidRPr="008C146C">
        <w:t xml:space="preserve"> If there is a condition that makes rental housing unfit or unsafe, </w:t>
      </w:r>
      <w:r>
        <w:t>you</w:t>
      </w:r>
      <w:r w:rsidRPr="008C146C">
        <w:t xml:space="preserve"> can compel the landlord to fix the problem by bringing a lawsuit. For </w:t>
      </w:r>
      <w:r>
        <w:t>you</w:t>
      </w:r>
      <w:r w:rsidRPr="008C146C">
        <w:t xml:space="preserve"> to prevail in that lawsuit, </w:t>
      </w:r>
      <w:proofErr w:type="gramStart"/>
      <w:r>
        <w:t>all</w:t>
      </w:r>
      <w:r w:rsidRPr="008C146C">
        <w:t xml:space="preserve"> of</w:t>
      </w:r>
      <w:proofErr w:type="gramEnd"/>
      <w:r w:rsidRPr="008C146C">
        <w:t xml:space="preserve"> the following must be true:</w:t>
      </w:r>
    </w:p>
    <w:p w14:paraId="256205B4" w14:textId="311447C0" w:rsidR="00C90F44" w:rsidRPr="008C146C" w:rsidRDefault="00C90F44" w:rsidP="0078409C">
      <w:pPr>
        <w:pStyle w:val="ListParagraph"/>
        <w:numPr>
          <w:ilvl w:val="0"/>
          <w:numId w:val="10"/>
        </w:numPr>
      </w:pPr>
      <w:r w:rsidRPr="008C146C">
        <w:t xml:space="preserve">The condition must endanger or materially impair the health and safety of tenants. </w:t>
      </w:r>
    </w:p>
    <w:p w14:paraId="75004985" w14:textId="65EA1595" w:rsidR="00C90F44" w:rsidRPr="008C146C" w:rsidRDefault="00C90F44" w:rsidP="0078409C">
      <w:pPr>
        <w:pStyle w:val="ListParagraph"/>
        <w:numPr>
          <w:ilvl w:val="0"/>
          <w:numId w:val="10"/>
        </w:numPr>
      </w:pPr>
      <w:r w:rsidRPr="008C146C">
        <w:t xml:space="preserve">The condition was not caused by </w:t>
      </w:r>
      <w:r>
        <w:t>you</w:t>
      </w:r>
      <w:r w:rsidRPr="008C146C">
        <w:t xml:space="preserve"> or a person under </w:t>
      </w:r>
      <w:r>
        <w:t>your</w:t>
      </w:r>
      <w:r w:rsidRPr="008C146C">
        <w:t xml:space="preserve"> control. </w:t>
      </w:r>
    </w:p>
    <w:p w14:paraId="271160CA" w14:textId="38453C8D" w:rsidR="00C90F44" w:rsidRPr="008C146C" w:rsidRDefault="00C90F44" w:rsidP="0078409C">
      <w:pPr>
        <w:pStyle w:val="ListParagraph"/>
        <w:numPr>
          <w:ilvl w:val="0"/>
          <w:numId w:val="10"/>
        </w:numPr>
      </w:pPr>
      <w:r>
        <w:t>You</w:t>
      </w:r>
      <w:r w:rsidRPr="008C146C">
        <w:t xml:space="preserve"> </w:t>
      </w:r>
      <w:r>
        <w:t>have given</w:t>
      </w:r>
      <w:r w:rsidRPr="008C146C">
        <w:t xml:space="preserve"> the landlord reasonably prompt written notice of the problem and </w:t>
      </w:r>
      <w:r>
        <w:t xml:space="preserve">have </w:t>
      </w:r>
      <w:r w:rsidRPr="008C146C">
        <w:t>allow</w:t>
      </w:r>
      <w:r>
        <w:t>ed</w:t>
      </w:r>
      <w:r w:rsidRPr="008C146C">
        <w:t xml:space="preserve"> a reasonable amount of time to fix the problem.</w:t>
      </w:r>
      <w:r w:rsidRPr="008C146C">
        <w:rPr>
          <w:rStyle w:val="EndnoteReference"/>
          <w:rFonts w:ascii="Calibri" w:hAnsi="Calibri" w:cs="Calibri"/>
        </w:rPr>
        <w:endnoteReference w:id="13"/>
      </w:r>
      <w:r w:rsidRPr="008C146C">
        <w:t xml:space="preserve"> </w:t>
      </w:r>
    </w:p>
    <w:p w14:paraId="60BAE765" w14:textId="362C8981" w:rsidR="00C90F44" w:rsidRPr="008C146C" w:rsidRDefault="00C90F44" w:rsidP="0078409C">
      <w:pPr>
        <w:pStyle w:val="ListParagraph"/>
        <w:numPr>
          <w:ilvl w:val="0"/>
          <w:numId w:val="10"/>
        </w:numPr>
      </w:pPr>
      <w:r>
        <w:t>You</w:t>
      </w:r>
      <w:r w:rsidRPr="008C146C">
        <w:t xml:space="preserve"> </w:t>
      </w:r>
      <w:r>
        <w:t>are</w:t>
      </w:r>
      <w:r w:rsidRPr="008C146C">
        <w:t xml:space="preserve"> current in paying rent at the time of the notice to the landlord.</w:t>
      </w:r>
    </w:p>
    <w:p w14:paraId="7D4BE880" w14:textId="6B14317C" w:rsidR="00C90F44" w:rsidRPr="008C146C" w:rsidRDefault="00C90F44" w:rsidP="0078409C">
      <w:pPr>
        <w:pStyle w:val="ListParagraph"/>
        <w:numPr>
          <w:ilvl w:val="0"/>
          <w:numId w:val="10"/>
        </w:numPr>
      </w:pPr>
      <w:r w:rsidRPr="008C146C">
        <w:t xml:space="preserve">The landlord failed to fix the problem within a reasonable amount of time after notice. </w:t>
      </w:r>
    </w:p>
    <w:p w14:paraId="64237C65" w14:textId="5ADEF001" w:rsidR="00C90F44" w:rsidRPr="008C146C" w:rsidRDefault="00C90F44" w:rsidP="0078409C">
      <w:r w:rsidRPr="008C146C">
        <w:t xml:space="preserve">If the condition can be repaired for less than $500 or an amount equal to </w:t>
      </w:r>
      <w:r>
        <w:t>half</w:t>
      </w:r>
      <w:r w:rsidRPr="008C146C">
        <w:t xml:space="preserve"> of the monthly rent (whichever is greater), </w:t>
      </w:r>
      <w:r>
        <w:t>you</w:t>
      </w:r>
      <w:r w:rsidRPr="008C146C">
        <w:t xml:space="preserve"> can correct it at the landlord’s expense.</w:t>
      </w:r>
      <w:r w:rsidRPr="008C146C">
        <w:rPr>
          <w:rStyle w:val="EndnoteReference"/>
          <w:rFonts w:ascii="Calibri" w:hAnsi="Calibri" w:cs="Calibri"/>
        </w:rPr>
        <w:endnoteReference w:id="14"/>
      </w:r>
      <w:r w:rsidRPr="008C146C">
        <w:t xml:space="preserve"> </w:t>
      </w:r>
      <w:r>
        <w:t>You</w:t>
      </w:r>
      <w:r w:rsidRPr="008C146C">
        <w:t xml:space="preserve"> must first provide written notice of </w:t>
      </w:r>
      <w:r>
        <w:t>your</w:t>
      </w:r>
      <w:r w:rsidRPr="008C146C">
        <w:t xml:space="preserve"> intention to correct the condition. If the landlord fails to correct it as promptly as necessary in the case of an emergency or within 14 days for non-emergencies, then </w:t>
      </w:r>
      <w:r>
        <w:t>you</w:t>
      </w:r>
      <w:r w:rsidRPr="008C146C">
        <w:t xml:space="preserve"> can make the repair or hire someone to make the repair, submit an itemized statement to the landlord, and deduct the actual and reasonable cost of the repair or the fair and reasonable value of the work from rent. </w:t>
      </w:r>
    </w:p>
    <w:p w14:paraId="0123C860" w14:textId="03091C72" w:rsidR="00C90F44" w:rsidRDefault="00C90F44" w:rsidP="00EC5863">
      <w:pPr>
        <w:pStyle w:val="Heading2"/>
      </w:pPr>
      <w:bookmarkStart w:id="13" w:name="_Toc227069440"/>
      <w:r>
        <w:t>Heat</w:t>
      </w:r>
      <w:bookmarkEnd w:id="13"/>
    </w:p>
    <w:p w14:paraId="41ABE39F" w14:textId="3DE5F26D" w:rsidR="00C90F44" w:rsidRDefault="00C90F44" w:rsidP="0078409C">
      <w:r w:rsidRPr="008C146C">
        <w:t>If a landlord has agreed to be responsible for heat, then the heating system must be capable of maintaining an interior temperature of 68 degrees when it is 20 degrees below zero outside.</w:t>
      </w:r>
      <w:r w:rsidRPr="008C146C">
        <w:rPr>
          <w:rStyle w:val="EndnoteReference"/>
          <w:rFonts w:ascii="Calibri" w:hAnsi="Calibri" w:cs="Calibri"/>
        </w:rPr>
        <w:endnoteReference w:id="15"/>
      </w:r>
      <w:r w:rsidRPr="008C146C">
        <w:t xml:space="preserve"> </w:t>
      </w:r>
      <w:r>
        <w:t>You</w:t>
      </w:r>
      <w:r w:rsidRPr="008C146C">
        <w:t xml:space="preserve"> can agree to a lower minimum temperature, but that agreement must </w:t>
      </w:r>
      <w:r>
        <w:t>meet all these criteria:</w:t>
      </w:r>
    </w:p>
    <w:p w14:paraId="7A6F4BE7" w14:textId="138CC5A8" w:rsidR="00C90F44" w:rsidRDefault="00C90F44" w:rsidP="007B43E4">
      <w:pPr>
        <w:pStyle w:val="ListParagraph"/>
        <w:numPr>
          <w:ilvl w:val="0"/>
          <w:numId w:val="12"/>
        </w:numPr>
      </w:pPr>
      <w:r>
        <w:t>B</w:t>
      </w:r>
      <w:r w:rsidRPr="008C146C">
        <w:t xml:space="preserve">e in a writing separate from a lease, </w:t>
      </w:r>
    </w:p>
    <w:p w14:paraId="58442C7D" w14:textId="1A876BAA" w:rsidR="00C90F44" w:rsidRDefault="00C90F44" w:rsidP="007B43E4">
      <w:pPr>
        <w:pStyle w:val="ListParagraph"/>
        <w:numPr>
          <w:ilvl w:val="0"/>
          <w:numId w:val="12"/>
        </w:numPr>
      </w:pPr>
      <w:r>
        <w:t>M</w:t>
      </w:r>
      <w:r w:rsidRPr="008C146C">
        <w:t xml:space="preserve">ust be revocable, </w:t>
      </w:r>
    </w:p>
    <w:p w14:paraId="371FEF86" w14:textId="583A23FC" w:rsidR="00C90F44" w:rsidRDefault="00C90F44" w:rsidP="007B43E4">
      <w:pPr>
        <w:pStyle w:val="ListParagraph"/>
        <w:numPr>
          <w:ilvl w:val="0"/>
          <w:numId w:val="12"/>
        </w:numPr>
      </w:pPr>
      <w:r>
        <w:t>M</w:t>
      </w:r>
      <w:r w:rsidRPr="008C146C">
        <w:t xml:space="preserve">ust state the minimum temperature allowed (which cannot be lower than 62 degrees), and </w:t>
      </w:r>
    </w:p>
    <w:p w14:paraId="64772B7E" w14:textId="49836279" w:rsidR="00C90F44" w:rsidRDefault="00C90F44" w:rsidP="007B43E4">
      <w:pPr>
        <w:pStyle w:val="ListParagraph"/>
        <w:numPr>
          <w:ilvl w:val="0"/>
          <w:numId w:val="12"/>
        </w:numPr>
      </w:pPr>
      <w:proofErr w:type="gramStart"/>
      <w:r>
        <w:t>M</w:t>
      </w:r>
      <w:r w:rsidRPr="008C146C">
        <w:t>ust</w:t>
      </w:r>
      <w:proofErr w:type="gramEnd"/>
      <w:r w:rsidRPr="008C146C">
        <w:t xml:space="preserve"> include a fair and reasonable reduction in rent.</w:t>
      </w:r>
      <w:r w:rsidRPr="008C146C">
        <w:rPr>
          <w:rStyle w:val="EndnoteReference"/>
          <w:rFonts w:ascii="Calibri" w:hAnsi="Calibri" w:cs="Calibri"/>
        </w:rPr>
        <w:endnoteReference w:id="16"/>
      </w:r>
      <w:r w:rsidRPr="008C146C">
        <w:t xml:space="preserve"> </w:t>
      </w:r>
    </w:p>
    <w:p w14:paraId="0E2C27F9" w14:textId="4C0E87A9" w:rsidR="00C90F44" w:rsidRPr="008C146C" w:rsidRDefault="00C90F44" w:rsidP="007B43E4">
      <w:r w:rsidRPr="008C146C">
        <w:t xml:space="preserve">Such an agreement is not permitted if someone older than 65 or younger than 5 lives there. </w:t>
      </w:r>
    </w:p>
    <w:p w14:paraId="2E9FE074" w14:textId="352D257D" w:rsidR="00C90F44" w:rsidRDefault="00C90F44" w:rsidP="001D45B1">
      <w:pPr>
        <w:pStyle w:val="Heading2"/>
      </w:pPr>
      <w:bookmarkStart w:id="14" w:name="_Toc227069441"/>
      <w:r w:rsidRPr="008C146C">
        <w:t>Other Utilities</w:t>
      </w:r>
      <w:bookmarkEnd w:id="14"/>
    </w:p>
    <w:p w14:paraId="5B3A4D8B" w14:textId="495E2A91" w:rsidR="00C90F44" w:rsidRPr="008C146C" w:rsidRDefault="00C90F44" w:rsidP="0078409C">
      <w:r w:rsidRPr="008C146C">
        <w:t xml:space="preserve">If a landlord fails to pay for a public utility service (such as electric, water, or natural gas) that is in the landlord’s name, then </w:t>
      </w:r>
      <w:r>
        <w:t>you</w:t>
      </w:r>
      <w:r w:rsidRPr="008C146C">
        <w:t xml:space="preserve"> can pay for the service and deduct the amount paid from rent.</w:t>
      </w:r>
      <w:r w:rsidRPr="008C146C">
        <w:rPr>
          <w:rStyle w:val="EndnoteReference"/>
          <w:rFonts w:ascii="Calibri" w:hAnsi="Calibri" w:cs="Calibri"/>
        </w:rPr>
        <w:endnoteReference w:id="17"/>
      </w:r>
      <w:r w:rsidRPr="008C146C">
        <w:t xml:space="preserve"> A utility cannot require </w:t>
      </w:r>
      <w:r>
        <w:t>you</w:t>
      </w:r>
      <w:r w:rsidRPr="008C146C">
        <w:t xml:space="preserve"> to pay a landlord’s utility bill and cannot disconnect service without providing </w:t>
      </w:r>
      <w:r>
        <w:t>you</w:t>
      </w:r>
      <w:r w:rsidRPr="008C146C">
        <w:t xml:space="preserve"> with notice and opportunity to assume responsibility for future service.</w:t>
      </w:r>
      <w:r w:rsidRPr="008C146C">
        <w:rPr>
          <w:rStyle w:val="EndnoteReference"/>
          <w:rFonts w:ascii="Calibri" w:hAnsi="Calibri" w:cs="Calibri"/>
        </w:rPr>
        <w:endnoteReference w:id="18"/>
      </w:r>
      <w:r w:rsidRPr="008C146C">
        <w:t xml:space="preserve"> </w:t>
      </w:r>
    </w:p>
    <w:p w14:paraId="50F5276B" w14:textId="77777777" w:rsidR="00C90F44" w:rsidRDefault="00C90F44" w:rsidP="001D45B1">
      <w:pPr>
        <w:pStyle w:val="Heading2"/>
      </w:pPr>
      <w:bookmarkStart w:id="15" w:name="_Toc227069442"/>
      <w:r w:rsidRPr="008C146C">
        <w:t>Lead</w:t>
      </w:r>
      <w:bookmarkEnd w:id="15"/>
    </w:p>
    <w:p w14:paraId="11F39AD8" w14:textId="68614F4B" w:rsidR="00C90F44" w:rsidRPr="008C146C" w:rsidRDefault="00C90F44" w:rsidP="0078409C">
      <w:r w:rsidRPr="008C146C">
        <w:t>As mentioned earlier in this Chapter, landlords must provide prospective tenants with a lead paint disclosure. According to the Maine Department of Environmental Protection:</w:t>
      </w:r>
    </w:p>
    <w:p w14:paraId="328420F9" w14:textId="546F2377" w:rsidR="00C90F44" w:rsidRPr="008C146C" w:rsidRDefault="00C90F44" w:rsidP="0078409C">
      <w:pPr>
        <w:ind w:left="720"/>
      </w:pPr>
      <w:r w:rsidRPr="008C146C">
        <w:t xml:space="preserve">Every year, hundreds of children in Maine are poisoned by lead. Children less than six years old </w:t>
      </w:r>
      <w:proofErr w:type="gramStart"/>
      <w:r w:rsidRPr="008C146C">
        <w:t>are most</w:t>
      </w:r>
      <w:proofErr w:type="gramEnd"/>
      <w:r w:rsidRPr="008C146C">
        <w:t xml:space="preserve"> at risk of lead poisoning. Most lead poisonings in Maine are caused by exposure to dust from old lead paint. Lead can cause learning disabilities and behavioral problems that last a lifetime. </w:t>
      </w:r>
      <w:r w:rsidRPr="008C146C">
        <w:lastRenderedPageBreak/>
        <w:t>More than half of Maine homes may have lead paint. Exposure to lead is most common in buildings built before 1950 (when paint contained up to 50% lead), and in buildings built before 1978 when repainting or remodeling is done.</w:t>
      </w:r>
      <w:r w:rsidRPr="008C146C">
        <w:rPr>
          <w:rStyle w:val="EndnoteReference"/>
          <w:rFonts w:ascii="Calibri" w:hAnsi="Calibri" w:cs="Calibri"/>
        </w:rPr>
        <w:endnoteReference w:id="19"/>
      </w:r>
    </w:p>
    <w:p w14:paraId="6B56E0E1" w14:textId="1B02D16F" w:rsidR="00C90F44" w:rsidRDefault="00C90F44" w:rsidP="0078409C">
      <w:r w:rsidRPr="008C146C">
        <w:t xml:space="preserve">If </w:t>
      </w:r>
      <w:r>
        <w:t>you</w:t>
      </w:r>
      <w:r w:rsidRPr="008C146C">
        <w:t xml:space="preserve"> ha</w:t>
      </w:r>
      <w:r>
        <w:t>ve</w:t>
      </w:r>
      <w:r w:rsidRPr="008C146C">
        <w:t xml:space="preserve"> young children living with </w:t>
      </w:r>
      <w:r>
        <w:t>you and are</w:t>
      </w:r>
      <w:r w:rsidRPr="008C146C">
        <w:t xml:space="preserve"> concerned about the presence of lead, contact the </w:t>
      </w:r>
      <w:hyperlink r:id="rId12" w:history="1">
        <w:r w:rsidRPr="000C1746">
          <w:rPr>
            <w:rStyle w:val="Hyperlink"/>
            <w:rFonts w:ascii="Calibri" w:hAnsi="Calibri" w:cs="Calibri"/>
          </w:rPr>
          <w:t>Maine CDC</w:t>
        </w:r>
      </w:hyperlink>
      <w:r w:rsidRPr="008C146C">
        <w:t xml:space="preserve"> </w:t>
      </w:r>
      <w:r>
        <w:t>(</w:t>
      </w:r>
      <w:hyperlink r:id="rId13" w:history="1">
        <w:r w:rsidRPr="000C1746">
          <w:rPr>
            <w:rStyle w:val="Hyperlink"/>
            <w:rFonts w:ascii="Calibri" w:hAnsi="Calibri" w:cs="Calibri"/>
          </w:rPr>
          <w:t>https://www.maine.gov/dhhs/mecdc/healthy-living/health-and-safety/lead-poisoning-prevention</w:t>
        </w:r>
      </w:hyperlink>
      <w:r>
        <w:t xml:space="preserve">) at </w:t>
      </w:r>
      <w:r w:rsidRPr="008C146C">
        <w:t>286 Water Street</w:t>
      </w:r>
      <w:r>
        <w:t>,</w:t>
      </w:r>
      <w:r w:rsidRPr="008C146C">
        <w:t xml:space="preserve"> State House Station 11</w:t>
      </w:r>
      <w:r>
        <w:t xml:space="preserve">, </w:t>
      </w:r>
      <w:r w:rsidRPr="008C146C">
        <w:t>Augusta, ME 04333-0011</w:t>
      </w:r>
      <w:r>
        <w:t xml:space="preserve">, </w:t>
      </w:r>
      <w:r w:rsidRPr="008C146C">
        <w:t>(207) 287-8016</w:t>
      </w:r>
      <w:r>
        <w:t>.</w:t>
      </w:r>
    </w:p>
    <w:p w14:paraId="53475701" w14:textId="24F636FA" w:rsidR="00C90F44" w:rsidRPr="008C146C" w:rsidRDefault="00C90F44" w:rsidP="0078409C">
      <w:r>
        <w:t>There</w:t>
      </w:r>
      <w:r w:rsidRPr="008C146C">
        <w:t xml:space="preserve"> may be financial resources available to abate lead in rental housing where young children are living. Lead abatement must be performed by licensed professionals. </w:t>
      </w:r>
    </w:p>
    <w:p w14:paraId="0CDF55F7" w14:textId="77777777" w:rsidR="00C90F44" w:rsidRDefault="00C90F44" w:rsidP="00FA10B4">
      <w:pPr>
        <w:pStyle w:val="Heading2"/>
      </w:pPr>
      <w:bookmarkStart w:id="16" w:name="_Toc227069443"/>
      <w:r w:rsidRPr="008C146C">
        <w:t>Bedbugs</w:t>
      </w:r>
      <w:bookmarkEnd w:id="16"/>
    </w:p>
    <w:p w14:paraId="115A32DF" w14:textId="77777777" w:rsidR="00C90F44" w:rsidRDefault="00C90F44" w:rsidP="0078409C">
      <w:r w:rsidRPr="008C146C">
        <w:t>Maine has a specific law about bedbugs in rental housing.</w:t>
      </w:r>
      <w:r w:rsidRPr="008C146C">
        <w:rPr>
          <w:rStyle w:val="EndnoteReference"/>
          <w:rFonts w:ascii="Calibri" w:hAnsi="Calibri" w:cs="Calibri"/>
        </w:rPr>
        <w:endnoteReference w:id="20"/>
      </w:r>
      <w:r w:rsidRPr="008C146C">
        <w:t xml:space="preserve"> </w:t>
      </w:r>
    </w:p>
    <w:p w14:paraId="0E2D629A" w14:textId="5BDFC9BE" w:rsidR="00C90F44" w:rsidRDefault="00C90F44" w:rsidP="0078409C">
      <w:r w:rsidRPr="008C146C">
        <w:t xml:space="preserve">A landlord may not offer to rent housing that the landlord </w:t>
      </w:r>
      <w:proofErr w:type="gramStart"/>
      <w:r w:rsidRPr="008C146C">
        <w:t>knows</w:t>
      </w:r>
      <w:proofErr w:type="gramEnd"/>
      <w:r w:rsidRPr="008C146C">
        <w:t xml:space="preserve"> or suspects is infested and must notify a prospective tenant if a unit adjacent to the housing being offered for rent is infested with or is being treated for bedbugs. </w:t>
      </w:r>
      <w:r>
        <w:t>You</w:t>
      </w:r>
      <w:r w:rsidRPr="008C146C">
        <w:t xml:space="preserve"> must promptly notify a landlord of a known or suspected infestation.</w:t>
      </w:r>
      <w:r w:rsidRPr="008C146C">
        <w:rPr>
          <w:rStyle w:val="EndnoteReference"/>
          <w:rFonts w:ascii="Calibri" w:hAnsi="Calibri" w:cs="Calibri"/>
        </w:rPr>
        <w:endnoteReference w:id="21"/>
      </w:r>
      <w:r w:rsidRPr="008C146C">
        <w:t xml:space="preserve"> A landlord that receives notice must have an inspection performed within 5 days. </w:t>
      </w:r>
    </w:p>
    <w:p w14:paraId="48694597" w14:textId="5863E949" w:rsidR="00C90F44" w:rsidRDefault="00C90F44" w:rsidP="0078409C">
      <w:r w:rsidRPr="008C146C">
        <w:t xml:space="preserve">If there is an infestation, the landlord must contact a pest control agent within 10 days and must then take reasonable treatment measures as determined by the pest control agent. </w:t>
      </w:r>
      <w:r>
        <w:t>You</w:t>
      </w:r>
      <w:r w:rsidRPr="008C146C">
        <w:t xml:space="preserve"> must cooperate with the treatment, which may include moving furniture and washing clothing and linens. A landlord must offer reasonable assistance and disclose the costs of that assistance. If </w:t>
      </w:r>
      <w:r>
        <w:t>you</w:t>
      </w:r>
      <w:r w:rsidRPr="008C146C">
        <w:t xml:space="preserve"> do not cooperate, the landlord can charge </w:t>
      </w:r>
      <w:r>
        <w:t>you</w:t>
      </w:r>
      <w:r w:rsidRPr="008C146C">
        <w:t xml:space="preserve"> for all costs of the treatment arising from </w:t>
      </w:r>
      <w:r>
        <w:t>your</w:t>
      </w:r>
      <w:r w:rsidRPr="008C146C">
        <w:t xml:space="preserve"> failure to comply. </w:t>
      </w:r>
    </w:p>
    <w:p w14:paraId="49D5372A" w14:textId="26FCE3D1" w:rsidR="00C90F44" w:rsidRPr="008C146C" w:rsidRDefault="00C90F44" w:rsidP="0078409C">
      <w:r w:rsidRPr="008C146C">
        <w:t xml:space="preserve">Both </w:t>
      </w:r>
      <w:r>
        <w:t>you</w:t>
      </w:r>
      <w:r w:rsidRPr="008C146C">
        <w:t xml:space="preserve"> and </w:t>
      </w:r>
      <w:r>
        <w:t>your</w:t>
      </w:r>
      <w:r w:rsidRPr="008C146C">
        <w:t xml:space="preserve"> landlord can file a lawsuit to enforce these obligations and seek remedies for noncompliance. A landlord’s failure to comply with the bedbug law is a violation of the Implied Warranty and Covenant of Habitability. </w:t>
      </w:r>
    </w:p>
    <w:p w14:paraId="7D434A02" w14:textId="2FEBCA2B" w:rsidR="00C90F44" w:rsidRPr="008C146C" w:rsidRDefault="00C90F44" w:rsidP="00496793">
      <w:pPr>
        <w:pStyle w:val="Heading1"/>
      </w:pPr>
      <w:bookmarkStart w:id="17" w:name="_Toc227069444"/>
      <w:r>
        <w:t xml:space="preserve">14.7 </w:t>
      </w:r>
      <w:r w:rsidRPr="008C146C">
        <w:t>Landlord Access</w:t>
      </w:r>
      <w:bookmarkEnd w:id="17"/>
    </w:p>
    <w:p w14:paraId="520681A3" w14:textId="6C124708" w:rsidR="00C90F44" w:rsidRPr="008C146C" w:rsidRDefault="00C90F44" w:rsidP="0078409C">
      <w:r w:rsidRPr="008C146C">
        <w:t xml:space="preserve">Except in the case of an emergency, a landlord must provide reasonable notice before accessing </w:t>
      </w:r>
      <w:r>
        <w:t>your</w:t>
      </w:r>
      <w:r w:rsidRPr="008C146C">
        <w:t xml:space="preserve"> home. 24 hours’ notice is presumed to be reasonable. A landlord can enter only at reasonable times. </w:t>
      </w:r>
      <w:r>
        <w:t>You</w:t>
      </w:r>
      <w:r w:rsidRPr="008C146C">
        <w:t xml:space="preserve"> may not unreasonably withhold consent to a landlord’s request for access to inspect the home, make necessary or agreed repairs, decorations, alterations or improvements, supply necessary or agreed services, or show the premises to prospective or actual purchasers, mortgage lenders, tenants, workers, or contractors. </w:t>
      </w:r>
    </w:p>
    <w:p w14:paraId="3089A99F" w14:textId="5DEE51D7" w:rsidR="00C90F44" w:rsidRPr="008C146C" w:rsidRDefault="00C90F44" w:rsidP="00496793">
      <w:pPr>
        <w:pStyle w:val="Heading1"/>
      </w:pPr>
      <w:bookmarkStart w:id="18" w:name="_Toc227069445"/>
      <w:r>
        <w:t xml:space="preserve">14.8 </w:t>
      </w:r>
      <w:r w:rsidRPr="008C146C">
        <w:t>Evictions</w:t>
      </w:r>
      <w:bookmarkEnd w:id="18"/>
    </w:p>
    <w:p w14:paraId="0F0F54A9" w14:textId="07D59DDF" w:rsidR="00C90F44" w:rsidRDefault="00C90F44" w:rsidP="0078409C">
      <w:r w:rsidRPr="008C146C">
        <w:t xml:space="preserve">A landlord must go to court to remove </w:t>
      </w:r>
      <w:r>
        <w:t>you</w:t>
      </w:r>
      <w:r w:rsidRPr="008C146C">
        <w:t xml:space="preserve">. </w:t>
      </w:r>
    </w:p>
    <w:p w14:paraId="502F71D6" w14:textId="3AAF719E" w:rsidR="00C90F44" w:rsidRDefault="00C90F44" w:rsidP="0078409C">
      <w:r w:rsidRPr="008C146C">
        <w:t xml:space="preserve">A landlord who physically removes </w:t>
      </w:r>
      <w:r>
        <w:t>you</w:t>
      </w:r>
      <w:r w:rsidRPr="008C146C">
        <w:t xml:space="preserve"> and </w:t>
      </w:r>
      <w:r>
        <w:t>your</w:t>
      </w:r>
      <w:r w:rsidRPr="008C146C">
        <w:t xml:space="preserve"> belongings without a court order is breaking the law. Preventing </w:t>
      </w:r>
      <w:proofErr w:type="gramStart"/>
      <w:r>
        <w:t>your</w:t>
      </w:r>
      <w:r w:rsidRPr="008C146C">
        <w:t xml:space="preserve"> access</w:t>
      </w:r>
      <w:proofErr w:type="gramEnd"/>
      <w:r w:rsidRPr="008C146C">
        <w:t xml:space="preserve"> to </w:t>
      </w:r>
      <w:r>
        <w:t xml:space="preserve">your </w:t>
      </w:r>
      <w:r w:rsidRPr="008C146C">
        <w:t xml:space="preserve">home (for example, by obstructing entry or changing the locks) or rendering the home unlivable (for example, by turning off utilities) is also illegal. The law also prohibits retaliatory evictions, which are evictions motivated by </w:t>
      </w:r>
      <w:r>
        <w:t>your</w:t>
      </w:r>
      <w:r w:rsidRPr="008C146C">
        <w:t xml:space="preserve"> assertion of protected rights, such as a complaint the landlord has violated the Implied Warranty and Covenant of Habitability.</w:t>
      </w:r>
      <w:r w:rsidRPr="008C146C">
        <w:rPr>
          <w:rStyle w:val="EndnoteReference"/>
          <w:rFonts w:ascii="Calibri" w:hAnsi="Calibri" w:cs="Calibri"/>
        </w:rPr>
        <w:endnoteReference w:id="22"/>
      </w:r>
      <w:r w:rsidRPr="008C146C">
        <w:t xml:space="preserve"> </w:t>
      </w:r>
    </w:p>
    <w:p w14:paraId="2775EE57" w14:textId="05DD6CD0" w:rsidR="00C90F44" w:rsidRPr="008C146C" w:rsidRDefault="00C90F44" w:rsidP="0078409C">
      <w:r w:rsidRPr="008C146C">
        <w:lastRenderedPageBreak/>
        <w:t xml:space="preserve">These are all illegal evictions, and </w:t>
      </w:r>
      <w:r>
        <w:t>you</w:t>
      </w:r>
      <w:r w:rsidRPr="008C146C">
        <w:t xml:space="preserve"> should call local law enforcement and notify the Maine Attorney General’s Office if the landlord is threatening to or doing any of these things. </w:t>
      </w:r>
    </w:p>
    <w:p w14:paraId="4DEA1C57" w14:textId="77777777" w:rsidR="00C90F44" w:rsidRDefault="00C90F44" w:rsidP="00496793">
      <w:pPr>
        <w:pStyle w:val="Heading2"/>
      </w:pPr>
      <w:bookmarkStart w:id="19" w:name="_Toc227069446"/>
      <w:r w:rsidRPr="008C146C">
        <w:t>Notice to Quit</w:t>
      </w:r>
      <w:bookmarkEnd w:id="19"/>
    </w:p>
    <w:p w14:paraId="6E2C87C7" w14:textId="26116519" w:rsidR="00C90F44" w:rsidRDefault="00C90F44" w:rsidP="0078409C">
      <w:r w:rsidRPr="008C146C">
        <w:t xml:space="preserve">The first step in the legal eviction process is the notice to quit, which is the landlord’s formal notice of their intent to terminate the tenancy and evict </w:t>
      </w:r>
      <w:r>
        <w:t>you</w:t>
      </w:r>
      <w:r w:rsidRPr="008C146C">
        <w:t xml:space="preserve">. A notice to quit is not a court order; it does not require </w:t>
      </w:r>
      <w:r>
        <w:t>you</w:t>
      </w:r>
      <w:r w:rsidRPr="008C146C">
        <w:t xml:space="preserve"> to leave </w:t>
      </w:r>
      <w:r>
        <w:t>your</w:t>
      </w:r>
      <w:r w:rsidRPr="008C146C">
        <w:t xml:space="preserve"> home. </w:t>
      </w:r>
    </w:p>
    <w:p w14:paraId="72CAB90E" w14:textId="3D50C7A0" w:rsidR="00C90F44" w:rsidRDefault="00C90F44" w:rsidP="006A0BE3">
      <w:pPr>
        <w:pStyle w:val="ListParagraph"/>
        <w:numPr>
          <w:ilvl w:val="0"/>
          <w:numId w:val="13"/>
        </w:numPr>
      </w:pPr>
      <w:r w:rsidRPr="008C146C">
        <w:t xml:space="preserve">If </w:t>
      </w:r>
      <w:r>
        <w:t>you</w:t>
      </w:r>
      <w:r w:rsidRPr="008C146C">
        <w:t xml:space="preserve"> ha</w:t>
      </w:r>
      <w:r>
        <w:t>ve</w:t>
      </w:r>
      <w:r w:rsidRPr="008C146C">
        <w:t xml:space="preserve"> a lease, then the notice to quit must comply with the requirements of the lease. </w:t>
      </w:r>
    </w:p>
    <w:p w14:paraId="2EF04D70" w14:textId="15AB6B00" w:rsidR="00C90F44" w:rsidRDefault="00C90F44" w:rsidP="006A0BE3">
      <w:pPr>
        <w:pStyle w:val="ListParagraph"/>
        <w:numPr>
          <w:ilvl w:val="0"/>
          <w:numId w:val="13"/>
        </w:numPr>
      </w:pPr>
      <w:r w:rsidRPr="008C146C">
        <w:t xml:space="preserve">If </w:t>
      </w:r>
      <w:r>
        <w:t>you</w:t>
      </w:r>
      <w:r w:rsidRPr="008C146C">
        <w:t xml:space="preserve"> ha</w:t>
      </w:r>
      <w:r>
        <w:t>ve</w:t>
      </w:r>
      <w:r w:rsidRPr="008C146C">
        <w:t xml:space="preserve"> a lease but it expired less than 7 days ago, no notice to quit is required. </w:t>
      </w:r>
    </w:p>
    <w:p w14:paraId="48E1A446" w14:textId="12DB8B43" w:rsidR="00C90F44" w:rsidRDefault="00C90F44" w:rsidP="006A0BE3">
      <w:pPr>
        <w:pStyle w:val="ListParagraph"/>
        <w:numPr>
          <w:ilvl w:val="0"/>
          <w:numId w:val="13"/>
        </w:numPr>
      </w:pPr>
      <w:r w:rsidRPr="008C146C">
        <w:t xml:space="preserve">If </w:t>
      </w:r>
      <w:r>
        <w:t>you</w:t>
      </w:r>
      <w:r w:rsidRPr="008C146C">
        <w:t xml:space="preserve"> ha</w:t>
      </w:r>
      <w:r>
        <w:t>ve</w:t>
      </w:r>
      <w:r w:rsidRPr="008C146C">
        <w:t xml:space="preserve"> no lease, or if </w:t>
      </w:r>
      <w:r>
        <w:t>your</w:t>
      </w:r>
      <w:r w:rsidRPr="008C146C">
        <w:t xml:space="preserve"> lease is silent as to any notice to quit requirements, then the landlord can provide a “no cause” 30-day notice to quit or a “for cause” 7-day notice to quit. </w:t>
      </w:r>
    </w:p>
    <w:p w14:paraId="1AC443E4" w14:textId="77777777" w:rsidR="00C90F44" w:rsidRDefault="00C90F44" w:rsidP="006A0BE3">
      <w:pPr>
        <w:pStyle w:val="ListParagraph"/>
        <w:numPr>
          <w:ilvl w:val="0"/>
          <w:numId w:val="13"/>
        </w:numPr>
      </w:pPr>
      <w:r w:rsidRPr="008C146C">
        <w:t xml:space="preserve">A landlord can issue a “no cause” 30-day notice to quit for no reason. </w:t>
      </w:r>
    </w:p>
    <w:p w14:paraId="144519FE" w14:textId="5EAFD67C" w:rsidR="00C90F44" w:rsidRPr="008C146C" w:rsidRDefault="00C90F44" w:rsidP="00C368AA">
      <w:pPr>
        <w:pStyle w:val="ListParagraph"/>
        <w:numPr>
          <w:ilvl w:val="0"/>
          <w:numId w:val="13"/>
        </w:numPr>
      </w:pPr>
      <w:r w:rsidRPr="008C146C">
        <w:t xml:space="preserve">A landlord can issue a “for cause” 7-day notice to quit only for specific reasons such as non-payment of rent, damage to the rental property, or danger to other residents. </w:t>
      </w:r>
    </w:p>
    <w:p w14:paraId="1026FB1E" w14:textId="77777777" w:rsidR="00C90F44" w:rsidRDefault="00C90F44" w:rsidP="00496793">
      <w:pPr>
        <w:pStyle w:val="Heading2"/>
      </w:pPr>
      <w:bookmarkStart w:id="20" w:name="_Toc227069447"/>
      <w:r w:rsidRPr="008C146C">
        <w:t>Court Proceeding</w:t>
      </w:r>
      <w:bookmarkEnd w:id="20"/>
    </w:p>
    <w:p w14:paraId="47F7AF40" w14:textId="77777777" w:rsidR="00C90F44" w:rsidRDefault="00C90F44" w:rsidP="0078409C">
      <w:r w:rsidRPr="008C146C">
        <w:t xml:space="preserve">Only after a notice to quit expires can a landlord commence an eviction proceeding in court, known as an action for Forcible Entry and Detainer or FED. </w:t>
      </w:r>
    </w:p>
    <w:p w14:paraId="14D4170D" w14:textId="0F3C33EA" w:rsidR="00C90F44" w:rsidRDefault="00C90F44" w:rsidP="0078409C">
      <w:r>
        <w:t>You</w:t>
      </w:r>
      <w:r w:rsidRPr="008C146C">
        <w:t xml:space="preserve"> must be served with court papers, including a complaint and summons. The summons will state the date and time when </w:t>
      </w:r>
      <w:r>
        <w:t xml:space="preserve">you and </w:t>
      </w:r>
      <w:r w:rsidRPr="008C146C">
        <w:t xml:space="preserve">the landlord must go to court. If the landlord does not show and </w:t>
      </w:r>
      <w:r>
        <w:t>you</w:t>
      </w:r>
      <w:r w:rsidRPr="008C146C">
        <w:t xml:space="preserve"> do, the action will be dismissed. If the landlord shows and </w:t>
      </w:r>
      <w:r>
        <w:t>you</w:t>
      </w:r>
      <w:r w:rsidRPr="008C146C">
        <w:t xml:space="preserve"> do not, then the court will order an eviction. If both parties show, then the court may ask </w:t>
      </w:r>
      <w:r>
        <w:t>you</w:t>
      </w:r>
      <w:r w:rsidRPr="008C146C">
        <w:t xml:space="preserve"> to meet with a mediator to attempt to resolve the dispute. Possible resolutions include an agreement for the payment of rent arrears, a postponement of the court date, or an agreed-to eviction that gives </w:t>
      </w:r>
      <w:r>
        <w:t>you</w:t>
      </w:r>
      <w:r w:rsidRPr="008C146C">
        <w:t xml:space="preserve"> time to find a new home. </w:t>
      </w:r>
    </w:p>
    <w:p w14:paraId="5CDEFBC1" w14:textId="727B3F04" w:rsidR="00C90F44" w:rsidRPr="008C146C" w:rsidRDefault="00C90F44" w:rsidP="0078409C">
      <w:r w:rsidRPr="008C146C">
        <w:t xml:space="preserve">If the parties cannot resolve the dispute </w:t>
      </w:r>
      <w:r>
        <w:t>your</w:t>
      </w:r>
      <w:r w:rsidRPr="008C146C">
        <w:t xml:space="preserve">selves, then the court will hold a hearing. During the hearing, both parties can present evidence. The judge may issue a decision immediately after the hearing or they may take the matter “under advisement” and issue a decision later. If the judge decides that the landlord has met the requirements for an eviction, then the judgment will be in the landlord’s favor. If the judge decides that the landlord has not met the requirements for an eviction, then the judgment will be in </w:t>
      </w:r>
      <w:r>
        <w:t>your</w:t>
      </w:r>
      <w:r w:rsidRPr="008C146C">
        <w:t xml:space="preserve"> favor. </w:t>
      </w:r>
    </w:p>
    <w:p w14:paraId="426156CD" w14:textId="77777777" w:rsidR="00C90F44" w:rsidRDefault="00C90F44" w:rsidP="00496793">
      <w:pPr>
        <w:pStyle w:val="Heading2"/>
      </w:pPr>
      <w:bookmarkStart w:id="21" w:name="_Toc227069448"/>
      <w:r w:rsidRPr="008C146C">
        <w:t>Writ of Possession</w:t>
      </w:r>
      <w:bookmarkEnd w:id="21"/>
    </w:p>
    <w:p w14:paraId="773A9E70" w14:textId="176F7F7F" w:rsidR="00C90F44" w:rsidRDefault="00C90F44" w:rsidP="0078409C">
      <w:r w:rsidRPr="008C146C">
        <w:t xml:space="preserve">If there is a judgment in the landlord’s favor, this does not mean that </w:t>
      </w:r>
      <w:r>
        <w:t>you</w:t>
      </w:r>
      <w:r w:rsidRPr="008C146C">
        <w:t xml:space="preserve"> must leave immediately. </w:t>
      </w:r>
    </w:p>
    <w:p w14:paraId="413DD2F9" w14:textId="2D010D35" w:rsidR="00C90F44" w:rsidRDefault="00C90F44" w:rsidP="0078409C">
      <w:r>
        <w:t>You</w:t>
      </w:r>
      <w:r w:rsidRPr="008C146C">
        <w:t xml:space="preserve"> can file an appeal to the Superior Court and seek a stay of the eviction, but this must be done before the court issues a Writ of Possession. A landlord can request a Writ of Possession as soon as 7 days after judgment. If the reason for the eviction was non-payment of rent and </w:t>
      </w:r>
      <w:r>
        <w:t>you</w:t>
      </w:r>
      <w:r w:rsidRPr="008C146C">
        <w:t xml:space="preserve"> ha</w:t>
      </w:r>
      <w:r>
        <w:t>ve</w:t>
      </w:r>
      <w:r w:rsidRPr="008C146C">
        <w:t xml:space="preserve"> paid all rent due as of the date of payment plus any filing fees and service of process fees actually paid by the landlord, then the Writ of Possession cannot issue. A Writ of Possession must be served </w:t>
      </w:r>
      <w:r>
        <w:t>to</w:t>
      </w:r>
      <w:r w:rsidRPr="008C146C">
        <w:t xml:space="preserve"> </w:t>
      </w:r>
      <w:r>
        <w:t>you</w:t>
      </w:r>
      <w:r w:rsidRPr="008C146C">
        <w:t xml:space="preserve"> by the sheriff. </w:t>
      </w:r>
    </w:p>
    <w:p w14:paraId="4B4CEE2A" w14:textId="54225758" w:rsidR="00C90F44" w:rsidRPr="008C146C" w:rsidRDefault="00C90F44" w:rsidP="0078409C">
      <w:r w:rsidRPr="008C146C">
        <w:t xml:space="preserve">If </w:t>
      </w:r>
      <w:r>
        <w:t>you</w:t>
      </w:r>
      <w:r w:rsidRPr="008C146C">
        <w:t xml:space="preserve"> </w:t>
      </w:r>
      <w:r>
        <w:t>are</w:t>
      </w:r>
      <w:r w:rsidRPr="008C146C">
        <w:t xml:space="preserve"> still present at the rental property 48 hours after service of the Writ of Possession, then </w:t>
      </w:r>
      <w:r>
        <w:t>you</w:t>
      </w:r>
      <w:r w:rsidRPr="008C146C">
        <w:t xml:space="preserve"> </w:t>
      </w:r>
      <w:r>
        <w:t>are</w:t>
      </w:r>
      <w:r w:rsidRPr="008C146C">
        <w:t xml:space="preserve"> a trespasser and can be physically removed from the property. </w:t>
      </w:r>
    </w:p>
    <w:p w14:paraId="21BAFC87" w14:textId="5BD7A681" w:rsidR="00C90F44" w:rsidRPr="008C146C" w:rsidRDefault="00C90F44" w:rsidP="0016407E">
      <w:pPr>
        <w:pStyle w:val="Heading1"/>
      </w:pPr>
      <w:bookmarkStart w:id="22" w:name="_Toc227069449"/>
      <w:r>
        <w:lastRenderedPageBreak/>
        <w:t xml:space="preserve">14.9 </w:t>
      </w:r>
      <w:r w:rsidRPr="008C146C">
        <w:t>Abandoned Property</w:t>
      </w:r>
      <w:bookmarkEnd w:id="22"/>
    </w:p>
    <w:p w14:paraId="7BD892CC" w14:textId="78D52A5B" w:rsidR="00C90F44" w:rsidRDefault="00C90F44" w:rsidP="0078409C">
      <w:r w:rsidRPr="008C146C">
        <w:t xml:space="preserve">Maine has a specific law that a landlord must follow if </w:t>
      </w:r>
      <w:r>
        <w:t>you</w:t>
      </w:r>
      <w:r w:rsidRPr="008C146C">
        <w:t xml:space="preserve"> leave personal belongings at the rental property.</w:t>
      </w:r>
      <w:r w:rsidRPr="008C146C">
        <w:rPr>
          <w:rStyle w:val="EndnoteReference"/>
          <w:rFonts w:ascii="Calibri" w:hAnsi="Calibri" w:cs="Calibri"/>
        </w:rPr>
        <w:endnoteReference w:id="23"/>
      </w:r>
      <w:r w:rsidRPr="008C146C">
        <w:t xml:space="preserve"> A landlord must store </w:t>
      </w:r>
      <w:r>
        <w:t>your</w:t>
      </w:r>
      <w:r w:rsidRPr="008C146C">
        <w:t xml:space="preserve"> belongings in a safe, dry, secured location and must provide written notice by mail to </w:t>
      </w:r>
      <w:r>
        <w:t>you</w:t>
      </w:r>
      <w:r w:rsidRPr="008C146C">
        <w:t xml:space="preserve"> of the</w:t>
      </w:r>
      <w:r>
        <w:t>ir</w:t>
      </w:r>
      <w:r w:rsidRPr="008C146C">
        <w:t xml:space="preserve"> intent to dispose of </w:t>
      </w:r>
      <w:r>
        <w:t>your</w:t>
      </w:r>
      <w:r w:rsidRPr="008C146C">
        <w:t xml:space="preserve"> personal belongings. </w:t>
      </w:r>
      <w:r>
        <w:t>You</w:t>
      </w:r>
      <w:r w:rsidRPr="008C146C">
        <w:t xml:space="preserve"> ha</w:t>
      </w:r>
      <w:r>
        <w:t>ve</w:t>
      </w:r>
      <w:r w:rsidRPr="008C146C">
        <w:t xml:space="preserve"> 7 days to respond to the notice</w:t>
      </w:r>
      <w:r>
        <w:t>,</w:t>
      </w:r>
      <w:r w:rsidRPr="008C146C">
        <w:t xml:space="preserve"> and if </w:t>
      </w:r>
      <w:r>
        <w:t>you</w:t>
      </w:r>
      <w:r w:rsidRPr="008C146C">
        <w:t xml:space="preserve"> do</w:t>
      </w:r>
      <w:r>
        <w:t xml:space="preserve"> </w:t>
      </w:r>
      <w:r w:rsidRPr="008C146C">
        <w:t xml:space="preserve">the landlord must continue to store the belongings for an additional 7 days. A landlord must release the belongings to </w:t>
      </w:r>
      <w:r>
        <w:t>you</w:t>
      </w:r>
      <w:r w:rsidRPr="008C146C">
        <w:t xml:space="preserve"> during that time and cannot first require payment as a condition, even if </w:t>
      </w:r>
      <w:r>
        <w:t>you</w:t>
      </w:r>
      <w:r w:rsidRPr="008C146C">
        <w:t xml:space="preserve"> owe the landlord money. </w:t>
      </w:r>
    </w:p>
    <w:p w14:paraId="5C685577" w14:textId="26C08B10" w:rsidR="00C90F44" w:rsidRDefault="00C90F44" w:rsidP="0078409C">
      <w:r w:rsidRPr="008C146C">
        <w:t xml:space="preserve">If </w:t>
      </w:r>
      <w:r>
        <w:t>you</w:t>
      </w:r>
      <w:r w:rsidRPr="008C146C">
        <w:t xml:space="preserve"> fail to respond to the notice or, after responding to the notice fail to claim the belongings within the 14 days, then the landlord can dispose of the belongings. If the landlord sells them, all proceeds must be applied to </w:t>
      </w:r>
      <w:r>
        <w:t>your</w:t>
      </w:r>
      <w:r w:rsidRPr="008C146C">
        <w:t xml:space="preserve"> debts to the landlord. </w:t>
      </w:r>
    </w:p>
    <w:p w14:paraId="1352131A" w14:textId="38F27BD4" w:rsidR="00C90F44" w:rsidRPr="008C146C" w:rsidRDefault="00C90F44" w:rsidP="0078409C">
      <w:r>
        <w:t>You</w:t>
      </w:r>
      <w:r w:rsidRPr="008C146C">
        <w:t xml:space="preserve"> can waive these requirements, but only after or upon vacating the home and not before. </w:t>
      </w:r>
    </w:p>
    <w:p w14:paraId="13E9A6B9" w14:textId="6DD8CC67" w:rsidR="00C90F44" w:rsidRPr="008C146C" w:rsidRDefault="00C90F44" w:rsidP="0016407E">
      <w:pPr>
        <w:pStyle w:val="Heading1"/>
      </w:pPr>
      <w:bookmarkStart w:id="23" w:name="_Toc227069450"/>
      <w:r>
        <w:t xml:space="preserve">14.10 </w:t>
      </w:r>
      <w:r w:rsidRPr="008C146C">
        <w:t>Landlord’s Duty to Mitigate</w:t>
      </w:r>
      <w:bookmarkEnd w:id="23"/>
    </w:p>
    <w:p w14:paraId="09BBED25" w14:textId="7A9F6C4E" w:rsidR="008011CA" w:rsidRPr="008C146C" w:rsidRDefault="00C90F44" w:rsidP="0078409C">
      <w:r w:rsidRPr="008C146C">
        <w:t xml:space="preserve">If </w:t>
      </w:r>
      <w:r>
        <w:t>you</w:t>
      </w:r>
      <w:r w:rsidRPr="008C146C">
        <w:t xml:space="preserve"> terminate a tenancy during its term (before a lease expires or </w:t>
      </w:r>
      <w:r>
        <w:t>while in</w:t>
      </w:r>
      <w:r w:rsidRPr="008C146C">
        <w:t xml:space="preserve"> a tenancy at will) and stop paying rent, the landlord must attempt to find a new tenant. This is known as a duty to mitigate, and it is required by law.</w:t>
      </w:r>
      <w:r w:rsidRPr="008C146C">
        <w:rPr>
          <w:rStyle w:val="EndnoteReference"/>
          <w:rFonts w:ascii="Calibri" w:hAnsi="Calibri" w:cs="Calibri"/>
        </w:rPr>
        <w:endnoteReference w:id="24"/>
      </w:r>
      <w:r w:rsidRPr="008C146C">
        <w:t xml:space="preserve"> </w:t>
      </w:r>
      <w:r w:rsidR="001A002A" w:rsidRPr="008C146C">
        <w:t xml:space="preserve">If a landlord sues </w:t>
      </w:r>
      <w:r w:rsidR="006376E0">
        <w:t>you</w:t>
      </w:r>
      <w:r w:rsidR="001A002A" w:rsidRPr="008C146C">
        <w:t xml:space="preserve"> for unpaid rent </w:t>
      </w:r>
      <w:r w:rsidR="00761051" w:rsidRPr="008C146C">
        <w:t xml:space="preserve">in this situation, then the amount of recovery must be reduced by </w:t>
      </w:r>
      <w:r w:rsidR="00BC50C9" w:rsidRPr="008C146C">
        <w:t xml:space="preserve">what the landlord would have been able to obtain through reasonable efforts to re-rent. </w:t>
      </w:r>
    </w:p>
    <w:p w14:paraId="4F74FA26" w14:textId="556D792C" w:rsidR="00CB60E2" w:rsidRPr="008C146C" w:rsidRDefault="00731308" w:rsidP="0016407E">
      <w:pPr>
        <w:pStyle w:val="Heading1"/>
      </w:pPr>
      <w:bookmarkStart w:id="24" w:name="_Toc227069451"/>
      <w:r>
        <w:t xml:space="preserve">14.11 </w:t>
      </w:r>
      <w:r w:rsidR="00896F36" w:rsidRPr="008C146C">
        <w:t xml:space="preserve">Illegal </w:t>
      </w:r>
      <w:r w:rsidR="004C0EB7" w:rsidRPr="008C146C">
        <w:t>Agreements</w:t>
      </w:r>
      <w:bookmarkEnd w:id="24"/>
    </w:p>
    <w:p w14:paraId="5F736232" w14:textId="3BA75383" w:rsidR="004C0EB7" w:rsidRPr="008C146C" w:rsidRDefault="004C0EB7" w:rsidP="0078409C">
      <w:r w:rsidRPr="008C146C">
        <w:t>In the context of landlord-tenant law, t</w:t>
      </w:r>
      <w:r w:rsidR="00896F36" w:rsidRPr="008C146C">
        <w:t xml:space="preserve">here are several </w:t>
      </w:r>
      <w:r w:rsidRPr="008C146C">
        <w:t xml:space="preserve">agreements or provisions </w:t>
      </w:r>
      <w:r w:rsidR="00867C71" w:rsidRPr="008C146C">
        <w:t xml:space="preserve">that </w:t>
      </w:r>
      <w:r w:rsidRPr="008C146C">
        <w:t xml:space="preserve">are illegal and unenforceable, including: </w:t>
      </w:r>
    </w:p>
    <w:p w14:paraId="3BDC5A2A" w14:textId="14F43559" w:rsidR="00BD1280" w:rsidRPr="008C146C" w:rsidRDefault="00BD1280" w:rsidP="0078409C">
      <w:pPr>
        <w:pStyle w:val="ListParagraph"/>
        <w:numPr>
          <w:ilvl w:val="0"/>
          <w:numId w:val="11"/>
        </w:numPr>
      </w:pPr>
      <w:proofErr w:type="gramStart"/>
      <w:r w:rsidRPr="008C146C">
        <w:t>Any</w:t>
      </w:r>
      <w:proofErr w:type="gramEnd"/>
      <w:r w:rsidRPr="008C146C">
        <w:t xml:space="preserve"> agreement that has the effect of </w:t>
      </w:r>
      <w:r w:rsidR="006376E0">
        <w:t>you</w:t>
      </w:r>
      <w:r w:rsidR="009515B1" w:rsidRPr="008C146C">
        <w:t xml:space="preserve"> giving up </w:t>
      </w:r>
      <w:r w:rsidR="009C7072">
        <w:t>your</w:t>
      </w:r>
      <w:r w:rsidRPr="008C146C">
        <w:t xml:space="preserve"> rights</w:t>
      </w:r>
      <w:r w:rsidR="003D250E">
        <w:t xml:space="preserve">, unless expressly allowed </w:t>
      </w:r>
      <w:r w:rsidR="00312D17">
        <w:t>by law</w:t>
      </w:r>
      <w:r w:rsidRPr="008C146C">
        <w:t xml:space="preserve">. </w:t>
      </w:r>
    </w:p>
    <w:p w14:paraId="268A1ADC" w14:textId="77AF61F5" w:rsidR="00E00CCC" w:rsidRPr="008C146C" w:rsidRDefault="00A85BC2" w:rsidP="0078409C">
      <w:pPr>
        <w:pStyle w:val="ListParagraph"/>
        <w:numPr>
          <w:ilvl w:val="0"/>
          <w:numId w:val="11"/>
        </w:numPr>
      </w:pPr>
      <w:r w:rsidRPr="008C146C">
        <w:t xml:space="preserve">Any agreement </w:t>
      </w:r>
      <w:r w:rsidR="009515B1" w:rsidRPr="008C146C">
        <w:t xml:space="preserve">in which </w:t>
      </w:r>
      <w:r w:rsidR="006376E0">
        <w:t>you</w:t>
      </w:r>
      <w:r w:rsidR="009515B1" w:rsidRPr="008C146C">
        <w:t xml:space="preserve"> </w:t>
      </w:r>
      <w:r w:rsidRPr="008C146C">
        <w:t>waiv</w:t>
      </w:r>
      <w:r w:rsidR="009515B1" w:rsidRPr="008C146C">
        <w:t>e</w:t>
      </w:r>
      <w:r w:rsidRPr="008C146C">
        <w:t xml:space="preserve"> the protections of the Implied Warranty and Covenant of Habitability</w:t>
      </w:r>
      <w:r w:rsidR="00997B1C">
        <w:t>,</w:t>
      </w:r>
      <w:r w:rsidRPr="008C146C">
        <w:t xml:space="preserve"> unless there is a stated reduction in rent that is fair and reasonable.</w:t>
      </w:r>
    </w:p>
    <w:p w14:paraId="3B14416F" w14:textId="55A6EDCD" w:rsidR="00BD1280" w:rsidRPr="008C146C" w:rsidRDefault="0022476F" w:rsidP="0078409C">
      <w:pPr>
        <w:pStyle w:val="ListParagraph"/>
        <w:numPr>
          <w:ilvl w:val="0"/>
          <w:numId w:val="11"/>
        </w:numPr>
      </w:pPr>
      <w:r w:rsidRPr="008C146C">
        <w:t xml:space="preserve">Any agreement that </w:t>
      </w:r>
      <w:r w:rsidR="009515B1" w:rsidRPr="008C146C">
        <w:t xml:space="preserve">releases </w:t>
      </w:r>
      <w:r w:rsidRPr="008C146C">
        <w:t xml:space="preserve">the landlord from </w:t>
      </w:r>
      <w:r w:rsidR="009515B1" w:rsidRPr="008C146C">
        <w:t xml:space="preserve">responsibility </w:t>
      </w:r>
      <w:r w:rsidRPr="008C146C">
        <w:t xml:space="preserve">for the negligence of the landlord or the landlord’s agent. </w:t>
      </w:r>
    </w:p>
    <w:p w14:paraId="4FB6C7A1" w14:textId="5F815DE1" w:rsidR="0022476F" w:rsidRPr="008C146C" w:rsidRDefault="00CB47DD" w:rsidP="0078409C">
      <w:pPr>
        <w:pStyle w:val="ListParagraph"/>
        <w:numPr>
          <w:ilvl w:val="0"/>
          <w:numId w:val="11"/>
        </w:numPr>
      </w:pPr>
      <w:r w:rsidRPr="008C146C">
        <w:t xml:space="preserve">Any </w:t>
      </w:r>
      <w:r w:rsidR="00C61C44" w:rsidRPr="008C146C">
        <w:t xml:space="preserve">agreement </w:t>
      </w:r>
      <w:r w:rsidRPr="008C146C">
        <w:t xml:space="preserve">that requires </w:t>
      </w:r>
      <w:r w:rsidR="005641BA">
        <w:t>you</w:t>
      </w:r>
      <w:r w:rsidRPr="008C146C">
        <w:t xml:space="preserve"> to pay the landlord’s legal fees in enforcing the lease or tenancy at will agreement, except that a lease may provide for the prevailing party to recover </w:t>
      </w:r>
      <w:r w:rsidR="00A7573E" w:rsidRPr="008C146C">
        <w:t xml:space="preserve">legal fees in the case of </w:t>
      </w:r>
      <w:r w:rsidR="009515B1" w:rsidRPr="008C146C">
        <w:t>“</w:t>
      </w:r>
      <w:r w:rsidR="00A7573E" w:rsidRPr="008C146C">
        <w:t>wanton disregard</w:t>
      </w:r>
      <w:r w:rsidR="009515B1" w:rsidRPr="008C146C">
        <w:t>” (</w:t>
      </w:r>
      <w:r w:rsidR="0049540A">
        <w:t xml:space="preserve">i.e. </w:t>
      </w:r>
      <w:r w:rsidR="005C5F20">
        <w:t>extreme recklessness</w:t>
      </w:r>
      <w:r w:rsidR="009515B1" w:rsidRPr="008C146C">
        <w:t>)</w:t>
      </w:r>
      <w:r w:rsidR="00A7573E" w:rsidRPr="008C146C">
        <w:t xml:space="preserve"> of the terms of the tenancy. </w:t>
      </w:r>
    </w:p>
    <w:p w14:paraId="482A9EE1" w14:textId="1769E451" w:rsidR="00A7573E" w:rsidRPr="008C146C" w:rsidRDefault="00C61C44" w:rsidP="0078409C">
      <w:pPr>
        <w:pStyle w:val="ListParagraph"/>
        <w:numPr>
          <w:ilvl w:val="0"/>
          <w:numId w:val="11"/>
        </w:numPr>
      </w:pPr>
      <w:r w:rsidRPr="008C146C">
        <w:t xml:space="preserve">Any agreement that requires </w:t>
      </w:r>
      <w:r w:rsidR="005641BA">
        <w:t>you</w:t>
      </w:r>
      <w:r w:rsidRPr="008C146C">
        <w:t xml:space="preserve"> to </w:t>
      </w:r>
      <w:r w:rsidR="009515B1" w:rsidRPr="008C146C">
        <w:t>use</w:t>
      </w:r>
      <w:r w:rsidRPr="008C146C">
        <w:t xml:space="preserve"> </w:t>
      </w:r>
      <w:r w:rsidR="005641BA">
        <w:t>you</w:t>
      </w:r>
      <w:r w:rsidR="00EA5D94">
        <w:t>r</w:t>
      </w:r>
      <w:r w:rsidRPr="008C146C">
        <w:t xml:space="preserve"> property </w:t>
      </w:r>
      <w:r w:rsidR="009515B1" w:rsidRPr="008C146C">
        <w:t xml:space="preserve">as security </w:t>
      </w:r>
      <w:proofErr w:type="gramStart"/>
      <w:r w:rsidRPr="008C146C">
        <w:t>for the amount of</w:t>
      </w:r>
      <w:proofErr w:type="gramEnd"/>
      <w:r w:rsidRPr="008C146C">
        <w:t xml:space="preserve"> any rent or other sums due the landlord. </w:t>
      </w:r>
    </w:p>
    <w:p w14:paraId="2AEC87F4" w14:textId="3BE30592" w:rsidR="003920F1" w:rsidRPr="008C146C" w:rsidRDefault="003920F1" w:rsidP="0078409C">
      <w:pPr>
        <w:pStyle w:val="ListParagraph"/>
        <w:numPr>
          <w:ilvl w:val="0"/>
          <w:numId w:val="11"/>
        </w:numPr>
      </w:pPr>
      <w:r w:rsidRPr="008C146C">
        <w:t xml:space="preserve">Any agreement that requires </w:t>
      </w:r>
      <w:r w:rsidR="005641BA">
        <w:t>you</w:t>
      </w:r>
      <w:r w:rsidRPr="008C146C">
        <w:t xml:space="preserve"> to acknowledge that the terms of the tenancy, including tenant rules, are fair and reasonable. </w:t>
      </w:r>
    </w:p>
    <w:p w14:paraId="5EF3CE22" w14:textId="77777777" w:rsidR="00EA5D94" w:rsidRDefault="000A3E92" w:rsidP="0078409C">
      <w:pPr>
        <w:pStyle w:val="ListParagraph"/>
        <w:numPr>
          <w:ilvl w:val="0"/>
          <w:numId w:val="11"/>
        </w:numPr>
        <w:rPr>
          <w:rFonts w:eastAsia="Times New Roman"/>
        </w:rPr>
      </w:pPr>
      <w:r w:rsidRPr="0078409C">
        <w:rPr>
          <w:rFonts w:eastAsia="Times New Roman"/>
        </w:rPr>
        <w:t xml:space="preserve">Any agreement that requires </w:t>
      </w:r>
      <w:r w:rsidR="005641BA">
        <w:rPr>
          <w:rFonts w:eastAsia="Times New Roman"/>
        </w:rPr>
        <w:t>you</w:t>
      </w:r>
      <w:r w:rsidRPr="0078409C">
        <w:rPr>
          <w:rFonts w:eastAsia="Times New Roman"/>
        </w:rPr>
        <w:t xml:space="preserve"> to pay a fee, penalty, or other charge for </w:t>
      </w:r>
      <w:r w:rsidR="00447CA2" w:rsidRPr="0078409C">
        <w:rPr>
          <w:rFonts w:eastAsia="Times New Roman"/>
        </w:rPr>
        <w:t xml:space="preserve">ending </w:t>
      </w:r>
      <w:r w:rsidRPr="0078409C">
        <w:rPr>
          <w:rFonts w:eastAsia="Times New Roman"/>
        </w:rPr>
        <w:t xml:space="preserve">the tenancy, unless the fee, penalty, or other charge is: </w:t>
      </w:r>
    </w:p>
    <w:p w14:paraId="45092C4D" w14:textId="693D5448" w:rsidR="00AA0F7B" w:rsidRDefault="00AA0F7B" w:rsidP="00EA5D94">
      <w:pPr>
        <w:pStyle w:val="ListParagraph"/>
        <w:numPr>
          <w:ilvl w:val="1"/>
          <w:numId w:val="11"/>
        </w:numPr>
        <w:rPr>
          <w:rFonts w:eastAsia="Times New Roman"/>
        </w:rPr>
      </w:pPr>
      <w:r>
        <w:rPr>
          <w:rFonts w:eastAsia="Times New Roman"/>
        </w:rPr>
        <w:t>T</w:t>
      </w:r>
      <w:r w:rsidR="000A3E92" w:rsidRPr="0078409C">
        <w:rPr>
          <w:rFonts w:eastAsia="Times New Roman"/>
        </w:rPr>
        <w:t xml:space="preserve">o recover reasonable expenses </w:t>
      </w:r>
      <w:r w:rsidR="00192CA1" w:rsidRPr="0078409C">
        <w:rPr>
          <w:rFonts w:eastAsia="Times New Roman"/>
        </w:rPr>
        <w:t>in</w:t>
      </w:r>
      <w:r w:rsidR="000A3E92" w:rsidRPr="0078409C">
        <w:rPr>
          <w:rFonts w:eastAsia="Times New Roman"/>
        </w:rPr>
        <w:t xml:space="preserve"> </w:t>
      </w:r>
      <w:r w:rsidR="00192CA1" w:rsidRPr="0078409C">
        <w:rPr>
          <w:rFonts w:eastAsia="Times New Roman"/>
        </w:rPr>
        <w:t xml:space="preserve">finding a new </w:t>
      </w:r>
      <w:r w:rsidR="000A3E92" w:rsidRPr="0078409C">
        <w:rPr>
          <w:rFonts w:eastAsia="Times New Roman"/>
        </w:rPr>
        <w:t xml:space="preserve">tenant </w:t>
      </w:r>
      <w:r w:rsidR="00E2052B" w:rsidRPr="0078409C">
        <w:rPr>
          <w:rFonts w:eastAsia="Times New Roman"/>
        </w:rPr>
        <w:t xml:space="preserve">when </w:t>
      </w:r>
      <w:r w:rsidR="005641BA">
        <w:rPr>
          <w:rFonts w:eastAsia="Times New Roman"/>
        </w:rPr>
        <w:t>you</w:t>
      </w:r>
      <w:r w:rsidR="00E2052B" w:rsidRPr="0078409C">
        <w:rPr>
          <w:rFonts w:eastAsia="Times New Roman"/>
        </w:rPr>
        <w:t xml:space="preserve"> ha</w:t>
      </w:r>
      <w:r>
        <w:rPr>
          <w:rFonts w:eastAsia="Times New Roman"/>
        </w:rPr>
        <w:t>ve</w:t>
      </w:r>
      <w:r w:rsidR="00E2052B" w:rsidRPr="0078409C">
        <w:rPr>
          <w:rFonts w:eastAsia="Times New Roman"/>
        </w:rPr>
        <w:t xml:space="preserve"> failed to provide notice before </w:t>
      </w:r>
      <w:r w:rsidR="00447CA2" w:rsidRPr="0078409C">
        <w:rPr>
          <w:rFonts w:eastAsia="Times New Roman"/>
        </w:rPr>
        <w:t>leaving</w:t>
      </w:r>
      <w:r w:rsidR="00E2052B" w:rsidRPr="0078409C">
        <w:rPr>
          <w:rFonts w:eastAsia="Times New Roman"/>
        </w:rPr>
        <w:t xml:space="preserve">; </w:t>
      </w:r>
    </w:p>
    <w:p w14:paraId="00FDF177" w14:textId="3D92D4FC" w:rsidR="00AA0F7B" w:rsidRDefault="00AA0F7B" w:rsidP="00EA5D94">
      <w:pPr>
        <w:pStyle w:val="ListParagraph"/>
        <w:numPr>
          <w:ilvl w:val="1"/>
          <w:numId w:val="11"/>
        </w:numPr>
        <w:rPr>
          <w:rFonts w:eastAsia="Times New Roman"/>
        </w:rPr>
      </w:pPr>
      <w:r>
        <w:rPr>
          <w:rFonts w:eastAsia="Times New Roman"/>
        </w:rPr>
        <w:t>T</w:t>
      </w:r>
      <w:r w:rsidR="000A3E92" w:rsidRPr="0078409C">
        <w:rPr>
          <w:rFonts w:eastAsia="Times New Roman"/>
        </w:rPr>
        <w:t xml:space="preserve">o collect unpaid rent; or </w:t>
      </w:r>
    </w:p>
    <w:p w14:paraId="3E245211" w14:textId="477AAEF0" w:rsidR="000A3E92" w:rsidRPr="0078409C" w:rsidRDefault="00AA0F7B" w:rsidP="00EA5D94">
      <w:pPr>
        <w:pStyle w:val="ListParagraph"/>
        <w:numPr>
          <w:ilvl w:val="1"/>
          <w:numId w:val="11"/>
        </w:numPr>
        <w:rPr>
          <w:rFonts w:eastAsia="Times New Roman"/>
        </w:rPr>
      </w:pPr>
      <w:r>
        <w:rPr>
          <w:rFonts w:eastAsia="Times New Roman"/>
        </w:rPr>
        <w:t>T</w:t>
      </w:r>
      <w:r w:rsidR="000A3E92" w:rsidRPr="0078409C">
        <w:rPr>
          <w:rFonts w:eastAsia="Times New Roman"/>
        </w:rPr>
        <w:t xml:space="preserve">o recover reasonable expenses </w:t>
      </w:r>
      <w:r w:rsidR="00E2052B" w:rsidRPr="0078409C">
        <w:rPr>
          <w:rFonts w:eastAsia="Times New Roman"/>
        </w:rPr>
        <w:t>for</w:t>
      </w:r>
      <w:r w:rsidR="000A3E92" w:rsidRPr="0078409C">
        <w:rPr>
          <w:rFonts w:eastAsia="Times New Roman"/>
        </w:rPr>
        <w:t xml:space="preserve"> repair</w:t>
      </w:r>
      <w:r w:rsidR="00E2052B" w:rsidRPr="0078409C">
        <w:rPr>
          <w:rFonts w:eastAsia="Times New Roman"/>
        </w:rPr>
        <w:t>ing</w:t>
      </w:r>
      <w:r w:rsidR="000A3E92" w:rsidRPr="0078409C">
        <w:rPr>
          <w:rFonts w:eastAsia="Times New Roman"/>
        </w:rPr>
        <w:t xml:space="preserve"> damage caused by </w:t>
      </w:r>
      <w:r w:rsidR="005641BA">
        <w:rPr>
          <w:rFonts w:eastAsia="Times New Roman"/>
        </w:rPr>
        <w:t>you</w:t>
      </w:r>
      <w:r w:rsidR="00E2052B" w:rsidRPr="0078409C">
        <w:rPr>
          <w:rFonts w:eastAsia="Times New Roman"/>
        </w:rPr>
        <w:t xml:space="preserve">. </w:t>
      </w:r>
    </w:p>
    <w:p w14:paraId="12E1ADF7" w14:textId="77777777" w:rsidR="0022476F" w:rsidRPr="008C146C" w:rsidRDefault="0022476F" w:rsidP="0078409C">
      <w:pPr>
        <w:pStyle w:val="ListParagraph"/>
        <w:numPr>
          <w:ilvl w:val="0"/>
          <w:numId w:val="11"/>
        </w:numPr>
      </w:pPr>
      <w:r w:rsidRPr="008C146C">
        <w:t>Any agreement to pay a late fee that is not in writing and that exceeds 4% of one month’s rent.</w:t>
      </w:r>
    </w:p>
    <w:p w14:paraId="72784AC0" w14:textId="6B7C366D" w:rsidR="0086342C" w:rsidRPr="008C146C" w:rsidRDefault="00731308" w:rsidP="0016407E">
      <w:pPr>
        <w:pStyle w:val="Heading1"/>
      </w:pPr>
      <w:bookmarkStart w:id="25" w:name="_Toc227069452"/>
      <w:r>
        <w:lastRenderedPageBreak/>
        <w:t xml:space="preserve">14.12 </w:t>
      </w:r>
      <w:r w:rsidR="0086342C" w:rsidRPr="008C146C">
        <w:t>Seeking Help</w:t>
      </w:r>
      <w:bookmarkEnd w:id="25"/>
    </w:p>
    <w:p w14:paraId="5C80D285" w14:textId="0BAB11A6" w:rsidR="00477C99" w:rsidRDefault="00477C99" w:rsidP="00EC3A4C">
      <w:r w:rsidRPr="008C146C">
        <w:t xml:space="preserve">If </w:t>
      </w:r>
      <w:r w:rsidR="00F14A9B">
        <w:t>you are</w:t>
      </w:r>
      <w:r w:rsidRPr="008C146C">
        <w:t xml:space="preserve"> worried about being evicted from </w:t>
      </w:r>
      <w:r w:rsidR="00F14A9B">
        <w:t>you</w:t>
      </w:r>
      <w:r w:rsidRPr="008C146C">
        <w:t>r home</w:t>
      </w:r>
      <w:r w:rsidR="00C27D93" w:rsidRPr="008C146C">
        <w:t xml:space="preserve">, </w:t>
      </w:r>
      <w:r w:rsidR="00F14A9B">
        <w:t>you</w:t>
      </w:r>
      <w:r w:rsidR="00C27D93" w:rsidRPr="008C146C">
        <w:t xml:space="preserve"> can contact Pine Tree Legal Assistance</w:t>
      </w:r>
      <w:r w:rsidR="00BD311B" w:rsidRPr="008C146C">
        <w:t xml:space="preserve"> by call</w:t>
      </w:r>
      <w:r w:rsidR="00447CA2" w:rsidRPr="008C146C">
        <w:t>ing</w:t>
      </w:r>
      <w:r w:rsidR="00BD311B" w:rsidRPr="008C146C">
        <w:t xml:space="preserve"> during their call-in hours or visiting them at their offices. More information </w:t>
      </w:r>
      <w:r w:rsidR="00145429">
        <w:t xml:space="preserve">is available on </w:t>
      </w:r>
      <w:hyperlink r:id="rId14" w:history="1">
        <w:r w:rsidR="00BD311B" w:rsidRPr="00145429">
          <w:rPr>
            <w:rStyle w:val="Hyperlink"/>
            <w:rFonts w:ascii="Calibri" w:hAnsi="Calibri" w:cs="Calibri"/>
          </w:rPr>
          <w:t>Pine Tree Legal Assistance</w:t>
        </w:r>
        <w:r w:rsidR="00145429" w:rsidRPr="00145429">
          <w:rPr>
            <w:rStyle w:val="Hyperlink"/>
            <w:rFonts w:ascii="Calibri" w:hAnsi="Calibri" w:cs="Calibri"/>
          </w:rPr>
          <w:t>’s website</w:t>
        </w:r>
      </w:hyperlink>
      <w:r w:rsidR="00BD311B" w:rsidRPr="008C146C">
        <w:t xml:space="preserve"> </w:t>
      </w:r>
      <w:r w:rsidR="00145429">
        <w:t>(</w:t>
      </w:r>
      <w:hyperlink r:id="rId15" w:history="1">
        <w:r w:rsidR="00145429" w:rsidRPr="000C1746">
          <w:rPr>
            <w:rStyle w:val="Hyperlink"/>
            <w:rFonts w:ascii="Calibri" w:hAnsi="Calibri" w:cs="Calibri"/>
          </w:rPr>
          <w:t>https://www.ptla.org/contact-us</w:t>
        </w:r>
      </w:hyperlink>
      <w:r w:rsidR="00145429">
        <w:t>)</w:t>
      </w:r>
      <w:r w:rsidR="00BD311B" w:rsidRPr="008C146C">
        <w:t xml:space="preserve">. </w:t>
      </w:r>
      <w:r w:rsidR="004371CD">
        <w:t>T</w:t>
      </w:r>
      <w:r w:rsidR="001C781C">
        <w:t xml:space="preserve">he </w:t>
      </w:r>
      <w:hyperlink r:id="rId16" w:history="1">
        <w:r w:rsidR="001C781C" w:rsidRPr="00A54B76">
          <w:rPr>
            <w:rStyle w:val="Hyperlink"/>
            <w:rFonts w:ascii="Calibri" w:hAnsi="Calibri" w:cs="Calibri"/>
          </w:rPr>
          <w:t xml:space="preserve">Maine Judicial Branch </w:t>
        </w:r>
        <w:r w:rsidR="001E2E65" w:rsidRPr="00A54B76">
          <w:rPr>
            <w:rStyle w:val="Hyperlink"/>
            <w:rFonts w:ascii="Calibri" w:hAnsi="Calibri" w:cs="Calibri"/>
          </w:rPr>
          <w:t>website</w:t>
        </w:r>
      </w:hyperlink>
      <w:r w:rsidR="001E2E65">
        <w:t xml:space="preserve"> </w:t>
      </w:r>
      <w:r w:rsidR="00A54B76">
        <w:t>(</w:t>
      </w:r>
      <w:hyperlink r:id="rId17" w:history="1">
        <w:r w:rsidR="00A54B76" w:rsidRPr="00097451">
          <w:rPr>
            <w:rStyle w:val="Hyperlink"/>
            <w:rFonts w:ascii="Calibri" w:hAnsi="Calibri" w:cs="Calibri"/>
          </w:rPr>
          <w:t>https://www.courts.maine.gov/help/eviction/index.html</w:t>
        </w:r>
      </w:hyperlink>
      <w:r w:rsidR="00A54B76">
        <w:t xml:space="preserve">) </w:t>
      </w:r>
      <w:r w:rsidR="004F22B3">
        <w:t xml:space="preserve">also </w:t>
      </w:r>
      <w:r w:rsidR="006B016D">
        <w:t>provides</w:t>
      </w:r>
      <w:r w:rsidR="004371CD">
        <w:t xml:space="preserve"> helpful information</w:t>
      </w:r>
      <w:r w:rsidR="006B016D">
        <w:t xml:space="preserve"> </w:t>
      </w:r>
      <w:r w:rsidR="001E2E65">
        <w:t xml:space="preserve">about the </w:t>
      </w:r>
      <w:r w:rsidR="006B016D">
        <w:t>e</w:t>
      </w:r>
      <w:r w:rsidR="001E2E65">
        <w:t>viction process</w:t>
      </w:r>
      <w:r w:rsidR="004F22B3">
        <w:t xml:space="preserve">. </w:t>
      </w:r>
      <w:r w:rsidR="00366B19">
        <w:t xml:space="preserve">If </w:t>
      </w:r>
      <w:r w:rsidR="008E4F10">
        <w:t>you have</w:t>
      </w:r>
      <w:r w:rsidR="00366B19">
        <w:t xml:space="preserve"> questions about </w:t>
      </w:r>
      <w:r w:rsidR="008E4F10">
        <w:t>your</w:t>
      </w:r>
      <w:r w:rsidR="00366B19">
        <w:t xml:space="preserve"> specific case, the court clerk’s office may be able to assist. However, court clerks cannot and will not provide legal advice. </w:t>
      </w:r>
    </w:p>
    <w:p w14:paraId="723A455E" w14:textId="1A470EC9" w:rsidR="00CA022B" w:rsidRPr="008C146C" w:rsidRDefault="008E4F10" w:rsidP="00EC3A4C">
      <w:r>
        <w:t>If you have</w:t>
      </w:r>
      <w:r w:rsidR="00CA022B" w:rsidRPr="008C146C">
        <w:t xml:space="preserve"> a complaint about the condition of </w:t>
      </w:r>
      <w:r>
        <w:t>your</w:t>
      </w:r>
      <w:r w:rsidR="00CA022B" w:rsidRPr="008C146C">
        <w:t xml:space="preserve"> home</w:t>
      </w:r>
      <w:r w:rsidR="000A324B">
        <w:t>,</w:t>
      </w:r>
      <w:r w:rsidR="00DB52D3">
        <w:t xml:space="preserve"> c</w:t>
      </w:r>
      <w:r w:rsidR="00CA022B" w:rsidRPr="008C146C">
        <w:t xml:space="preserve">ontact </w:t>
      </w:r>
      <w:r w:rsidR="000A324B">
        <w:t>your</w:t>
      </w:r>
      <w:r w:rsidR="00CA022B" w:rsidRPr="008C146C">
        <w:t xml:space="preserve"> local code enforcement office. </w:t>
      </w:r>
      <w:r w:rsidR="00ED13F3">
        <w:t xml:space="preserve">Municipal governments enforce </w:t>
      </w:r>
      <w:r w:rsidR="00B76D2C">
        <w:t xml:space="preserve">life safety codes for housing and can inspect </w:t>
      </w:r>
      <w:r w:rsidR="00F61355">
        <w:t xml:space="preserve">properties and </w:t>
      </w:r>
      <w:r w:rsidR="00B10294">
        <w:t>require</w:t>
      </w:r>
      <w:r w:rsidR="007B2DEA">
        <w:t xml:space="preserve"> landlords to correct </w:t>
      </w:r>
      <w:r w:rsidR="00422663">
        <w:t>code violations</w:t>
      </w:r>
      <w:r w:rsidR="00B10294">
        <w:t xml:space="preserve"> that impair the health and safety of tenants. </w:t>
      </w:r>
    </w:p>
    <w:p w14:paraId="7A6C6C81" w14:textId="7C3D27E0" w:rsidR="00BD311B" w:rsidRPr="008C146C" w:rsidRDefault="00BD311B" w:rsidP="00F14A9B">
      <w:r>
        <w:t xml:space="preserve">If </w:t>
      </w:r>
      <w:r w:rsidR="000A324B">
        <w:t>you believe</w:t>
      </w:r>
      <w:r>
        <w:t xml:space="preserve"> that </w:t>
      </w:r>
      <w:r w:rsidR="000A324B">
        <w:t>your</w:t>
      </w:r>
      <w:r>
        <w:t xml:space="preserve"> landlord is violating the law, </w:t>
      </w:r>
      <w:r w:rsidR="00F14A9B" w:rsidRPr="00FA0D9B">
        <w:rPr>
          <w:rFonts w:cs="Calibri"/>
        </w:rPr>
        <w:t xml:space="preserve">contact the Consumer Mediation Service via our </w:t>
      </w:r>
      <w:hyperlink r:id="rId18" w:history="1">
        <w:r w:rsidR="00F14A9B" w:rsidRPr="00FA0D9B">
          <w:rPr>
            <w:rStyle w:val="Hyperlink"/>
            <w:rFonts w:cs="Calibri"/>
          </w:rPr>
          <w:t xml:space="preserve">online complaint </w:t>
        </w:r>
        <w:r w:rsidR="00F14A9B">
          <w:rPr>
            <w:rStyle w:val="Hyperlink"/>
            <w:rFonts w:cs="Calibri"/>
          </w:rPr>
          <w:t>service</w:t>
        </w:r>
      </w:hyperlink>
      <w:r w:rsidR="00F14A9B" w:rsidRPr="00FA0D9B">
        <w:rPr>
          <w:rFonts w:cs="Calibri"/>
        </w:rPr>
        <w:t xml:space="preserve"> (</w:t>
      </w:r>
      <w:hyperlink r:id="rId19" w:history="1">
        <w:r w:rsidR="00F14A9B" w:rsidRPr="006E19B1">
          <w:rPr>
            <w:rStyle w:val="Hyperlink"/>
          </w:rPr>
          <w:t>https://uat.web.maine.gov/ag/online-services/file-a-consumer-complaint-and-request-mediation</w:t>
        </w:r>
      </w:hyperlink>
      <w:r w:rsidR="00F14A9B" w:rsidRPr="00FA0D9B">
        <w:rPr>
          <w:rFonts w:cs="Calibri"/>
        </w:rPr>
        <w:t xml:space="preserve">); call us Monday – Thursday between 9 AM – 12 noon at 1-800-436-2131 or 207-626-8849; or write a letter addressed to the Consumer Mediation Service, Office of the Attorney General, 6 State House Station, Augusta, ME 04333-0006. </w:t>
      </w:r>
      <w:r w:rsidR="00F14A9B">
        <w:rPr>
          <w:rFonts w:cs="Calibri"/>
        </w:rPr>
        <w:t xml:space="preserve">For more information, see our guide on </w:t>
      </w:r>
      <w:hyperlink r:id="rId20" w:history="1">
        <w:r w:rsidR="00F14A9B" w:rsidRPr="005A5AAD">
          <w:rPr>
            <w:rStyle w:val="Hyperlink"/>
            <w:rFonts w:cs="Calibri"/>
          </w:rPr>
          <w:t>how to resolve a consumer complaint</w:t>
        </w:r>
      </w:hyperlink>
      <w:r w:rsidR="00F14A9B">
        <w:rPr>
          <w:rFonts w:cs="Calibri"/>
        </w:rPr>
        <w:t xml:space="preserve"> (</w:t>
      </w:r>
      <w:hyperlink r:id="rId21" w:history="1">
        <w:r w:rsidR="00F14A9B" w:rsidRPr="00A03441">
          <w:rPr>
            <w:rStyle w:val="Hyperlink"/>
            <w:rFonts w:cs="Calibri"/>
          </w:rPr>
          <w:t>https://maine.gov/ag/consumer-protection/consumer-help-topics/consumer-complaints</w:t>
        </w:r>
      </w:hyperlink>
      <w:r w:rsidR="00F14A9B">
        <w:rPr>
          <w:rFonts w:cs="Calibri"/>
        </w:rPr>
        <w:t>).</w:t>
      </w:r>
    </w:p>
    <w:sectPr w:rsidR="00BD311B" w:rsidRPr="008C146C" w:rsidSect="006C71FE">
      <w:footerReference w:type="default" r:id="rId22"/>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E1D2" w14:textId="77777777" w:rsidR="007D3B30" w:rsidRDefault="007D3B30" w:rsidP="00DF19AB">
      <w:r>
        <w:separator/>
      </w:r>
    </w:p>
  </w:endnote>
  <w:endnote w:type="continuationSeparator" w:id="0">
    <w:p w14:paraId="34C3C9EA" w14:textId="77777777" w:rsidR="007D3B30" w:rsidRDefault="007D3B30" w:rsidP="00DF19AB">
      <w:r>
        <w:continuationSeparator/>
      </w:r>
    </w:p>
  </w:endnote>
  <w:endnote w:id="1">
    <w:p w14:paraId="506D572D" w14:textId="58E9B257"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If the tenancy is intended to last more than one year, a written agreement is required. 33 M.R.S.A. § 51. </w:t>
      </w:r>
    </w:p>
  </w:endnote>
  <w:endnote w:id="2">
    <w:p w14:paraId="0759BC60" w14:textId="77777777" w:rsidR="00C90F44" w:rsidRPr="00C90F44" w:rsidRDefault="00C90F44" w:rsidP="000B3D90">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6030-H. </w:t>
      </w:r>
    </w:p>
  </w:endnote>
  <w:endnote w:id="3">
    <w:p w14:paraId="1CABA861" w14:textId="20CCE9BD"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6030-J. This requirement does not apply if you</w:t>
      </w:r>
      <w:r w:rsidR="00480E1B">
        <w:rPr>
          <w:rFonts w:cs="Calibri"/>
          <w:sz w:val="24"/>
          <w:szCs w:val="24"/>
        </w:rPr>
        <w:t xml:space="preserve"> are</w:t>
      </w:r>
      <w:r w:rsidRPr="00C90F44">
        <w:rPr>
          <w:rFonts w:cs="Calibri"/>
          <w:sz w:val="24"/>
          <w:szCs w:val="24"/>
        </w:rPr>
        <w:t xml:space="preserve"> not responsible for paying any mandatory recurring fee or optional recurring fee. </w:t>
      </w:r>
    </w:p>
  </w:endnote>
  <w:endnote w:id="4">
    <w:p w14:paraId="17123CF0" w14:textId="6A3AD0F3"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6030-C. </w:t>
      </w:r>
    </w:p>
  </w:endnote>
  <w:endnote w:id="5">
    <w:p w14:paraId="25B9C71B" w14:textId="170E5CD0"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Some landlords are exempt from certain disclosures, but for most tenants in Maine these disclosures will be required. </w:t>
      </w:r>
    </w:p>
  </w:endnote>
  <w:endnote w:id="6">
    <w:p w14:paraId="5EDE2C78" w14:textId="2FEEF9F2"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6030-D; a template notice is available at the </w:t>
      </w:r>
      <w:hyperlink r:id="rId1" w:history="1">
        <w:r w:rsidR="00480E1B" w:rsidRPr="00593D59">
          <w:rPr>
            <w:rStyle w:val="Hyperlink"/>
            <w:rFonts w:cs="Calibri"/>
            <w:sz w:val="24"/>
            <w:szCs w:val="24"/>
          </w:rPr>
          <w:t>Maine Center for Disease Control</w:t>
        </w:r>
      </w:hyperlink>
      <w:r w:rsidRPr="00C90F44">
        <w:rPr>
          <w:rFonts w:cs="Calibri"/>
          <w:sz w:val="24"/>
          <w:szCs w:val="24"/>
        </w:rPr>
        <w:t xml:space="preserve"> website</w:t>
      </w:r>
      <w:r w:rsidR="00480E1B">
        <w:rPr>
          <w:rFonts w:cs="Calibri"/>
          <w:sz w:val="24"/>
          <w:szCs w:val="24"/>
        </w:rPr>
        <w:t xml:space="preserve"> (</w:t>
      </w:r>
      <w:hyperlink r:id="rId2" w:history="1">
        <w:r w:rsidR="00480E1B" w:rsidRPr="00593D59">
          <w:rPr>
            <w:rStyle w:val="Hyperlink"/>
            <w:rFonts w:cs="Calibri"/>
            <w:sz w:val="24"/>
            <w:szCs w:val="24"/>
          </w:rPr>
          <w:t>https://www.maine.gov/dhhs/mecdc/healthy-living/health-and-safety/drinking-water-safety/public-water-systems/information-for-consumers/drinking-water-contaminants/radon</w:t>
        </w:r>
      </w:hyperlink>
      <w:r w:rsidR="00480E1B">
        <w:rPr>
          <w:rFonts w:cs="Calibri"/>
          <w:sz w:val="24"/>
          <w:szCs w:val="24"/>
        </w:rPr>
        <w:t>)</w:t>
      </w:r>
      <w:r w:rsidRPr="00C90F44">
        <w:rPr>
          <w:rFonts w:cs="Calibri"/>
          <w:sz w:val="24"/>
          <w:szCs w:val="24"/>
        </w:rPr>
        <w:t xml:space="preserve">. </w:t>
      </w:r>
    </w:p>
  </w:endnote>
  <w:endnote w:id="7">
    <w:p w14:paraId="7406EA2B" w14:textId="49FECCCF"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6030-E. </w:t>
      </w:r>
    </w:p>
  </w:endnote>
  <w:endnote w:id="8">
    <w:p w14:paraId="613C3046" w14:textId="5B5F1AF8"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24 CFR § 35.88. Further information </w:t>
      </w:r>
      <w:r w:rsidR="00AB0C3D">
        <w:rPr>
          <w:rFonts w:cs="Calibri"/>
          <w:sz w:val="24"/>
          <w:szCs w:val="24"/>
        </w:rPr>
        <w:t>at the</w:t>
      </w:r>
      <w:r w:rsidRPr="00C90F44">
        <w:rPr>
          <w:rFonts w:cs="Calibri"/>
          <w:sz w:val="24"/>
          <w:szCs w:val="24"/>
        </w:rPr>
        <w:t xml:space="preserve"> </w:t>
      </w:r>
      <w:hyperlink r:id="rId3" w:history="1">
        <w:r w:rsidRPr="009715F9">
          <w:rPr>
            <w:rStyle w:val="Hyperlink"/>
            <w:rFonts w:cs="Calibri"/>
            <w:sz w:val="24"/>
            <w:szCs w:val="24"/>
          </w:rPr>
          <w:t>federal Lead Paint Disclosure Rule</w:t>
        </w:r>
      </w:hyperlink>
      <w:r w:rsidRPr="00C90F44">
        <w:rPr>
          <w:rFonts w:cs="Calibri"/>
          <w:sz w:val="24"/>
          <w:szCs w:val="24"/>
        </w:rPr>
        <w:t xml:space="preserve"> </w:t>
      </w:r>
      <w:r w:rsidR="009715F9">
        <w:rPr>
          <w:rFonts w:cs="Calibri"/>
          <w:sz w:val="24"/>
          <w:szCs w:val="24"/>
        </w:rPr>
        <w:t>(</w:t>
      </w:r>
      <w:hyperlink r:id="rId4" w:history="1">
        <w:r w:rsidR="009715F9" w:rsidRPr="00593D59">
          <w:rPr>
            <w:rStyle w:val="Hyperlink"/>
            <w:rFonts w:cs="Calibri"/>
            <w:sz w:val="24"/>
            <w:szCs w:val="24"/>
          </w:rPr>
          <w:t>https://www.epa.gov/lead/real-estate-disclosures-about-potential-lead-hazards</w:t>
        </w:r>
      </w:hyperlink>
      <w:r w:rsidR="009715F9">
        <w:rPr>
          <w:rFonts w:cs="Calibri"/>
          <w:sz w:val="24"/>
          <w:szCs w:val="24"/>
        </w:rPr>
        <w:t xml:space="preserve">) </w:t>
      </w:r>
      <w:r w:rsidRPr="00C90F44">
        <w:rPr>
          <w:rFonts w:cs="Calibri"/>
          <w:sz w:val="24"/>
          <w:szCs w:val="24"/>
        </w:rPr>
        <w:t xml:space="preserve">. </w:t>
      </w:r>
    </w:p>
  </w:endnote>
  <w:endnote w:id="9">
    <w:p w14:paraId="39762E12" w14:textId="43F50844" w:rsidR="00C90F44" w:rsidRPr="00C90F44" w:rsidRDefault="00C90F44" w:rsidP="006B26F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“Normal wear and tear” </w:t>
      </w:r>
      <w:proofErr w:type="gramStart"/>
      <w:r w:rsidRPr="00C90F44">
        <w:rPr>
          <w:rFonts w:cs="Calibri"/>
          <w:sz w:val="24"/>
          <w:szCs w:val="24"/>
        </w:rPr>
        <w:t>means</w:t>
      </w:r>
      <w:proofErr w:type="gramEnd"/>
      <w:r w:rsidRPr="00C90F44">
        <w:rPr>
          <w:rFonts w:cs="Calibri"/>
          <w:sz w:val="24"/>
          <w:szCs w:val="24"/>
        </w:rPr>
        <w:t xml:space="preserve"> “the deterioration that occurs, based upon the use for which the rental unit is intended, without negligence, carelessness, accident or abuse of the premises or equipment or chattels by </w:t>
      </w:r>
      <w:r w:rsidR="00AB0C3D">
        <w:rPr>
          <w:rFonts w:cs="Calibri"/>
          <w:sz w:val="24"/>
          <w:szCs w:val="24"/>
        </w:rPr>
        <w:t>the tenant</w:t>
      </w:r>
      <w:r w:rsidRPr="00C90F44">
        <w:rPr>
          <w:rFonts w:cs="Calibri"/>
          <w:sz w:val="24"/>
          <w:szCs w:val="24"/>
        </w:rPr>
        <w:t xml:space="preserve"> or members of </w:t>
      </w:r>
      <w:r w:rsidR="00AB0C3D">
        <w:rPr>
          <w:rFonts w:cs="Calibri"/>
          <w:sz w:val="24"/>
          <w:szCs w:val="24"/>
        </w:rPr>
        <w:t>the tenant</w:t>
      </w:r>
      <w:r w:rsidRPr="00C90F44">
        <w:rPr>
          <w:rFonts w:cs="Calibri"/>
          <w:sz w:val="24"/>
          <w:szCs w:val="24"/>
        </w:rPr>
        <w:t xml:space="preserve">'s household or their invitees or guests.” 14 M.R.S.A. § 6031(1). </w:t>
      </w:r>
    </w:p>
  </w:endnote>
  <w:endnote w:id="10">
    <w:p w14:paraId="73136317" w14:textId="77777777" w:rsidR="00C90F44" w:rsidRPr="00C90F44" w:rsidRDefault="00C90F44" w:rsidP="001631EA">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5 M.R.S.A. § 4581-A. </w:t>
      </w:r>
    </w:p>
  </w:endnote>
  <w:endnote w:id="11">
    <w:p w14:paraId="49CD52B4" w14:textId="198F15EC" w:rsidR="00C90F44" w:rsidRPr="00C90F44" w:rsidRDefault="00C90F44" w:rsidP="001631EA">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An assistance animal is one t</w:t>
      </w:r>
      <w:r w:rsidRPr="00C90F44">
        <w:rPr>
          <w:rFonts w:eastAsia="Times New Roman" w:cs="Calibri"/>
          <w:snapToGrid w:val="0"/>
          <w:sz w:val="24"/>
          <w:szCs w:val="24"/>
        </w:rPr>
        <w:t>hat has been determined by a qualified professional as necessary for an individual with a physical or mental disability to mitigate the effects of a physical or mental disability</w:t>
      </w:r>
      <w:r w:rsidRPr="00C90F44">
        <w:rPr>
          <w:rFonts w:cs="Calibri"/>
          <w:sz w:val="24"/>
          <w:szCs w:val="24"/>
        </w:rPr>
        <w:t xml:space="preserve">, or </w:t>
      </w:r>
      <w:r w:rsidRPr="00C90F44">
        <w:rPr>
          <w:rFonts w:eastAsia="Times New Roman" w:cs="Calibri"/>
          <w:snapToGrid w:val="0"/>
          <w:sz w:val="24"/>
          <w:szCs w:val="24"/>
        </w:rPr>
        <w:t xml:space="preserve">that has been individually trained to do work or perform tasks for the benefit of an individual with a physical or mental disability, such as seeing-eye dogs. 5 M.R.S.A. § 4553(1-H). </w:t>
      </w:r>
    </w:p>
  </w:endnote>
  <w:endnote w:id="12">
    <w:p w14:paraId="7585F3C3" w14:textId="77777777" w:rsidR="00C90F44" w:rsidRPr="00C90F44" w:rsidRDefault="00C90F44" w:rsidP="00130442">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6021. </w:t>
      </w:r>
    </w:p>
  </w:endnote>
  <w:endnote w:id="13">
    <w:p w14:paraId="216774F6" w14:textId="714E4A34"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w:t>
      </w:r>
      <w:r w:rsidR="002A51CA">
        <w:rPr>
          <w:rFonts w:cs="Calibri"/>
          <w:sz w:val="24"/>
          <w:szCs w:val="24"/>
        </w:rPr>
        <w:t xml:space="preserve">See the </w:t>
      </w:r>
      <w:hyperlink r:id="rId5" w:history="1">
        <w:r w:rsidRPr="002A51CA">
          <w:rPr>
            <w:rStyle w:val="Hyperlink"/>
            <w:rFonts w:cs="Calibri"/>
            <w:sz w:val="24"/>
            <w:szCs w:val="24"/>
          </w:rPr>
          <w:t>template notice created by Pine Tree Legal Assistance</w:t>
        </w:r>
      </w:hyperlink>
      <w:r w:rsidR="002A51CA">
        <w:rPr>
          <w:rFonts w:cs="Calibri"/>
          <w:sz w:val="24"/>
          <w:szCs w:val="24"/>
        </w:rPr>
        <w:t xml:space="preserve"> (</w:t>
      </w:r>
      <w:hyperlink r:id="rId6" w:history="1">
        <w:r w:rsidR="002A51CA" w:rsidRPr="00593D59">
          <w:rPr>
            <w:rStyle w:val="Hyperlink"/>
            <w:rFonts w:cs="Calibri"/>
            <w:sz w:val="24"/>
            <w:szCs w:val="24"/>
          </w:rPr>
          <w:t>https://www.ptla.org/sites/default/files/warranty-habitability-notice.pdf</w:t>
        </w:r>
      </w:hyperlink>
      <w:r w:rsidR="002A51CA">
        <w:rPr>
          <w:rFonts w:cs="Calibri"/>
          <w:sz w:val="24"/>
          <w:szCs w:val="24"/>
        </w:rPr>
        <w:t>)</w:t>
      </w:r>
      <w:r w:rsidRPr="00C90F44">
        <w:rPr>
          <w:rFonts w:cs="Calibri"/>
          <w:sz w:val="24"/>
          <w:szCs w:val="24"/>
        </w:rPr>
        <w:t>.</w:t>
      </w:r>
    </w:p>
  </w:endnote>
  <w:endnote w:id="14">
    <w:p w14:paraId="2EE5666B" w14:textId="77777777" w:rsidR="00C90F44" w:rsidRPr="00C90F44" w:rsidRDefault="00C90F44" w:rsidP="00130442">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6026. </w:t>
      </w:r>
    </w:p>
  </w:endnote>
  <w:endnote w:id="15">
    <w:p w14:paraId="1FE97914" w14:textId="227CC673"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6021(6). This temperature is measured at a distance of at least 3 feet from an outside wall and 5 feet above the floor. If you ha</w:t>
      </w:r>
      <w:r w:rsidR="002A51CA">
        <w:rPr>
          <w:rFonts w:cs="Calibri"/>
          <w:sz w:val="24"/>
          <w:szCs w:val="24"/>
        </w:rPr>
        <w:t>ve</w:t>
      </w:r>
      <w:r w:rsidRPr="00C90F44">
        <w:rPr>
          <w:rFonts w:cs="Calibri"/>
          <w:sz w:val="24"/>
          <w:szCs w:val="24"/>
        </w:rPr>
        <w:t xml:space="preserve"> </w:t>
      </w:r>
      <w:r w:rsidR="001C288A">
        <w:rPr>
          <w:rFonts w:cs="Calibri"/>
          <w:sz w:val="24"/>
          <w:szCs w:val="24"/>
        </w:rPr>
        <w:t xml:space="preserve">a </w:t>
      </w:r>
      <w:r w:rsidRPr="00C90F44">
        <w:rPr>
          <w:rFonts w:cs="Calibri"/>
          <w:sz w:val="24"/>
          <w:szCs w:val="24"/>
        </w:rPr>
        <w:t xml:space="preserve">medical condition requiring a warmer living space, then the landlord must maintain a minimum temperature sufficient to avoid injury to </w:t>
      </w:r>
      <w:r w:rsidR="001C288A">
        <w:rPr>
          <w:rFonts w:cs="Calibri"/>
          <w:sz w:val="24"/>
          <w:szCs w:val="24"/>
        </w:rPr>
        <w:t>your</w:t>
      </w:r>
      <w:r w:rsidRPr="00C90F44">
        <w:rPr>
          <w:rFonts w:cs="Calibri"/>
          <w:sz w:val="24"/>
          <w:szCs w:val="24"/>
        </w:rPr>
        <w:t xml:space="preserve"> health. The heating system must also operate so that other systems (such as water) function properly.</w:t>
      </w:r>
    </w:p>
  </w:endnote>
  <w:endnote w:id="16">
    <w:p w14:paraId="0B24318D" w14:textId="6A5203B4"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6021(6-A). </w:t>
      </w:r>
    </w:p>
  </w:endnote>
  <w:endnote w:id="17">
    <w:p w14:paraId="7277314A" w14:textId="4AE61A0B"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6024-A. </w:t>
      </w:r>
    </w:p>
  </w:endnote>
  <w:endnote w:id="18">
    <w:p w14:paraId="4F3D881F" w14:textId="3439847D"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35-A M.R.S.A. § 706. </w:t>
      </w:r>
    </w:p>
  </w:endnote>
  <w:endnote w:id="19">
    <w:p w14:paraId="5871D2AF" w14:textId="07FFA8E1"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w:t>
      </w:r>
      <w:r w:rsidR="006B0A13">
        <w:rPr>
          <w:rFonts w:cs="Calibri"/>
          <w:sz w:val="24"/>
          <w:szCs w:val="24"/>
        </w:rPr>
        <w:t xml:space="preserve">Maine Department of Environmental Protection </w:t>
      </w:r>
      <w:hyperlink r:id="rId7" w:history="1">
        <w:r w:rsidR="006B0A13" w:rsidRPr="008F20BA">
          <w:rPr>
            <w:rStyle w:val="Hyperlink"/>
            <w:rFonts w:cs="Calibri"/>
            <w:sz w:val="24"/>
            <w:szCs w:val="24"/>
          </w:rPr>
          <w:t>Lead Hazard Program</w:t>
        </w:r>
      </w:hyperlink>
      <w:r w:rsidR="006B0A13">
        <w:rPr>
          <w:rFonts w:cs="Calibri"/>
          <w:sz w:val="24"/>
          <w:szCs w:val="24"/>
        </w:rPr>
        <w:t xml:space="preserve"> (</w:t>
      </w:r>
      <w:hyperlink r:id="rId8" w:history="1">
        <w:r w:rsidR="006B0A13" w:rsidRPr="00593D59">
          <w:rPr>
            <w:rStyle w:val="Hyperlink"/>
            <w:rFonts w:cs="Calibri"/>
            <w:sz w:val="24"/>
            <w:szCs w:val="24"/>
          </w:rPr>
          <w:t>https://www.maine.gov/dep/waste/lead/index.html</w:t>
        </w:r>
      </w:hyperlink>
      <w:r w:rsidR="006B0A13">
        <w:rPr>
          <w:rFonts w:cs="Calibri"/>
          <w:sz w:val="24"/>
          <w:szCs w:val="24"/>
        </w:rPr>
        <w:t>)</w:t>
      </w:r>
      <w:r w:rsidRPr="00C90F44">
        <w:rPr>
          <w:rFonts w:cs="Calibri"/>
          <w:sz w:val="24"/>
          <w:szCs w:val="24"/>
        </w:rPr>
        <w:t xml:space="preserve">. </w:t>
      </w:r>
    </w:p>
  </w:endnote>
  <w:endnote w:id="20">
    <w:p w14:paraId="3043703D" w14:textId="74096F09"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6021-A. </w:t>
      </w:r>
    </w:p>
  </w:endnote>
  <w:endnote w:id="21">
    <w:p w14:paraId="16210063" w14:textId="48E3E4CE"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w:t>
      </w:r>
      <w:r w:rsidR="008F20BA">
        <w:rPr>
          <w:rFonts w:cs="Calibri"/>
          <w:sz w:val="24"/>
          <w:szCs w:val="24"/>
        </w:rPr>
        <w:t xml:space="preserve">See the </w:t>
      </w:r>
      <w:hyperlink r:id="rId9" w:history="1">
        <w:r w:rsidRPr="008F20BA">
          <w:rPr>
            <w:rStyle w:val="Hyperlink"/>
            <w:rFonts w:cs="Calibri"/>
            <w:sz w:val="24"/>
            <w:szCs w:val="24"/>
          </w:rPr>
          <w:t>template notice created by Pine Tree Legal Assistance</w:t>
        </w:r>
      </w:hyperlink>
      <w:r w:rsidRPr="00C90F44">
        <w:rPr>
          <w:rFonts w:cs="Calibri"/>
          <w:sz w:val="24"/>
          <w:szCs w:val="24"/>
        </w:rPr>
        <w:t xml:space="preserve"> </w:t>
      </w:r>
      <w:r w:rsidR="008F20BA">
        <w:rPr>
          <w:rFonts w:cs="Calibri"/>
          <w:sz w:val="24"/>
          <w:szCs w:val="24"/>
        </w:rPr>
        <w:t>(</w:t>
      </w:r>
      <w:hyperlink r:id="rId10" w:history="1">
        <w:r w:rsidR="008F20BA" w:rsidRPr="00593D59">
          <w:rPr>
            <w:rStyle w:val="Hyperlink"/>
            <w:rFonts w:cs="Calibri"/>
            <w:sz w:val="24"/>
            <w:szCs w:val="24"/>
          </w:rPr>
          <w:t>https://www.ptla.org/sites/default/files/bed-bug-notice.pdf</w:t>
        </w:r>
      </w:hyperlink>
      <w:r w:rsidR="008F20BA">
        <w:rPr>
          <w:rFonts w:cs="Calibri"/>
          <w:sz w:val="24"/>
          <w:szCs w:val="24"/>
        </w:rPr>
        <w:t>)</w:t>
      </w:r>
      <w:r w:rsidRPr="00C90F44">
        <w:rPr>
          <w:rFonts w:cs="Calibri"/>
          <w:sz w:val="24"/>
          <w:szCs w:val="24"/>
        </w:rPr>
        <w:t xml:space="preserve">. </w:t>
      </w:r>
    </w:p>
  </w:endnote>
  <w:endnote w:id="22">
    <w:p w14:paraId="228E9BD3" w14:textId="610B7896" w:rsidR="00C90F44" w:rsidRPr="00C90F44" w:rsidRDefault="00C90F44">
      <w:pPr>
        <w:pStyle w:val="EndnoteText"/>
        <w:rPr>
          <w:sz w:val="24"/>
          <w:szCs w:val="24"/>
        </w:rPr>
      </w:pPr>
      <w:r w:rsidRPr="00C90F44">
        <w:rPr>
          <w:rStyle w:val="EndnoteReference"/>
          <w:rFonts w:cs="Calibri"/>
          <w:sz w:val="24"/>
          <w:szCs w:val="24"/>
        </w:rPr>
        <w:endnoteRef/>
      </w:r>
      <w:r w:rsidRPr="00C90F44">
        <w:rPr>
          <w:rFonts w:cs="Calibri"/>
          <w:sz w:val="24"/>
          <w:szCs w:val="24"/>
        </w:rPr>
        <w:t xml:space="preserve"> 14 M.R.S.A. § 6002(3). </w:t>
      </w:r>
    </w:p>
  </w:endnote>
  <w:endnote w:id="23">
    <w:p w14:paraId="541610C4" w14:textId="15B8C622"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6013. </w:t>
      </w:r>
    </w:p>
  </w:endnote>
  <w:endnote w:id="24">
    <w:p w14:paraId="08C93114" w14:textId="7EA82222" w:rsidR="00C90F44" w:rsidRPr="00C90F44" w:rsidRDefault="00C90F44">
      <w:pPr>
        <w:pStyle w:val="EndnoteText"/>
        <w:rPr>
          <w:rFonts w:cs="Calibri"/>
          <w:sz w:val="24"/>
          <w:szCs w:val="24"/>
        </w:rPr>
      </w:pPr>
      <w:r w:rsidRPr="00C90F44">
        <w:rPr>
          <w:rStyle w:val="EndnoteReference"/>
          <w:rFonts w:cs="Calibri"/>
          <w:sz w:val="24"/>
          <w:szCs w:val="24"/>
        </w:rPr>
        <w:endnoteRef/>
      </w:r>
      <w:r w:rsidRPr="00C90F44">
        <w:rPr>
          <w:rFonts w:cs="Calibri"/>
          <w:sz w:val="24"/>
          <w:szCs w:val="24"/>
        </w:rPr>
        <w:t xml:space="preserve"> 14 M.R.S.A. § 6010-A.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070373"/>
      <w:docPartObj>
        <w:docPartGallery w:val="Page Numbers (Bottom of Page)"/>
        <w:docPartUnique/>
      </w:docPartObj>
    </w:sdtPr>
    <w:sdtEndPr>
      <w:rPr>
        <w:noProof/>
      </w:rPr>
    </w:sdtEndPr>
    <w:sdtContent>
      <w:p w14:paraId="0113B14D" w14:textId="1F4BEC1C" w:rsidR="004B17C9" w:rsidRDefault="004B17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32AB69" w14:textId="77777777" w:rsidR="004B17C9" w:rsidRDefault="004B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66FA" w14:textId="77777777" w:rsidR="007D3B30" w:rsidRDefault="007D3B30" w:rsidP="00DF19AB">
      <w:r>
        <w:separator/>
      </w:r>
    </w:p>
  </w:footnote>
  <w:footnote w:type="continuationSeparator" w:id="0">
    <w:p w14:paraId="2A438950" w14:textId="77777777" w:rsidR="007D3B30" w:rsidRDefault="007D3B30" w:rsidP="00DF1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4759"/>
    <w:multiLevelType w:val="hybridMultilevel"/>
    <w:tmpl w:val="FFC02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B35E2"/>
    <w:multiLevelType w:val="hybridMultilevel"/>
    <w:tmpl w:val="AEE2A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D4A8D"/>
    <w:multiLevelType w:val="hybridMultilevel"/>
    <w:tmpl w:val="8B1C1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70DF6"/>
    <w:multiLevelType w:val="hybridMultilevel"/>
    <w:tmpl w:val="7A14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93F18"/>
    <w:multiLevelType w:val="hybridMultilevel"/>
    <w:tmpl w:val="7DEC5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04B37"/>
    <w:multiLevelType w:val="hybridMultilevel"/>
    <w:tmpl w:val="9D9601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C80C65"/>
    <w:multiLevelType w:val="hybridMultilevel"/>
    <w:tmpl w:val="752E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41DBA"/>
    <w:multiLevelType w:val="hybridMultilevel"/>
    <w:tmpl w:val="BB309FBA"/>
    <w:lvl w:ilvl="0" w:tplc="1B4815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A17430"/>
    <w:multiLevelType w:val="hybridMultilevel"/>
    <w:tmpl w:val="2D26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77F61"/>
    <w:multiLevelType w:val="hybridMultilevel"/>
    <w:tmpl w:val="08BC5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60DA9"/>
    <w:multiLevelType w:val="hybridMultilevel"/>
    <w:tmpl w:val="B7FE42D4"/>
    <w:lvl w:ilvl="0" w:tplc="553C4C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7233878"/>
    <w:multiLevelType w:val="hybridMultilevel"/>
    <w:tmpl w:val="451CD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CC6B73"/>
    <w:multiLevelType w:val="hybridMultilevel"/>
    <w:tmpl w:val="EA8693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2311829">
    <w:abstractNumId w:val="3"/>
  </w:num>
  <w:num w:numId="2" w16cid:durableId="442000742">
    <w:abstractNumId w:val="6"/>
  </w:num>
  <w:num w:numId="3" w16cid:durableId="1335835982">
    <w:abstractNumId w:val="7"/>
  </w:num>
  <w:num w:numId="4" w16cid:durableId="850484366">
    <w:abstractNumId w:val="0"/>
  </w:num>
  <w:num w:numId="5" w16cid:durableId="469441448">
    <w:abstractNumId w:val="10"/>
  </w:num>
  <w:num w:numId="6" w16cid:durableId="1536574157">
    <w:abstractNumId w:val="11"/>
  </w:num>
  <w:num w:numId="7" w16cid:durableId="1011569494">
    <w:abstractNumId w:val="5"/>
  </w:num>
  <w:num w:numId="8" w16cid:durableId="1520386675">
    <w:abstractNumId w:val="12"/>
  </w:num>
  <w:num w:numId="9" w16cid:durableId="1505390191">
    <w:abstractNumId w:val="9"/>
  </w:num>
  <w:num w:numId="10" w16cid:durableId="1414546677">
    <w:abstractNumId w:val="1"/>
  </w:num>
  <w:num w:numId="11" w16cid:durableId="1447577391">
    <w:abstractNumId w:val="2"/>
  </w:num>
  <w:num w:numId="12" w16cid:durableId="26372991">
    <w:abstractNumId w:val="4"/>
  </w:num>
  <w:num w:numId="13" w16cid:durableId="10425562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EE"/>
    <w:rsid w:val="00005BFD"/>
    <w:rsid w:val="00006E7C"/>
    <w:rsid w:val="00011A6A"/>
    <w:rsid w:val="0001426F"/>
    <w:rsid w:val="00014CF3"/>
    <w:rsid w:val="00031725"/>
    <w:rsid w:val="000352AA"/>
    <w:rsid w:val="00040125"/>
    <w:rsid w:val="00041267"/>
    <w:rsid w:val="000431E0"/>
    <w:rsid w:val="00050647"/>
    <w:rsid w:val="0005784C"/>
    <w:rsid w:val="000654E8"/>
    <w:rsid w:val="00066FBB"/>
    <w:rsid w:val="00072E40"/>
    <w:rsid w:val="00081FE2"/>
    <w:rsid w:val="000A187C"/>
    <w:rsid w:val="000A324B"/>
    <w:rsid w:val="000A3E92"/>
    <w:rsid w:val="000A3E9C"/>
    <w:rsid w:val="000A5D63"/>
    <w:rsid w:val="000A661A"/>
    <w:rsid w:val="000B1694"/>
    <w:rsid w:val="000B2138"/>
    <w:rsid w:val="000B2DE4"/>
    <w:rsid w:val="000B3D90"/>
    <w:rsid w:val="000C5E74"/>
    <w:rsid w:val="000D2F71"/>
    <w:rsid w:val="000D55BD"/>
    <w:rsid w:val="000E45E0"/>
    <w:rsid w:val="000F3FAD"/>
    <w:rsid w:val="001003EC"/>
    <w:rsid w:val="00104703"/>
    <w:rsid w:val="00104A6C"/>
    <w:rsid w:val="00111A3A"/>
    <w:rsid w:val="00113A05"/>
    <w:rsid w:val="001173E2"/>
    <w:rsid w:val="00121250"/>
    <w:rsid w:val="00123523"/>
    <w:rsid w:val="00125C20"/>
    <w:rsid w:val="00127084"/>
    <w:rsid w:val="00130442"/>
    <w:rsid w:val="0013202B"/>
    <w:rsid w:val="00135904"/>
    <w:rsid w:val="00145429"/>
    <w:rsid w:val="00146D1D"/>
    <w:rsid w:val="00147D51"/>
    <w:rsid w:val="001631EA"/>
    <w:rsid w:val="00163686"/>
    <w:rsid w:val="0016407E"/>
    <w:rsid w:val="0016445E"/>
    <w:rsid w:val="00165590"/>
    <w:rsid w:val="00173073"/>
    <w:rsid w:val="00175804"/>
    <w:rsid w:val="0018201F"/>
    <w:rsid w:val="00186274"/>
    <w:rsid w:val="00191E2B"/>
    <w:rsid w:val="00192CA1"/>
    <w:rsid w:val="00192E77"/>
    <w:rsid w:val="00195EE0"/>
    <w:rsid w:val="001A002A"/>
    <w:rsid w:val="001A20F1"/>
    <w:rsid w:val="001A5CBB"/>
    <w:rsid w:val="001B0182"/>
    <w:rsid w:val="001B1A03"/>
    <w:rsid w:val="001B1FDB"/>
    <w:rsid w:val="001B44B6"/>
    <w:rsid w:val="001B50A8"/>
    <w:rsid w:val="001B75D6"/>
    <w:rsid w:val="001C288A"/>
    <w:rsid w:val="001C5535"/>
    <w:rsid w:val="001C781C"/>
    <w:rsid w:val="001D328A"/>
    <w:rsid w:val="001D45B1"/>
    <w:rsid w:val="001E2E65"/>
    <w:rsid w:val="001E31C4"/>
    <w:rsid w:val="001E680C"/>
    <w:rsid w:val="00201263"/>
    <w:rsid w:val="002044D3"/>
    <w:rsid w:val="0021070E"/>
    <w:rsid w:val="00211CF2"/>
    <w:rsid w:val="0022476F"/>
    <w:rsid w:val="002247B5"/>
    <w:rsid w:val="00232950"/>
    <w:rsid w:val="00236D5F"/>
    <w:rsid w:val="00236F1E"/>
    <w:rsid w:val="00240A96"/>
    <w:rsid w:val="00243E3C"/>
    <w:rsid w:val="0024643B"/>
    <w:rsid w:val="00253160"/>
    <w:rsid w:val="002645A6"/>
    <w:rsid w:val="002666EA"/>
    <w:rsid w:val="00266F63"/>
    <w:rsid w:val="00273756"/>
    <w:rsid w:val="00281D9D"/>
    <w:rsid w:val="00283324"/>
    <w:rsid w:val="002853FC"/>
    <w:rsid w:val="0029025F"/>
    <w:rsid w:val="002A06F7"/>
    <w:rsid w:val="002A364C"/>
    <w:rsid w:val="002A3A60"/>
    <w:rsid w:val="002A5149"/>
    <w:rsid w:val="002A51CA"/>
    <w:rsid w:val="002A6C64"/>
    <w:rsid w:val="002B11A0"/>
    <w:rsid w:val="002C44E1"/>
    <w:rsid w:val="002D03D8"/>
    <w:rsid w:val="002D26FA"/>
    <w:rsid w:val="002E0884"/>
    <w:rsid w:val="002E463C"/>
    <w:rsid w:val="002E4AC3"/>
    <w:rsid w:val="002E6E04"/>
    <w:rsid w:val="002F29A9"/>
    <w:rsid w:val="00303FE3"/>
    <w:rsid w:val="00312D17"/>
    <w:rsid w:val="00314D34"/>
    <w:rsid w:val="0031618A"/>
    <w:rsid w:val="00325545"/>
    <w:rsid w:val="00325FB8"/>
    <w:rsid w:val="003267B7"/>
    <w:rsid w:val="00327E57"/>
    <w:rsid w:val="00332586"/>
    <w:rsid w:val="003329B3"/>
    <w:rsid w:val="003336F6"/>
    <w:rsid w:val="00346700"/>
    <w:rsid w:val="00352F12"/>
    <w:rsid w:val="00366B19"/>
    <w:rsid w:val="00370882"/>
    <w:rsid w:val="0037092D"/>
    <w:rsid w:val="0037303A"/>
    <w:rsid w:val="003764FC"/>
    <w:rsid w:val="003825DA"/>
    <w:rsid w:val="00383E2D"/>
    <w:rsid w:val="0038643E"/>
    <w:rsid w:val="003920F1"/>
    <w:rsid w:val="00396458"/>
    <w:rsid w:val="003A127E"/>
    <w:rsid w:val="003A1E48"/>
    <w:rsid w:val="003A6262"/>
    <w:rsid w:val="003A63E7"/>
    <w:rsid w:val="003A7471"/>
    <w:rsid w:val="003B11BC"/>
    <w:rsid w:val="003B7C03"/>
    <w:rsid w:val="003C0E80"/>
    <w:rsid w:val="003C1D81"/>
    <w:rsid w:val="003C5588"/>
    <w:rsid w:val="003C6A39"/>
    <w:rsid w:val="003D073A"/>
    <w:rsid w:val="003D0A43"/>
    <w:rsid w:val="003D250E"/>
    <w:rsid w:val="003E1CAF"/>
    <w:rsid w:val="003E310E"/>
    <w:rsid w:val="003E7519"/>
    <w:rsid w:val="0040362F"/>
    <w:rsid w:val="004067D0"/>
    <w:rsid w:val="004074CC"/>
    <w:rsid w:val="00410F65"/>
    <w:rsid w:val="0041396F"/>
    <w:rsid w:val="00421001"/>
    <w:rsid w:val="00422663"/>
    <w:rsid w:val="004258D8"/>
    <w:rsid w:val="00431504"/>
    <w:rsid w:val="004371CD"/>
    <w:rsid w:val="004400A5"/>
    <w:rsid w:val="00440543"/>
    <w:rsid w:val="004414B2"/>
    <w:rsid w:val="00442A77"/>
    <w:rsid w:val="00446BE1"/>
    <w:rsid w:val="00447CA2"/>
    <w:rsid w:val="00447E16"/>
    <w:rsid w:val="0045664A"/>
    <w:rsid w:val="00461C79"/>
    <w:rsid w:val="00464290"/>
    <w:rsid w:val="004668E1"/>
    <w:rsid w:val="00467814"/>
    <w:rsid w:val="00470AFC"/>
    <w:rsid w:val="00474342"/>
    <w:rsid w:val="00477C99"/>
    <w:rsid w:val="00480E1B"/>
    <w:rsid w:val="00487A44"/>
    <w:rsid w:val="00493D95"/>
    <w:rsid w:val="0049540A"/>
    <w:rsid w:val="00495DEE"/>
    <w:rsid w:val="00496793"/>
    <w:rsid w:val="00497AC2"/>
    <w:rsid w:val="004A1DC9"/>
    <w:rsid w:val="004A33F4"/>
    <w:rsid w:val="004A5958"/>
    <w:rsid w:val="004B17BD"/>
    <w:rsid w:val="004B17C9"/>
    <w:rsid w:val="004B51F6"/>
    <w:rsid w:val="004B5B75"/>
    <w:rsid w:val="004C0EB7"/>
    <w:rsid w:val="004C1EBA"/>
    <w:rsid w:val="004C3307"/>
    <w:rsid w:val="004D28CC"/>
    <w:rsid w:val="004E45EC"/>
    <w:rsid w:val="004F0E15"/>
    <w:rsid w:val="004F139C"/>
    <w:rsid w:val="004F2182"/>
    <w:rsid w:val="004F22B3"/>
    <w:rsid w:val="004F23A3"/>
    <w:rsid w:val="00516224"/>
    <w:rsid w:val="00517751"/>
    <w:rsid w:val="00523F13"/>
    <w:rsid w:val="005261C2"/>
    <w:rsid w:val="00526CC0"/>
    <w:rsid w:val="00530964"/>
    <w:rsid w:val="00531D6D"/>
    <w:rsid w:val="00534A7F"/>
    <w:rsid w:val="005369C1"/>
    <w:rsid w:val="0053728E"/>
    <w:rsid w:val="00540346"/>
    <w:rsid w:val="005416F7"/>
    <w:rsid w:val="00551869"/>
    <w:rsid w:val="005524D9"/>
    <w:rsid w:val="00554471"/>
    <w:rsid w:val="00557129"/>
    <w:rsid w:val="005641BA"/>
    <w:rsid w:val="00564CBD"/>
    <w:rsid w:val="005715CF"/>
    <w:rsid w:val="005720EA"/>
    <w:rsid w:val="0059359A"/>
    <w:rsid w:val="00596775"/>
    <w:rsid w:val="005A6E74"/>
    <w:rsid w:val="005B081F"/>
    <w:rsid w:val="005B14A6"/>
    <w:rsid w:val="005C24EF"/>
    <w:rsid w:val="005C5F20"/>
    <w:rsid w:val="005C680B"/>
    <w:rsid w:val="005C6872"/>
    <w:rsid w:val="005D234E"/>
    <w:rsid w:val="005D469B"/>
    <w:rsid w:val="005D77E8"/>
    <w:rsid w:val="005D788D"/>
    <w:rsid w:val="005E1E35"/>
    <w:rsid w:val="005E3FE9"/>
    <w:rsid w:val="005E65A0"/>
    <w:rsid w:val="005E65E9"/>
    <w:rsid w:val="005E752D"/>
    <w:rsid w:val="005F17B5"/>
    <w:rsid w:val="005F20F0"/>
    <w:rsid w:val="005F5871"/>
    <w:rsid w:val="00611A54"/>
    <w:rsid w:val="00615ED5"/>
    <w:rsid w:val="00626553"/>
    <w:rsid w:val="00631750"/>
    <w:rsid w:val="00635176"/>
    <w:rsid w:val="006376E0"/>
    <w:rsid w:val="00643081"/>
    <w:rsid w:val="006449A8"/>
    <w:rsid w:val="00665800"/>
    <w:rsid w:val="00666C5E"/>
    <w:rsid w:val="00667635"/>
    <w:rsid w:val="00672E96"/>
    <w:rsid w:val="006773AC"/>
    <w:rsid w:val="006805CD"/>
    <w:rsid w:val="006813C3"/>
    <w:rsid w:val="006929B8"/>
    <w:rsid w:val="00692FCF"/>
    <w:rsid w:val="00694172"/>
    <w:rsid w:val="006A0BE3"/>
    <w:rsid w:val="006B0048"/>
    <w:rsid w:val="006B016D"/>
    <w:rsid w:val="006B053A"/>
    <w:rsid w:val="006B0A13"/>
    <w:rsid w:val="006B26F4"/>
    <w:rsid w:val="006B7301"/>
    <w:rsid w:val="006C1B8E"/>
    <w:rsid w:val="006C5870"/>
    <w:rsid w:val="006C71FE"/>
    <w:rsid w:val="006C799A"/>
    <w:rsid w:val="006D7C46"/>
    <w:rsid w:val="006E0369"/>
    <w:rsid w:val="006E0F44"/>
    <w:rsid w:val="006E7A1C"/>
    <w:rsid w:val="006F2B88"/>
    <w:rsid w:val="006F302C"/>
    <w:rsid w:val="006F419A"/>
    <w:rsid w:val="00710E8A"/>
    <w:rsid w:val="007156BE"/>
    <w:rsid w:val="00725010"/>
    <w:rsid w:val="00730C4E"/>
    <w:rsid w:val="00731308"/>
    <w:rsid w:val="00731BBE"/>
    <w:rsid w:val="00760B59"/>
    <w:rsid w:val="00760EDA"/>
    <w:rsid w:val="00761051"/>
    <w:rsid w:val="00774289"/>
    <w:rsid w:val="00774468"/>
    <w:rsid w:val="00781579"/>
    <w:rsid w:val="0078409C"/>
    <w:rsid w:val="007950C9"/>
    <w:rsid w:val="007978F2"/>
    <w:rsid w:val="007B2DEA"/>
    <w:rsid w:val="007B43E4"/>
    <w:rsid w:val="007D3B30"/>
    <w:rsid w:val="007E13DC"/>
    <w:rsid w:val="007E32C7"/>
    <w:rsid w:val="007E6096"/>
    <w:rsid w:val="007E7B25"/>
    <w:rsid w:val="007F16A7"/>
    <w:rsid w:val="007F6CA1"/>
    <w:rsid w:val="007F79D6"/>
    <w:rsid w:val="008011CA"/>
    <w:rsid w:val="0080374C"/>
    <w:rsid w:val="008111E9"/>
    <w:rsid w:val="008119C2"/>
    <w:rsid w:val="00817C7D"/>
    <w:rsid w:val="0082353E"/>
    <w:rsid w:val="00823B7B"/>
    <w:rsid w:val="008306A9"/>
    <w:rsid w:val="0083534A"/>
    <w:rsid w:val="0083618E"/>
    <w:rsid w:val="00841E59"/>
    <w:rsid w:val="00845655"/>
    <w:rsid w:val="0085484F"/>
    <w:rsid w:val="008571C0"/>
    <w:rsid w:val="00861A35"/>
    <w:rsid w:val="0086342C"/>
    <w:rsid w:val="00864E06"/>
    <w:rsid w:val="00867C71"/>
    <w:rsid w:val="0087106F"/>
    <w:rsid w:val="008758EE"/>
    <w:rsid w:val="00885EDB"/>
    <w:rsid w:val="008911EC"/>
    <w:rsid w:val="0089430C"/>
    <w:rsid w:val="00896F36"/>
    <w:rsid w:val="00897B4E"/>
    <w:rsid w:val="008A4E3D"/>
    <w:rsid w:val="008B2DDC"/>
    <w:rsid w:val="008B5412"/>
    <w:rsid w:val="008C01A4"/>
    <w:rsid w:val="008C0429"/>
    <w:rsid w:val="008C146C"/>
    <w:rsid w:val="008C7780"/>
    <w:rsid w:val="008D36CE"/>
    <w:rsid w:val="008E145C"/>
    <w:rsid w:val="008E4F10"/>
    <w:rsid w:val="008E5966"/>
    <w:rsid w:val="008E6D58"/>
    <w:rsid w:val="008E71F1"/>
    <w:rsid w:val="008F20BA"/>
    <w:rsid w:val="008F4285"/>
    <w:rsid w:val="00900A96"/>
    <w:rsid w:val="00911CD2"/>
    <w:rsid w:val="00913209"/>
    <w:rsid w:val="009167F7"/>
    <w:rsid w:val="00920C0C"/>
    <w:rsid w:val="00921682"/>
    <w:rsid w:val="0093731A"/>
    <w:rsid w:val="009407FD"/>
    <w:rsid w:val="009515B1"/>
    <w:rsid w:val="00954BEC"/>
    <w:rsid w:val="00956266"/>
    <w:rsid w:val="009618DA"/>
    <w:rsid w:val="00961D29"/>
    <w:rsid w:val="009676C2"/>
    <w:rsid w:val="00970D19"/>
    <w:rsid w:val="009715F9"/>
    <w:rsid w:val="009734C4"/>
    <w:rsid w:val="009755B8"/>
    <w:rsid w:val="00977366"/>
    <w:rsid w:val="0097738B"/>
    <w:rsid w:val="0098139F"/>
    <w:rsid w:val="009879CA"/>
    <w:rsid w:val="00993BE9"/>
    <w:rsid w:val="00997B1C"/>
    <w:rsid w:val="009B1052"/>
    <w:rsid w:val="009B19D0"/>
    <w:rsid w:val="009C152C"/>
    <w:rsid w:val="009C2D2C"/>
    <w:rsid w:val="009C7072"/>
    <w:rsid w:val="009C76A5"/>
    <w:rsid w:val="009D2D85"/>
    <w:rsid w:val="009D4F35"/>
    <w:rsid w:val="009E6425"/>
    <w:rsid w:val="009F2406"/>
    <w:rsid w:val="00A00604"/>
    <w:rsid w:val="00A05FAC"/>
    <w:rsid w:val="00A113C1"/>
    <w:rsid w:val="00A123CF"/>
    <w:rsid w:val="00A13C3E"/>
    <w:rsid w:val="00A14E63"/>
    <w:rsid w:val="00A27DE2"/>
    <w:rsid w:val="00A30319"/>
    <w:rsid w:val="00A3475E"/>
    <w:rsid w:val="00A44A30"/>
    <w:rsid w:val="00A457B7"/>
    <w:rsid w:val="00A545BC"/>
    <w:rsid w:val="00A54B76"/>
    <w:rsid w:val="00A54E6F"/>
    <w:rsid w:val="00A67859"/>
    <w:rsid w:val="00A7573E"/>
    <w:rsid w:val="00A77106"/>
    <w:rsid w:val="00A77189"/>
    <w:rsid w:val="00A81E69"/>
    <w:rsid w:val="00A82270"/>
    <w:rsid w:val="00A85BC2"/>
    <w:rsid w:val="00A87299"/>
    <w:rsid w:val="00AA0F7B"/>
    <w:rsid w:val="00AA161F"/>
    <w:rsid w:val="00AB0C3D"/>
    <w:rsid w:val="00AC0B9D"/>
    <w:rsid w:val="00AC2779"/>
    <w:rsid w:val="00AC46DC"/>
    <w:rsid w:val="00AD0E83"/>
    <w:rsid w:val="00AD32F5"/>
    <w:rsid w:val="00AD556E"/>
    <w:rsid w:val="00AD5EFF"/>
    <w:rsid w:val="00AD7F22"/>
    <w:rsid w:val="00AE1AE3"/>
    <w:rsid w:val="00AE3914"/>
    <w:rsid w:val="00AE5200"/>
    <w:rsid w:val="00AE643E"/>
    <w:rsid w:val="00AF1D32"/>
    <w:rsid w:val="00AF3BC3"/>
    <w:rsid w:val="00B02875"/>
    <w:rsid w:val="00B10294"/>
    <w:rsid w:val="00B10359"/>
    <w:rsid w:val="00B13205"/>
    <w:rsid w:val="00B176A3"/>
    <w:rsid w:val="00B21899"/>
    <w:rsid w:val="00B22D54"/>
    <w:rsid w:val="00B250B8"/>
    <w:rsid w:val="00B305DA"/>
    <w:rsid w:val="00B30E68"/>
    <w:rsid w:val="00B31A42"/>
    <w:rsid w:val="00B331B6"/>
    <w:rsid w:val="00B3572B"/>
    <w:rsid w:val="00B4051A"/>
    <w:rsid w:val="00B4209C"/>
    <w:rsid w:val="00B51182"/>
    <w:rsid w:val="00B606AC"/>
    <w:rsid w:val="00B62946"/>
    <w:rsid w:val="00B62A18"/>
    <w:rsid w:val="00B64B41"/>
    <w:rsid w:val="00B658A6"/>
    <w:rsid w:val="00B658FA"/>
    <w:rsid w:val="00B67B25"/>
    <w:rsid w:val="00B67C57"/>
    <w:rsid w:val="00B67DAF"/>
    <w:rsid w:val="00B70474"/>
    <w:rsid w:val="00B72404"/>
    <w:rsid w:val="00B748EB"/>
    <w:rsid w:val="00B76D2C"/>
    <w:rsid w:val="00B857D4"/>
    <w:rsid w:val="00BA2403"/>
    <w:rsid w:val="00BA49F1"/>
    <w:rsid w:val="00BA6337"/>
    <w:rsid w:val="00BB4CCD"/>
    <w:rsid w:val="00BB63B4"/>
    <w:rsid w:val="00BB6700"/>
    <w:rsid w:val="00BC0207"/>
    <w:rsid w:val="00BC50C9"/>
    <w:rsid w:val="00BD1280"/>
    <w:rsid w:val="00BD311B"/>
    <w:rsid w:val="00BD440B"/>
    <w:rsid w:val="00BD64CE"/>
    <w:rsid w:val="00BE03E6"/>
    <w:rsid w:val="00BF1201"/>
    <w:rsid w:val="00BF2AD2"/>
    <w:rsid w:val="00BF573D"/>
    <w:rsid w:val="00BF630F"/>
    <w:rsid w:val="00C01250"/>
    <w:rsid w:val="00C0150E"/>
    <w:rsid w:val="00C03262"/>
    <w:rsid w:val="00C0785F"/>
    <w:rsid w:val="00C11570"/>
    <w:rsid w:val="00C1178F"/>
    <w:rsid w:val="00C22201"/>
    <w:rsid w:val="00C23196"/>
    <w:rsid w:val="00C27821"/>
    <w:rsid w:val="00C27AFE"/>
    <w:rsid w:val="00C27D93"/>
    <w:rsid w:val="00C368AA"/>
    <w:rsid w:val="00C464B3"/>
    <w:rsid w:val="00C52BED"/>
    <w:rsid w:val="00C52DDC"/>
    <w:rsid w:val="00C53600"/>
    <w:rsid w:val="00C546ED"/>
    <w:rsid w:val="00C61C44"/>
    <w:rsid w:val="00C720F1"/>
    <w:rsid w:val="00C76B0E"/>
    <w:rsid w:val="00C90F44"/>
    <w:rsid w:val="00C947C7"/>
    <w:rsid w:val="00C952BE"/>
    <w:rsid w:val="00C955D7"/>
    <w:rsid w:val="00C96DA6"/>
    <w:rsid w:val="00CA022B"/>
    <w:rsid w:val="00CA3343"/>
    <w:rsid w:val="00CA48F6"/>
    <w:rsid w:val="00CB2AA5"/>
    <w:rsid w:val="00CB2FD0"/>
    <w:rsid w:val="00CB47DD"/>
    <w:rsid w:val="00CB60E2"/>
    <w:rsid w:val="00CD1748"/>
    <w:rsid w:val="00CD29D6"/>
    <w:rsid w:val="00CD511B"/>
    <w:rsid w:val="00CD5E1F"/>
    <w:rsid w:val="00CD7151"/>
    <w:rsid w:val="00CE3712"/>
    <w:rsid w:val="00CE6803"/>
    <w:rsid w:val="00CE74A1"/>
    <w:rsid w:val="00CF094C"/>
    <w:rsid w:val="00CF18F7"/>
    <w:rsid w:val="00D00C97"/>
    <w:rsid w:val="00D036D5"/>
    <w:rsid w:val="00D060E3"/>
    <w:rsid w:val="00D06666"/>
    <w:rsid w:val="00D149A8"/>
    <w:rsid w:val="00D171B1"/>
    <w:rsid w:val="00D2143D"/>
    <w:rsid w:val="00D23594"/>
    <w:rsid w:val="00D254A4"/>
    <w:rsid w:val="00D34ABD"/>
    <w:rsid w:val="00D400FF"/>
    <w:rsid w:val="00D40222"/>
    <w:rsid w:val="00D4024E"/>
    <w:rsid w:val="00D412E0"/>
    <w:rsid w:val="00D51CEE"/>
    <w:rsid w:val="00D5468E"/>
    <w:rsid w:val="00D560AF"/>
    <w:rsid w:val="00D63B13"/>
    <w:rsid w:val="00D71862"/>
    <w:rsid w:val="00D75716"/>
    <w:rsid w:val="00D77491"/>
    <w:rsid w:val="00D8798C"/>
    <w:rsid w:val="00D91D83"/>
    <w:rsid w:val="00D92392"/>
    <w:rsid w:val="00D9334D"/>
    <w:rsid w:val="00D9741A"/>
    <w:rsid w:val="00DA63CE"/>
    <w:rsid w:val="00DB0FDA"/>
    <w:rsid w:val="00DB52D3"/>
    <w:rsid w:val="00DC0828"/>
    <w:rsid w:val="00DC7B92"/>
    <w:rsid w:val="00DD0DE8"/>
    <w:rsid w:val="00DD5690"/>
    <w:rsid w:val="00DD7A19"/>
    <w:rsid w:val="00DE0E5B"/>
    <w:rsid w:val="00DE28D1"/>
    <w:rsid w:val="00DE3935"/>
    <w:rsid w:val="00DE53ED"/>
    <w:rsid w:val="00DF19AB"/>
    <w:rsid w:val="00DF699E"/>
    <w:rsid w:val="00DF6CB4"/>
    <w:rsid w:val="00E00899"/>
    <w:rsid w:val="00E00CCC"/>
    <w:rsid w:val="00E031D6"/>
    <w:rsid w:val="00E032B9"/>
    <w:rsid w:val="00E15EC1"/>
    <w:rsid w:val="00E2052B"/>
    <w:rsid w:val="00E22125"/>
    <w:rsid w:val="00E27FB3"/>
    <w:rsid w:val="00E36196"/>
    <w:rsid w:val="00E41E0B"/>
    <w:rsid w:val="00E43818"/>
    <w:rsid w:val="00E438D1"/>
    <w:rsid w:val="00E445A2"/>
    <w:rsid w:val="00E46A2F"/>
    <w:rsid w:val="00E504E4"/>
    <w:rsid w:val="00E508C3"/>
    <w:rsid w:val="00E5146C"/>
    <w:rsid w:val="00E556FF"/>
    <w:rsid w:val="00E57E23"/>
    <w:rsid w:val="00E622CD"/>
    <w:rsid w:val="00E7502D"/>
    <w:rsid w:val="00E761B7"/>
    <w:rsid w:val="00E77EBB"/>
    <w:rsid w:val="00E84D05"/>
    <w:rsid w:val="00E8640E"/>
    <w:rsid w:val="00E871D7"/>
    <w:rsid w:val="00E914A3"/>
    <w:rsid w:val="00E91EC4"/>
    <w:rsid w:val="00EA3BF5"/>
    <w:rsid w:val="00EA5D94"/>
    <w:rsid w:val="00EA6A88"/>
    <w:rsid w:val="00EB07B5"/>
    <w:rsid w:val="00EB6541"/>
    <w:rsid w:val="00EC2419"/>
    <w:rsid w:val="00EC34CD"/>
    <w:rsid w:val="00EC3A4C"/>
    <w:rsid w:val="00EC5863"/>
    <w:rsid w:val="00EC7D83"/>
    <w:rsid w:val="00ED13F3"/>
    <w:rsid w:val="00ED35DD"/>
    <w:rsid w:val="00EE032D"/>
    <w:rsid w:val="00EE4E8C"/>
    <w:rsid w:val="00EE7847"/>
    <w:rsid w:val="00EF0FD9"/>
    <w:rsid w:val="00EF5BF6"/>
    <w:rsid w:val="00F00CEF"/>
    <w:rsid w:val="00F00D11"/>
    <w:rsid w:val="00F01397"/>
    <w:rsid w:val="00F07E14"/>
    <w:rsid w:val="00F14A9B"/>
    <w:rsid w:val="00F174AB"/>
    <w:rsid w:val="00F239F1"/>
    <w:rsid w:val="00F25072"/>
    <w:rsid w:val="00F33E00"/>
    <w:rsid w:val="00F36076"/>
    <w:rsid w:val="00F367BE"/>
    <w:rsid w:val="00F45C8E"/>
    <w:rsid w:val="00F519A2"/>
    <w:rsid w:val="00F54E4D"/>
    <w:rsid w:val="00F57EBD"/>
    <w:rsid w:val="00F6028B"/>
    <w:rsid w:val="00F61355"/>
    <w:rsid w:val="00F664E0"/>
    <w:rsid w:val="00F66892"/>
    <w:rsid w:val="00F70B52"/>
    <w:rsid w:val="00F76308"/>
    <w:rsid w:val="00F8156B"/>
    <w:rsid w:val="00F82AFC"/>
    <w:rsid w:val="00F90C43"/>
    <w:rsid w:val="00F958DA"/>
    <w:rsid w:val="00F9673C"/>
    <w:rsid w:val="00FA10B4"/>
    <w:rsid w:val="00FA1FFF"/>
    <w:rsid w:val="00FA7C4F"/>
    <w:rsid w:val="00FB08C9"/>
    <w:rsid w:val="00FB2D48"/>
    <w:rsid w:val="00FB39E3"/>
    <w:rsid w:val="00FB6FC1"/>
    <w:rsid w:val="00FC30CB"/>
    <w:rsid w:val="00FD16D7"/>
    <w:rsid w:val="00FD2D55"/>
    <w:rsid w:val="00FD410A"/>
    <w:rsid w:val="00FD66F6"/>
    <w:rsid w:val="00FD69C6"/>
    <w:rsid w:val="00FE3BE5"/>
    <w:rsid w:val="00FE70B9"/>
    <w:rsid w:val="00FE7CCD"/>
    <w:rsid w:val="00FF5052"/>
    <w:rsid w:val="241A9CDF"/>
    <w:rsid w:val="512B6CDD"/>
    <w:rsid w:val="7041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8BF1"/>
  <w15:chartTrackingRefBased/>
  <w15:docId w15:val="{25A7F4CC-2CA3-4D0E-B601-A9B7F09D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C1"/>
  </w:style>
  <w:style w:type="paragraph" w:styleId="Heading1">
    <w:name w:val="heading 1"/>
    <w:basedOn w:val="Normal"/>
    <w:next w:val="Normal"/>
    <w:link w:val="Heading1Char"/>
    <w:uiPriority w:val="9"/>
    <w:qFormat/>
    <w:rsid w:val="00A113C1"/>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A113C1"/>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3C1"/>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3C1"/>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A113C1"/>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A113C1"/>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A113C1"/>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A113C1"/>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A113C1"/>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3C1"/>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A11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3C1"/>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3C1"/>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A113C1"/>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A113C1"/>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A113C1"/>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A113C1"/>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A113C1"/>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A113C1"/>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A113C1"/>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A113C1"/>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A113C1"/>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A113C1"/>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A113C1"/>
    <w:rPr>
      <w:color w:val="0E2841" w:themeColor="text2"/>
      <w:sz w:val="24"/>
      <w:szCs w:val="24"/>
    </w:rPr>
  </w:style>
  <w:style w:type="paragraph" w:styleId="ListParagraph">
    <w:name w:val="List Paragraph"/>
    <w:basedOn w:val="Normal"/>
    <w:uiPriority w:val="34"/>
    <w:qFormat/>
    <w:rsid w:val="008758EE"/>
    <w:pPr>
      <w:ind w:left="720"/>
      <w:contextualSpacing/>
    </w:pPr>
  </w:style>
  <w:style w:type="character" w:styleId="IntenseEmphasis">
    <w:name w:val="Intense Emphasis"/>
    <w:basedOn w:val="DefaultParagraphFont"/>
    <w:uiPriority w:val="21"/>
    <w:qFormat/>
    <w:rsid w:val="00A113C1"/>
    <w:rPr>
      <w:b/>
      <w:bCs/>
      <w:i/>
      <w:iCs/>
    </w:rPr>
  </w:style>
  <w:style w:type="paragraph" w:styleId="IntenseQuote">
    <w:name w:val="Intense Quote"/>
    <w:basedOn w:val="Normal"/>
    <w:next w:val="Normal"/>
    <w:link w:val="IntenseQuoteChar"/>
    <w:uiPriority w:val="30"/>
    <w:qFormat/>
    <w:rsid w:val="00A113C1"/>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A113C1"/>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A113C1"/>
    <w:rPr>
      <w:b/>
      <w:bCs/>
      <w:smallCaps/>
      <w:color w:val="0E2841" w:themeColor="text2"/>
      <w:u w:val="single"/>
    </w:rPr>
  </w:style>
  <w:style w:type="paragraph" w:styleId="EndnoteText">
    <w:name w:val="endnote text"/>
    <w:basedOn w:val="Normal"/>
    <w:link w:val="EndnoteTextChar"/>
    <w:uiPriority w:val="99"/>
    <w:semiHidden/>
    <w:unhideWhenUsed/>
    <w:rsid w:val="00DF19AB"/>
    <w:rPr>
      <w:sz w:val="20"/>
      <w:szCs w:val="20"/>
    </w:rPr>
  </w:style>
  <w:style w:type="character" w:customStyle="1" w:styleId="EndnoteTextChar">
    <w:name w:val="Endnote Text Char"/>
    <w:basedOn w:val="DefaultParagraphFont"/>
    <w:link w:val="EndnoteText"/>
    <w:uiPriority w:val="99"/>
    <w:semiHidden/>
    <w:rsid w:val="00DF19AB"/>
    <w:rPr>
      <w:sz w:val="20"/>
      <w:szCs w:val="20"/>
    </w:rPr>
  </w:style>
  <w:style w:type="character" w:styleId="EndnoteReference">
    <w:name w:val="endnote reference"/>
    <w:basedOn w:val="DefaultParagraphFont"/>
    <w:uiPriority w:val="99"/>
    <w:semiHidden/>
    <w:unhideWhenUsed/>
    <w:rsid w:val="00DF19AB"/>
    <w:rPr>
      <w:vertAlign w:val="superscript"/>
    </w:rPr>
  </w:style>
  <w:style w:type="character" w:styleId="Hyperlink">
    <w:name w:val="Hyperlink"/>
    <w:basedOn w:val="DefaultParagraphFont"/>
    <w:uiPriority w:val="99"/>
    <w:unhideWhenUsed/>
    <w:rsid w:val="0087106F"/>
    <w:rPr>
      <w:color w:val="467886" w:themeColor="hyperlink"/>
      <w:u w:val="single"/>
    </w:rPr>
  </w:style>
  <w:style w:type="character" w:styleId="UnresolvedMention">
    <w:name w:val="Unresolved Mention"/>
    <w:basedOn w:val="DefaultParagraphFont"/>
    <w:uiPriority w:val="99"/>
    <w:semiHidden/>
    <w:unhideWhenUsed/>
    <w:rsid w:val="0087106F"/>
    <w:rPr>
      <w:color w:val="605E5C"/>
      <w:shd w:val="clear" w:color="auto" w:fill="E1DFDD"/>
    </w:rPr>
  </w:style>
  <w:style w:type="paragraph" w:customStyle="1" w:styleId="seclethdcontent">
    <w:name w:val="sec_let_hd_content"/>
    <w:basedOn w:val="Normal"/>
    <w:rsid w:val="001631EA"/>
    <w:pPr>
      <w:widowControl w:val="0"/>
      <w:spacing w:before="120"/>
      <w:ind w:firstLine="360"/>
      <w:jc w:val="both"/>
    </w:pPr>
    <w:rPr>
      <w:rFonts w:eastAsia="Times New Roman"/>
      <w:snapToGrid w:val="0"/>
      <w:szCs w:val="20"/>
    </w:rPr>
  </w:style>
  <w:style w:type="paragraph" w:styleId="NormalWeb">
    <w:name w:val="Normal (Web)"/>
    <w:basedOn w:val="Normal"/>
    <w:uiPriority w:val="99"/>
    <w:semiHidden/>
    <w:unhideWhenUsed/>
    <w:rsid w:val="002F29A9"/>
  </w:style>
  <w:style w:type="paragraph" w:styleId="FootnoteText">
    <w:name w:val="footnote text"/>
    <w:basedOn w:val="Normal"/>
    <w:link w:val="FootnoteTextChar"/>
    <w:uiPriority w:val="99"/>
    <w:semiHidden/>
    <w:unhideWhenUsed/>
    <w:rsid w:val="001A002A"/>
    <w:rPr>
      <w:sz w:val="20"/>
      <w:szCs w:val="20"/>
    </w:rPr>
  </w:style>
  <w:style w:type="character" w:customStyle="1" w:styleId="FootnoteTextChar">
    <w:name w:val="Footnote Text Char"/>
    <w:basedOn w:val="DefaultParagraphFont"/>
    <w:link w:val="FootnoteText"/>
    <w:uiPriority w:val="99"/>
    <w:semiHidden/>
    <w:rsid w:val="001A002A"/>
    <w:rPr>
      <w:sz w:val="20"/>
      <w:szCs w:val="20"/>
    </w:rPr>
  </w:style>
  <w:style w:type="character" w:styleId="FootnoteReference">
    <w:name w:val="footnote reference"/>
    <w:basedOn w:val="DefaultParagraphFont"/>
    <w:uiPriority w:val="99"/>
    <w:semiHidden/>
    <w:unhideWhenUsed/>
    <w:rsid w:val="001A002A"/>
    <w:rPr>
      <w:vertAlign w:val="superscript"/>
    </w:rPr>
  </w:style>
  <w:style w:type="character" w:customStyle="1" w:styleId="mrs-text">
    <w:name w:val="mrs-text"/>
    <w:basedOn w:val="DefaultParagraphFont"/>
    <w:rsid w:val="000A3E92"/>
  </w:style>
  <w:style w:type="paragraph" w:styleId="Revision">
    <w:name w:val="Revision"/>
    <w:hidden/>
    <w:uiPriority w:val="99"/>
    <w:semiHidden/>
    <w:rsid w:val="003A63E7"/>
  </w:style>
  <w:style w:type="character" w:styleId="CommentReference">
    <w:name w:val="annotation reference"/>
    <w:basedOn w:val="DefaultParagraphFont"/>
    <w:uiPriority w:val="99"/>
    <w:semiHidden/>
    <w:unhideWhenUsed/>
    <w:rsid w:val="003A63E7"/>
    <w:rPr>
      <w:sz w:val="16"/>
      <w:szCs w:val="16"/>
    </w:rPr>
  </w:style>
  <w:style w:type="paragraph" w:styleId="CommentText">
    <w:name w:val="annotation text"/>
    <w:basedOn w:val="Normal"/>
    <w:link w:val="CommentTextChar"/>
    <w:uiPriority w:val="99"/>
    <w:unhideWhenUsed/>
    <w:rsid w:val="003A63E7"/>
    <w:rPr>
      <w:sz w:val="20"/>
      <w:szCs w:val="20"/>
    </w:rPr>
  </w:style>
  <w:style w:type="character" w:customStyle="1" w:styleId="CommentTextChar">
    <w:name w:val="Comment Text Char"/>
    <w:basedOn w:val="DefaultParagraphFont"/>
    <w:link w:val="CommentText"/>
    <w:uiPriority w:val="99"/>
    <w:rsid w:val="003A63E7"/>
    <w:rPr>
      <w:sz w:val="20"/>
      <w:szCs w:val="20"/>
    </w:rPr>
  </w:style>
  <w:style w:type="paragraph" w:styleId="CommentSubject">
    <w:name w:val="annotation subject"/>
    <w:basedOn w:val="CommentText"/>
    <w:next w:val="CommentText"/>
    <w:link w:val="CommentSubjectChar"/>
    <w:uiPriority w:val="99"/>
    <w:semiHidden/>
    <w:unhideWhenUsed/>
    <w:rsid w:val="003A63E7"/>
    <w:rPr>
      <w:b/>
      <w:bCs/>
    </w:rPr>
  </w:style>
  <w:style w:type="character" w:customStyle="1" w:styleId="CommentSubjectChar">
    <w:name w:val="Comment Subject Char"/>
    <w:basedOn w:val="CommentTextChar"/>
    <w:link w:val="CommentSubject"/>
    <w:uiPriority w:val="99"/>
    <w:semiHidden/>
    <w:rsid w:val="003A63E7"/>
    <w:rPr>
      <w:b/>
      <w:bCs/>
      <w:sz w:val="20"/>
      <w:szCs w:val="20"/>
    </w:rPr>
  </w:style>
  <w:style w:type="paragraph" w:styleId="Caption">
    <w:name w:val="caption"/>
    <w:basedOn w:val="Normal"/>
    <w:next w:val="Normal"/>
    <w:uiPriority w:val="35"/>
    <w:semiHidden/>
    <w:unhideWhenUsed/>
    <w:qFormat/>
    <w:rsid w:val="00A113C1"/>
    <w:pPr>
      <w:spacing w:line="240" w:lineRule="auto"/>
    </w:pPr>
    <w:rPr>
      <w:b/>
      <w:bCs/>
      <w:smallCaps/>
      <w:color w:val="0E2841" w:themeColor="text2"/>
    </w:rPr>
  </w:style>
  <w:style w:type="character" w:styleId="Strong">
    <w:name w:val="Strong"/>
    <w:basedOn w:val="DefaultParagraphFont"/>
    <w:uiPriority w:val="22"/>
    <w:qFormat/>
    <w:rsid w:val="00A113C1"/>
    <w:rPr>
      <w:b/>
      <w:bCs/>
    </w:rPr>
  </w:style>
  <w:style w:type="character" w:styleId="Emphasis">
    <w:name w:val="Emphasis"/>
    <w:basedOn w:val="DefaultParagraphFont"/>
    <w:uiPriority w:val="20"/>
    <w:qFormat/>
    <w:rsid w:val="00A113C1"/>
    <w:rPr>
      <w:i/>
      <w:iCs/>
    </w:rPr>
  </w:style>
  <w:style w:type="paragraph" w:styleId="NoSpacing">
    <w:name w:val="No Spacing"/>
    <w:uiPriority w:val="1"/>
    <w:qFormat/>
    <w:rsid w:val="00A113C1"/>
    <w:pPr>
      <w:spacing w:after="0" w:line="240" w:lineRule="auto"/>
    </w:pPr>
  </w:style>
  <w:style w:type="character" w:styleId="SubtleEmphasis">
    <w:name w:val="Subtle Emphasis"/>
    <w:basedOn w:val="DefaultParagraphFont"/>
    <w:uiPriority w:val="19"/>
    <w:qFormat/>
    <w:rsid w:val="00A113C1"/>
    <w:rPr>
      <w:i/>
      <w:iCs/>
      <w:color w:val="595959" w:themeColor="text1" w:themeTint="A6"/>
    </w:rPr>
  </w:style>
  <w:style w:type="character" w:styleId="SubtleReference">
    <w:name w:val="Subtle Reference"/>
    <w:basedOn w:val="DefaultParagraphFont"/>
    <w:uiPriority w:val="31"/>
    <w:qFormat/>
    <w:rsid w:val="00A113C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113C1"/>
    <w:rPr>
      <w:b/>
      <w:bCs/>
      <w:smallCaps/>
      <w:spacing w:val="10"/>
    </w:rPr>
  </w:style>
  <w:style w:type="paragraph" w:styleId="TOCHeading">
    <w:name w:val="TOC Heading"/>
    <w:basedOn w:val="Heading1"/>
    <w:next w:val="Normal"/>
    <w:uiPriority w:val="39"/>
    <w:unhideWhenUsed/>
    <w:qFormat/>
    <w:rsid w:val="00A113C1"/>
    <w:pPr>
      <w:outlineLvl w:val="9"/>
    </w:pPr>
  </w:style>
  <w:style w:type="paragraph" w:styleId="Header">
    <w:name w:val="header"/>
    <w:basedOn w:val="Normal"/>
    <w:link w:val="HeaderChar"/>
    <w:uiPriority w:val="99"/>
    <w:unhideWhenUsed/>
    <w:rsid w:val="00173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073"/>
  </w:style>
  <w:style w:type="paragraph" w:styleId="Footer">
    <w:name w:val="footer"/>
    <w:basedOn w:val="Normal"/>
    <w:link w:val="FooterChar"/>
    <w:uiPriority w:val="99"/>
    <w:unhideWhenUsed/>
    <w:rsid w:val="00173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73"/>
  </w:style>
  <w:style w:type="paragraph" w:styleId="TOC1">
    <w:name w:val="toc 1"/>
    <w:basedOn w:val="Normal"/>
    <w:next w:val="Normal"/>
    <w:autoRedefine/>
    <w:uiPriority w:val="39"/>
    <w:unhideWhenUsed/>
    <w:rsid w:val="00861A35"/>
    <w:pPr>
      <w:spacing w:after="100"/>
    </w:pPr>
  </w:style>
  <w:style w:type="paragraph" w:styleId="TOC2">
    <w:name w:val="toc 2"/>
    <w:basedOn w:val="Normal"/>
    <w:next w:val="Normal"/>
    <w:autoRedefine/>
    <w:uiPriority w:val="39"/>
    <w:unhideWhenUsed/>
    <w:rsid w:val="00861A3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gov/ag/consumer-protection/consumer-help-topics/housing/model-residential-lease" TargetMode="External"/><Relationship Id="rId13" Type="http://schemas.openxmlformats.org/officeDocument/2006/relationships/hyperlink" Target="https://www.maine.gov/dhhs/mecdc/healthy-living/health-and-safety/lead-poisoning-prevention" TargetMode="External"/><Relationship Id="rId18" Type="http://schemas.openxmlformats.org/officeDocument/2006/relationships/hyperlink" Target="https://uat.web.maine.gov/ag/online-services/file-a-consumer-complaint-and-request-mediation" TargetMode="External"/><Relationship Id="rId3" Type="http://schemas.openxmlformats.org/officeDocument/2006/relationships/styles" Target="styles.xml"/><Relationship Id="rId21" Type="http://schemas.openxmlformats.org/officeDocument/2006/relationships/hyperlink" Target="https://maine.gov/ag/consumer-protection/consumer-help-topics/consumer-complaints" TargetMode="External"/><Relationship Id="rId7" Type="http://schemas.openxmlformats.org/officeDocument/2006/relationships/endnotes" Target="endnotes.xml"/><Relationship Id="rId12" Type="http://schemas.openxmlformats.org/officeDocument/2006/relationships/hyperlink" Target="Maine%20CDC" TargetMode="External"/><Relationship Id="rId17" Type="http://schemas.openxmlformats.org/officeDocument/2006/relationships/hyperlink" Target="https://www.courts.maine.gov/help/eviction/index.html" TargetMode="External"/><Relationship Id="rId2" Type="http://schemas.openxmlformats.org/officeDocument/2006/relationships/numbering" Target="numbering.xml"/><Relationship Id="rId16" Type="http://schemas.openxmlformats.org/officeDocument/2006/relationships/hyperlink" Target="https://www.courts.maine.gov/help/eviction/index.html" TargetMode="External"/><Relationship Id="rId20" Type="http://schemas.openxmlformats.org/officeDocument/2006/relationships/hyperlink" Target="https://maine.gov/ag/consumer-protection/consumer-help-topics/consumer-complai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mhr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tla.org/contact-us" TargetMode="External"/><Relationship Id="rId23" Type="http://schemas.openxmlformats.org/officeDocument/2006/relationships/fontTable" Target="fontTable.xml"/><Relationship Id="rId10" Type="http://schemas.openxmlformats.org/officeDocument/2006/relationships/hyperlink" Target="https://www.maine.gov/mhrc/" TargetMode="External"/><Relationship Id="rId19" Type="http://schemas.openxmlformats.org/officeDocument/2006/relationships/hyperlink" Target="https://uat.web.maine.gov/ag/online-services/file-a-consumer-complaint-and-request-mediation" TargetMode="External"/><Relationship Id="rId4" Type="http://schemas.openxmlformats.org/officeDocument/2006/relationships/settings" Target="settings.xml"/><Relationship Id="rId9" Type="http://schemas.openxmlformats.org/officeDocument/2006/relationships/hyperlink" Target="https://maine.gov/ag/consumer-protection/consumer-help-topics/housing/model-residential-lease" TargetMode="External"/><Relationship Id="rId14" Type="http://schemas.openxmlformats.org/officeDocument/2006/relationships/hyperlink" Target="https://www.ptla.org/contact-us"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maine.gov/dep/waste/lead/index.html" TargetMode="External"/><Relationship Id="rId3" Type="http://schemas.openxmlformats.org/officeDocument/2006/relationships/hyperlink" Target="https://www.epa.gov/lead/real-estate-disclosures-about-potential-lead-hazards" TargetMode="External"/><Relationship Id="rId7" Type="http://schemas.openxmlformats.org/officeDocument/2006/relationships/hyperlink" Target="https://www.maine.gov/dep/waste/lead/index.html" TargetMode="External"/><Relationship Id="rId2" Type="http://schemas.openxmlformats.org/officeDocument/2006/relationships/hyperlink" Target="https://www.maine.gov/dhhs/mecdc/healthy-living/health-and-safety/drinking-water-safety/public-water-systems/information-for-consumers/drinking-water-contaminants/radon" TargetMode="External"/><Relationship Id="rId1" Type="http://schemas.openxmlformats.org/officeDocument/2006/relationships/hyperlink" Target="Maine%20Center%20for%20Disease%20Control" TargetMode="External"/><Relationship Id="rId6" Type="http://schemas.openxmlformats.org/officeDocument/2006/relationships/hyperlink" Target="https://www.ptla.org/sites/default/files/warranty-habitability-notice.pdf" TargetMode="External"/><Relationship Id="rId5" Type="http://schemas.openxmlformats.org/officeDocument/2006/relationships/hyperlink" Target="https://www.ptla.org/sites/default/files/warranty-habitability-notice.pdf" TargetMode="External"/><Relationship Id="rId10" Type="http://schemas.openxmlformats.org/officeDocument/2006/relationships/hyperlink" Target="https://www.ptla.org/sites/default/files/bed-bug-notice.pdf" TargetMode="External"/><Relationship Id="rId4" Type="http://schemas.openxmlformats.org/officeDocument/2006/relationships/hyperlink" Target="https://www.epa.gov/lead/real-estate-disclosures-about-potential-lead-hazards" TargetMode="External"/><Relationship Id="rId9" Type="http://schemas.openxmlformats.org/officeDocument/2006/relationships/hyperlink" Target="https://www.ptla.org/sites/default/files/bed-bug-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F7CB-CCE1-4293-A78A-F1B79B62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3318</Words>
  <Characters>18914</Characters>
  <Application>Microsoft Office Word</Application>
  <DocSecurity>0</DocSecurity>
  <Lines>157</Lines>
  <Paragraphs>44</Paragraphs>
  <ScaleCrop>false</ScaleCrop>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Devine, Michael</dc:creator>
  <cp:keywords/>
  <dc:description/>
  <cp:lastModifiedBy>Olson, Jules M</cp:lastModifiedBy>
  <cp:revision>60</cp:revision>
  <dcterms:created xsi:type="dcterms:W3CDTF">2026-04-14T17:15:00Z</dcterms:created>
  <dcterms:modified xsi:type="dcterms:W3CDTF">2026-04-14T18:30:00Z</dcterms:modified>
</cp:coreProperties>
</file>