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45FC" w14:textId="77777777" w:rsidR="002E0D63" w:rsidRPr="00A11AA6" w:rsidRDefault="002E0D63" w:rsidP="002E0D63">
      <w:pPr>
        <w:pStyle w:val="Title"/>
        <w:rPr>
          <w:rStyle w:val="BookTitle"/>
        </w:rPr>
      </w:pPr>
      <w:r w:rsidRPr="00A11AA6">
        <w:rPr>
          <w:rStyle w:val="BookTitle"/>
        </w:rPr>
        <w:t>Maine Consumer Law Guide</w:t>
      </w:r>
    </w:p>
    <w:p w14:paraId="5B5ED100" w14:textId="77777777" w:rsidR="002E0D63" w:rsidRPr="00CF73CB" w:rsidRDefault="002E0D63" w:rsidP="002E0D63">
      <w:pPr>
        <w:pStyle w:val="Subtitle"/>
      </w:pPr>
      <w:r w:rsidRPr="00CF73CB">
        <w:t>From the Office of the Maine Attorney General</w:t>
      </w:r>
    </w:p>
    <w:p w14:paraId="5F70809C" w14:textId="45A94034" w:rsidR="00D00C97" w:rsidRPr="00FE5173" w:rsidRDefault="00AB715E" w:rsidP="00AB715E">
      <w:pPr>
        <w:pStyle w:val="Title"/>
      </w:pPr>
      <w:r>
        <w:t xml:space="preserve">Chapter 13: </w:t>
      </w:r>
      <w:r w:rsidR="00FE5173" w:rsidRPr="00FE5173">
        <w:t>Door-to-Door Sales</w:t>
      </w:r>
    </w:p>
    <w:p w14:paraId="28BE04F7" w14:textId="56AB00A1" w:rsidR="00FE5173" w:rsidRDefault="002E0D63" w:rsidP="0039061D">
      <w:r>
        <w:t>Last revised: April 2026.</w:t>
      </w:r>
    </w:p>
    <w:p w14:paraId="20A9D3F6" w14:textId="5321F41D" w:rsidR="00FE5173" w:rsidRDefault="00FE5173" w:rsidP="0039061D">
      <w:r>
        <w:t>This Chapter describes Maine laws on door-to-door sales.</w:t>
      </w:r>
    </w:p>
    <w:sdt>
      <w:sdtPr>
        <w:rPr>
          <w:rFonts w:asciiTheme="minorHAnsi" w:eastAsiaTheme="minorEastAsia" w:hAnsiTheme="minorHAnsi" w:cstheme="minorBidi"/>
          <w:color w:val="auto"/>
          <w:sz w:val="22"/>
          <w:szCs w:val="22"/>
        </w:rPr>
        <w:id w:val="1303514367"/>
        <w:docPartObj>
          <w:docPartGallery w:val="Table of Contents"/>
          <w:docPartUnique/>
        </w:docPartObj>
      </w:sdtPr>
      <w:sdtEndPr>
        <w:rPr>
          <w:b/>
          <w:bCs/>
          <w:noProof/>
        </w:rPr>
      </w:sdtEndPr>
      <w:sdtContent>
        <w:p w14:paraId="36C94183" w14:textId="4E36C969" w:rsidR="00C76BFB" w:rsidRDefault="00C76BFB">
          <w:pPr>
            <w:pStyle w:val="TOCHeading"/>
          </w:pPr>
          <w:r>
            <w:t>Contents</w:t>
          </w:r>
        </w:p>
        <w:p w14:paraId="021E7AB7" w14:textId="718F19B0" w:rsidR="00C76BFB" w:rsidRDefault="00C76BFB">
          <w:pPr>
            <w:pStyle w:val="TOC1"/>
            <w:tabs>
              <w:tab w:val="right" w:leader="dot" w:pos="10070"/>
            </w:tabs>
            <w:rPr>
              <w:noProof/>
            </w:rPr>
          </w:pPr>
          <w:r>
            <w:fldChar w:fldCharType="begin"/>
          </w:r>
          <w:r>
            <w:instrText xml:space="preserve"> TOC \o "1-3" \h \z \u </w:instrText>
          </w:r>
          <w:r>
            <w:fldChar w:fldCharType="separate"/>
          </w:r>
          <w:hyperlink w:anchor="_Toc227076956" w:history="1">
            <w:r w:rsidRPr="00711FEE">
              <w:rPr>
                <w:rStyle w:val="Hyperlink"/>
                <w:noProof/>
              </w:rPr>
              <w:t>13.1 Overview</w:t>
            </w:r>
            <w:r>
              <w:rPr>
                <w:noProof/>
                <w:webHidden/>
              </w:rPr>
              <w:tab/>
            </w:r>
            <w:r>
              <w:rPr>
                <w:noProof/>
                <w:webHidden/>
              </w:rPr>
              <w:fldChar w:fldCharType="begin"/>
            </w:r>
            <w:r>
              <w:rPr>
                <w:noProof/>
                <w:webHidden/>
              </w:rPr>
              <w:instrText xml:space="preserve"> PAGEREF _Toc227076956 \h </w:instrText>
            </w:r>
            <w:r>
              <w:rPr>
                <w:noProof/>
                <w:webHidden/>
              </w:rPr>
            </w:r>
            <w:r>
              <w:rPr>
                <w:noProof/>
                <w:webHidden/>
              </w:rPr>
              <w:fldChar w:fldCharType="separate"/>
            </w:r>
            <w:r>
              <w:rPr>
                <w:noProof/>
                <w:webHidden/>
              </w:rPr>
              <w:t>1</w:t>
            </w:r>
            <w:r>
              <w:rPr>
                <w:noProof/>
                <w:webHidden/>
              </w:rPr>
              <w:fldChar w:fldCharType="end"/>
            </w:r>
          </w:hyperlink>
        </w:p>
        <w:p w14:paraId="6656818A" w14:textId="46EE3222" w:rsidR="00C76BFB" w:rsidRDefault="00C76BFB">
          <w:pPr>
            <w:pStyle w:val="TOC1"/>
            <w:tabs>
              <w:tab w:val="right" w:leader="dot" w:pos="10070"/>
            </w:tabs>
            <w:rPr>
              <w:noProof/>
            </w:rPr>
          </w:pPr>
          <w:hyperlink w:anchor="_Toc227076957" w:history="1">
            <w:r w:rsidRPr="00711FEE">
              <w:rPr>
                <w:rStyle w:val="Hyperlink"/>
                <w:noProof/>
              </w:rPr>
              <w:t>13.2 Consumer Solicitation Sales</w:t>
            </w:r>
            <w:r>
              <w:rPr>
                <w:noProof/>
                <w:webHidden/>
              </w:rPr>
              <w:tab/>
            </w:r>
            <w:r>
              <w:rPr>
                <w:noProof/>
                <w:webHidden/>
              </w:rPr>
              <w:fldChar w:fldCharType="begin"/>
            </w:r>
            <w:r>
              <w:rPr>
                <w:noProof/>
                <w:webHidden/>
              </w:rPr>
              <w:instrText xml:space="preserve"> PAGEREF _Toc227076957 \h </w:instrText>
            </w:r>
            <w:r>
              <w:rPr>
                <w:noProof/>
                <w:webHidden/>
              </w:rPr>
            </w:r>
            <w:r>
              <w:rPr>
                <w:noProof/>
                <w:webHidden/>
              </w:rPr>
              <w:fldChar w:fldCharType="separate"/>
            </w:r>
            <w:r>
              <w:rPr>
                <w:noProof/>
                <w:webHidden/>
              </w:rPr>
              <w:t>1</w:t>
            </w:r>
            <w:r>
              <w:rPr>
                <w:noProof/>
                <w:webHidden/>
              </w:rPr>
              <w:fldChar w:fldCharType="end"/>
            </w:r>
          </w:hyperlink>
        </w:p>
        <w:p w14:paraId="1FB47AC8" w14:textId="7700D81D" w:rsidR="00C76BFB" w:rsidRDefault="00C76BFB">
          <w:pPr>
            <w:pStyle w:val="TOC2"/>
            <w:tabs>
              <w:tab w:val="right" w:leader="dot" w:pos="10070"/>
            </w:tabs>
            <w:rPr>
              <w:noProof/>
            </w:rPr>
          </w:pPr>
          <w:hyperlink w:anchor="_Toc227076958"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_Toc227076958 \h </w:instrText>
            </w:r>
            <w:r>
              <w:rPr>
                <w:noProof/>
                <w:webHidden/>
              </w:rPr>
            </w:r>
            <w:r>
              <w:rPr>
                <w:noProof/>
                <w:webHidden/>
              </w:rPr>
              <w:fldChar w:fldCharType="separate"/>
            </w:r>
            <w:r>
              <w:rPr>
                <w:noProof/>
                <w:webHidden/>
              </w:rPr>
              <w:t>1</w:t>
            </w:r>
            <w:r>
              <w:rPr>
                <w:noProof/>
                <w:webHidden/>
              </w:rPr>
              <w:fldChar w:fldCharType="end"/>
            </w:r>
          </w:hyperlink>
        </w:p>
        <w:p w14:paraId="69D7077F" w14:textId="38602E96" w:rsidR="00C76BFB" w:rsidRDefault="00C76BFB">
          <w:pPr>
            <w:pStyle w:val="TOC2"/>
            <w:tabs>
              <w:tab w:val="right" w:leader="dot" w:pos="10070"/>
            </w:tabs>
            <w:rPr>
              <w:noProof/>
            </w:rPr>
          </w:pPr>
          <w:hyperlink w:anchor="_Toc227076959"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_Toc227076959 \h </w:instrText>
            </w:r>
            <w:r>
              <w:rPr>
                <w:noProof/>
                <w:webHidden/>
              </w:rPr>
            </w:r>
            <w:r>
              <w:rPr>
                <w:noProof/>
                <w:webHidden/>
              </w:rPr>
              <w:fldChar w:fldCharType="separate"/>
            </w:r>
            <w:r>
              <w:rPr>
                <w:noProof/>
                <w:webHidden/>
              </w:rPr>
              <w:t>1</w:t>
            </w:r>
            <w:r>
              <w:rPr>
                <w:noProof/>
                <w:webHidden/>
              </w:rPr>
              <w:fldChar w:fldCharType="end"/>
            </w:r>
          </w:hyperlink>
        </w:p>
        <w:p w14:paraId="79477FDB" w14:textId="4BB63E00" w:rsidR="00C76BFB" w:rsidRDefault="00C76BFB">
          <w:pPr>
            <w:pStyle w:val="TOC2"/>
            <w:tabs>
              <w:tab w:val="right" w:leader="dot" w:pos="10070"/>
            </w:tabs>
            <w:rPr>
              <w:noProof/>
            </w:rPr>
          </w:pPr>
          <w:hyperlink w:anchor="_Toc227076960"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_Toc227076960 \h </w:instrText>
            </w:r>
            <w:r>
              <w:rPr>
                <w:noProof/>
                <w:webHidden/>
              </w:rPr>
            </w:r>
            <w:r>
              <w:rPr>
                <w:noProof/>
                <w:webHidden/>
              </w:rPr>
              <w:fldChar w:fldCharType="separate"/>
            </w:r>
            <w:r>
              <w:rPr>
                <w:noProof/>
                <w:webHidden/>
              </w:rPr>
              <w:t>2</w:t>
            </w:r>
            <w:r>
              <w:rPr>
                <w:noProof/>
                <w:webHidden/>
              </w:rPr>
              <w:fldChar w:fldCharType="end"/>
            </w:r>
          </w:hyperlink>
        </w:p>
        <w:p w14:paraId="4700E3E7" w14:textId="17D6422D" w:rsidR="00C76BFB" w:rsidRDefault="00C76BFB">
          <w:pPr>
            <w:pStyle w:val="TOC1"/>
            <w:tabs>
              <w:tab w:val="right" w:leader="dot" w:pos="10070"/>
            </w:tabs>
            <w:rPr>
              <w:noProof/>
            </w:rPr>
          </w:pPr>
          <w:hyperlink w:anchor="_Toc227076961" w:history="1">
            <w:r w:rsidRPr="00711FEE">
              <w:rPr>
                <w:rStyle w:val="Hyperlink"/>
                <w:noProof/>
              </w:rPr>
              <w:t>13.3 Transient Sellers of Home Repair Services</w:t>
            </w:r>
            <w:r>
              <w:rPr>
                <w:noProof/>
                <w:webHidden/>
              </w:rPr>
              <w:tab/>
            </w:r>
            <w:r>
              <w:rPr>
                <w:noProof/>
                <w:webHidden/>
              </w:rPr>
              <w:fldChar w:fldCharType="begin"/>
            </w:r>
            <w:r>
              <w:rPr>
                <w:noProof/>
                <w:webHidden/>
              </w:rPr>
              <w:instrText xml:space="preserve"> PAGEREF _Toc227076961 \h </w:instrText>
            </w:r>
            <w:r>
              <w:rPr>
                <w:noProof/>
                <w:webHidden/>
              </w:rPr>
            </w:r>
            <w:r>
              <w:rPr>
                <w:noProof/>
                <w:webHidden/>
              </w:rPr>
              <w:fldChar w:fldCharType="separate"/>
            </w:r>
            <w:r>
              <w:rPr>
                <w:noProof/>
                <w:webHidden/>
              </w:rPr>
              <w:t>2</w:t>
            </w:r>
            <w:r>
              <w:rPr>
                <w:noProof/>
                <w:webHidden/>
              </w:rPr>
              <w:fldChar w:fldCharType="end"/>
            </w:r>
          </w:hyperlink>
        </w:p>
        <w:p w14:paraId="0833EBC3" w14:textId="78FEC36C" w:rsidR="00C76BFB" w:rsidRDefault="00C76BFB">
          <w:pPr>
            <w:pStyle w:val="TOC2"/>
            <w:tabs>
              <w:tab w:val="right" w:leader="dot" w:pos="10070"/>
            </w:tabs>
            <w:rPr>
              <w:noProof/>
            </w:rPr>
          </w:pPr>
          <w:hyperlink w:anchor="_Toc227076962"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_Toc227076962 \h </w:instrText>
            </w:r>
            <w:r>
              <w:rPr>
                <w:noProof/>
                <w:webHidden/>
              </w:rPr>
            </w:r>
            <w:r>
              <w:rPr>
                <w:noProof/>
                <w:webHidden/>
              </w:rPr>
              <w:fldChar w:fldCharType="separate"/>
            </w:r>
            <w:r>
              <w:rPr>
                <w:noProof/>
                <w:webHidden/>
              </w:rPr>
              <w:t>2</w:t>
            </w:r>
            <w:r>
              <w:rPr>
                <w:noProof/>
                <w:webHidden/>
              </w:rPr>
              <w:fldChar w:fldCharType="end"/>
            </w:r>
          </w:hyperlink>
        </w:p>
        <w:p w14:paraId="4AE85F52" w14:textId="5D4B0173" w:rsidR="00C76BFB" w:rsidRDefault="00C76BFB">
          <w:pPr>
            <w:pStyle w:val="TOC2"/>
            <w:tabs>
              <w:tab w:val="right" w:leader="dot" w:pos="10070"/>
            </w:tabs>
            <w:rPr>
              <w:noProof/>
            </w:rPr>
          </w:pPr>
          <w:hyperlink w:anchor="_Toc227076963"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_Toc227076963 \h </w:instrText>
            </w:r>
            <w:r>
              <w:rPr>
                <w:noProof/>
                <w:webHidden/>
              </w:rPr>
            </w:r>
            <w:r>
              <w:rPr>
                <w:noProof/>
                <w:webHidden/>
              </w:rPr>
              <w:fldChar w:fldCharType="separate"/>
            </w:r>
            <w:r>
              <w:rPr>
                <w:noProof/>
                <w:webHidden/>
              </w:rPr>
              <w:t>2</w:t>
            </w:r>
            <w:r>
              <w:rPr>
                <w:noProof/>
                <w:webHidden/>
              </w:rPr>
              <w:fldChar w:fldCharType="end"/>
            </w:r>
          </w:hyperlink>
        </w:p>
        <w:p w14:paraId="4F9DB191" w14:textId="4CF030A1" w:rsidR="00C76BFB" w:rsidRDefault="00C76BFB">
          <w:pPr>
            <w:pStyle w:val="TOC2"/>
            <w:tabs>
              <w:tab w:val="right" w:leader="dot" w:pos="10070"/>
            </w:tabs>
            <w:rPr>
              <w:noProof/>
            </w:rPr>
          </w:pPr>
          <w:hyperlink w:anchor="_Toc227076964"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_Toc227076964 \h </w:instrText>
            </w:r>
            <w:r>
              <w:rPr>
                <w:noProof/>
                <w:webHidden/>
              </w:rPr>
            </w:r>
            <w:r>
              <w:rPr>
                <w:noProof/>
                <w:webHidden/>
              </w:rPr>
              <w:fldChar w:fldCharType="separate"/>
            </w:r>
            <w:r>
              <w:rPr>
                <w:noProof/>
                <w:webHidden/>
              </w:rPr>
              <w:t>2</w:t>
            </w:r>
            <w:r>
              <w:rPr>
                <w:noProof/>
                <w:webHidden/>
              </w:rPr>
              <w:fldChar w:fldCharType="end"/>
            </w:r>
          </w:hyperlink>
        </w:p>
        <w:p w14:paraId="6FB1ED47" w14:textId="7EDB1F01" w:rsidR="00C76BFB" w:rsidRDefault="00C76BFB">
          <w:pPr>
            <w:pStyle w:val="TOC1"/>
            <w:tabs>
              <w:tab w:val="right" w:leader="dot" w:pos="10070"/>
            </w:tabs>
            <w:rPr>
              <w:noProof/>
            </w:rPr>
          </w:pPr>
          <w:hyperlink w:anchor="_Toc227076965" w:history="1">
            <w:r w:rsidRPr="00711FEE">
              <w:rPr>
                <w:rStyle w:val="Hyperlink"/>
                <w:noProof/>
              </w:rPr>
              <w:t>13.4 Transient Sellers of Consumer Merchandise</w:t>
            </w:r>
            <w:r>
              <w:rPr>
                <w:noProof/>
                <w:webHidden/>
              </w:rPr>
              <w:tab/>
            </w:r>
            <w:r>
              <w:rPr>
                <w:noProof/>
                <w:webHidden/>
              </w:rPr>
              <w:fldChar w:fldCharType="begin"/>
            </w:r>
            <w:r>
              <w:rPr>
                <w:noProof/>
                <w:webHidden/>
              </w:rPr>
              <w:instrText xml:space="preserve"> PAGEREF _Toc227076965 \h </w:instrText>
            </w:r>
            <w:r>
              <w:rPr>
                <w:noProof/>
                <w:webHidden/>
              </w:rPr>
            </w:r>
            <w:r>
              <w:rPr>
                <w:noProof/>
                <w:webHidden/>
              </w:rPr>
              <w:fldChar w:fldCharType="separate"/>
            </w:r>
            <w:r>
              <w:rPr>
                <w:noProof/>
                <w:webHidden/>
              </w:rPr>
              <w:t>2</w:t>
            </w:r>
            <w:r>
              <w:rPr>
                <w:noProof/>
                <w:webHidden/>
              </w:rPr>
              <w:fldChar w:fldCharType="end"/>
            </w:r>
          </w:hyperlink>
        </w:p>
        <w:p w14:paraId="17E8A253" w14:textId="651C7E98" w:rsidR="00C76BFB" w:rsidRDefault="00C76BFB">
          <w:pPr>
            <w:pStyle w:val="TOC2"/>
            <w:tabs>
              <w:tab w:val="right" w:leader="dot" w:pos="10070"/>
            </w:tabs>
            <w:rPr>
              <w:noProof/>
            </w:rPr>
          </w:pPr>
          <w:hyperlink w:anchor="_Toc227076966" w:history="1">
            <w:r w:rsidRPr="00711FEE">
              <w:rPr>
                <w:rStyle w:val="Hyperlink"/>
                <w:noProof/>
              </w:rPr>
              <w:t>What Sales It Covers</w:t>
            </w:r>
            <w:r>
              <w:rPr>
                <w:noProof/>
                <w:webHidden/>
              </w:rPr>
              <w:tab/>
            </w:r>
            <w:r>
              <w:rPr>
                <w:noProof/>
                <w:webHidden/>
              </w:rPr>
              <w:fldChar w:fldCharType="begin"/>
            </w:r>
            <w:r>
              <w:rPr>
                <w:noProof/>
                <w:webHidden/>
              </w:rPr>
              <w:instrText xml:space="preserve"> PAGEREF _Toc227076966 \h </w:instrText>
            </w:r>
            <w:r>
              <w:rPr>
                <w:noProof/>
                <w:webHidden/>
              </w:rPr>
            </w:r>
            <w:r>
              <w:rPr>
                <w:noProof/>
                <w:webHidden/>
              </w:rPr>
              <w:fldChar w:fldCharType="separate"/>
            </w:r>
            <w:r>
              <w:rPr>
                <w:noProof/>
                <w:webHidden/>
              </w:rPr>
              <w:t>2</w:t>
            </w:r>
            <w:r>
              <w:rPr>
                <w:noProof/>
                <w:webHidden/>
              </w:rPr>
              <w:fldChar w:fldCharType="end"/>
            </w:r>
          </w:hyperlink>
        </w:p>
        <w:p w14:paraId="52A8026C" w14:textId="31AA00D6" w:rsidR="00C76BFB" w:rsidRDefault="00C76BFB">
          <w:pPr>
            <w:pStyle w:val="TOC2"/>
            <w:tabs>
              <w:tab w:val="right" w:leader="dot" w:pos="10070"/>
            </w:tabs>
            <w:rPr>
              <w:noProof/>
            </w:rPr>
          </w:pPr>
          <w:hyperlink w:anchor="_Toc227076967" w:history="1">
            <w:r w:rsidRPr="00711FEE">
              <w:rPr>
                <w:rStyle w:val="Hyperlink"/>
                <w:noProof/>
              </w:rPr>
              <w:t>What It Requires</w:t>
            </w:r>
            <w:r>
              <w:rPr>
                <w:noProof/>
                <w:webHidden/>
              </w:rPr>
              <w:tab/>
            </w:r>
            <w:r>
              <w:rPr>
                <w:noProof/>
                <w:webHidden/>
              </w:rPr>
              <w:fldChar w:fldCharType="begin"/>
            </w:r>
            <w:r>
              <w:rPr>
                <w:noProof/>
                <w:webHidden/>
              </w:rPr>
              <w:instrText xml:space="preserve"> PAGEREF _Toc227076967 \h </w:instrText>
            </w:r>
            <w:r>
              <w:rPr>
                <w:noProof/>
                <w:webHidden/>
              </w:rPr>
            </w:r>
            <w:r>
              <w:rPr>
                <w:noProof/>
                <w:webHidden/>
              </w:rPr>
              <w:fldChar w:fldCharType="separate"/>
            </w:r>
            <w:r>
              <w:rPr>
                <w:noProof/>
                <w:webHidden/>
              </w:rPr>
              <w:t>3</w:t>
            </w:r>
            <w:r>
              <w:rPr>
                <w:noProof/>
                <w:webHidden/>
              </w:rPr>
              <w:fldChar w:fldCharType="end"/>
            </w:r>
          </w:hyperlink>
        </w:p>
        <w:p w14:paraId="1271D2E3" w14:textId="21EB11AE" w:rsidR="00C76BFB" w:rsidRDefault="00C76BFB">
          <w:pPr>
            <w:pStyle w:val="TOC2"/>
            <w:tabs>
              <w:tab w:val="right" w:leader="dot" w:pos="10070"/>
            </w:tabs>
            <w:rPr>
              <w:noProof/>
            </w:rPr>
          </w:pPr>
          <w:hyperlink w:anchor="_Toc227076968" w:history="1">
            <w:r w:rsidRPr="00711FEE">
              <w:rPr>
                <w:rStyle w:val="Hyperlink"/>
                <w:noProof/>
              </w:rPr>
              <w:t>What Relief It Provides</w:t>
            </w:r>
            <w:r>
              <w:rPr>
                <w:noProof/>
                <w:webHidden/>
              </w:rPr>
              <w:tab/>
            </w:r>
            <w:r>
              <w:rPr>
                <w:noProof/>
                <w:webHidden/>
              </w:rPr>
              <w:fldChar w:fldCharType="begin"/>
            </w:r>
            <w:r>
              <w:rPr>
                <w:noProof/>
                <w:webHidden/>
              </w:rPr>
              <w:instrText xml:space="preserve"> PAGEREF _Toc227076968 \h </w:instrText>
            </w:r>
            <w:r>
              <w:rPr>
                <w:noProof/>
                <w:webHidden/>
              </w:rPr>
            </w:r>
            <w:r>
              <w:rPr>
                <w:noProof/>
                <w:webHidden/>
              </w:rPr>
              <w:fldChar w:fldCharType="separate"/>
            </w:r>
            <w:r>
              <w:rPr>
                <w:noProof/>
                <w:webHidden/>
              </w:rPr>
              <w:t>3</w:t>
            </w:r>
            <w:r>
              <w:rPr>
                <w:noProof/>
                <w:webHidden/>
              </w:rPr>
              <w:fldChar w:fldCharType="end"/>
            </w:r>
          </w:hyperlink>
        </w:p>
        <w:p w14:paraId="33B4064A" w14:textId="17428727" w:rsidR="00C76BFB" w:rsidRDefault="00C76BFB">
          <w:pPr>
            <w:pStyle w:val="TOC1"/>
            <w:tabs>
              <w:tab w:val="right" w:leader="dot" w:pos="10070"/>
            </w:tabs>
            <w:rPr>
              <w:noProof/>
            </w:rPr>
          </w:pPr>
          <w:hyperlink w:anchor="_Toc227076969" w:history="1">
            <w:r w:rsidRPr="00711FEE">
              <w:rPr>
                <w:rStyle w:val="Hyperlink"/>
                <w:noProof/>
              </w:rPr>
              <w:t>13.5 Tips for Consumers on Unsolicited Sales</w:t>
            </w:r>
            <w:r>
              <w:rPr>
                <w:noProof/>
                <w:webHidden/>
              </w:rPr>
              <w:tab/>
            </w:r>
            <w:r>
              <w:rPr>
                <w:noProof/>
                <w:webHidden/>
              </w:rPr>
              <w:fldChar w:fldCharType="begin"/>
            </w:r>
            <w:r>
              <w:rPr>
                <w:noProof/>
                <w:webHidden/>
              </w:rPr>
              <w:instrText xml:space="preserve"> PAGEREF _Toc227076969 \h </w:instrText>
            </w:r>
            <w:r>
              <w:rPr>
                <w:noProof/>
                <w:webHidden/>
              </w:rPr>
            </w:r>
            <w:r>
              <w:rPr>
                <w:noProof/>
                <w:webHidden/>
              </w:rPr>
              <w:fldChar w:fldCharType="separate"/>
            </w:r>
            <w:r>
              <w:rPr>
                <w:noProof/>
                <w:webHidden/>
              </w:rPr>
              <w:t>3</w:t>
            </w:r>
            <w:r>
              <w:rPr>
                <w:noProof/>
                <w:webHidden/>
              </w:rPr>
              <w:fldChar w:fldCharType="end"/>
            </w:r>
          </w:hyperlink>
        </w:p>
        <w:p w14:paraId="61E31F9F" w14:textId="6E47A94C" w:rsidR="00C76BFB" w:rsidRDefault="00C76BFB">
          <w:r>
            <w:rPr>
              <w:b/>
              <w:bCs/>
              <w:noProof/>
            </w:rPr>
            <w:fldChar w:fldCharType="end"/>
          </w:r>
        </w:p>
      </w:sdtContent>
    </w:sdt>
    <w:p w14:paraId="4C7EE362" w14:textId="02515757" w:rsidR="00FE5173" w:rsidRDefault="00CF0291" w:rsidP="0005655F">
      <w:pPr>
        <w:pStyle w:val="Heading1"/>
      </w:pPr>
      <w:bookmarkStart w:id="0" w:name="_Toc227076956"/>
      <w:r>
        <w:t xml:space="preserve">13.1 </w:t>
      </w:r>
      <w:r w:rsidR="00FE5173" w:rsidRPr="00FE5173">
        <w:t>Overview</w:t>
      </w:r>
      <w:bookmarkEnd w:id="0"/>
    </w:p>
    <w:p w14:paraId="176C7A2E" w14:textId="0B8D0BCE" w:rsidR="00FE5173" w:rsidRDefault="00FE5173" w:rsidP="0039061D">
      <w:r w:rsidRPr="00FE5173">
        <w:t>Maine has three laws that deal specifically with door-to-door sales:</w:t>
      </w:r>
    </w:p>
    <w:p w14:paraId="676B03B7" w14:textId="24AAC6BE" w:rsidR="00681049" w:rsidRDefault="00FE5173" w:rsidP="00DE3775">
      <w:pPr>
        <w:pStyle w:val="ListParagraph"/>
        <w:numPr>
          <w:ilvl w:val="0"/>
          <w:numId w:val="5"/>
        </w:numPr>
      </w:pPr>
      <w:r w:rsidRPr="00FE5173">
        <w:t>Consumer Solicitation Sales</w:t>
      </w:r>
      <w:r>
        <w:t xml:space="preserve"> law;</w:t>
      </w:r>
      <w:r w:rsidR="00681049">
        <w:rPr>
          <w:rStyle w:val="EndnoteReference"/>
          <w:rFonts w:ascii="Calibri" w:hAnsi="Calibri" w:cs="Calibri"/>
        </w:rPr>
        <w:endnoteReference w:id="1"/>
      </w:r>
    </w:p>
    <w:p w14:paraId="47AEB71E" w14:textId="6001AB74" w:rsidR="00681049" w:rsidRDefault="00681049" w:rsidP="00DE3775">
      <w:pPr>
        <w:pStyle w:val="ListParagraph"/>
        <w:numPr>
          <w:ilvl w:val="0"/>
          <w:numId w:val="5"/>
        </w:numPr>
      </w:pPr>
      <w:r>
        <w:t xml:space="preserve">Transient </w:t>
      </w:r>
      <w:r w:rsidRPr="00FE5173">
        <w:t>Seller</w:t>
      </w:r>
      <w:r>
        <w:t>s</w:t>
      </w:r>
      <w:r w:rsidRPr="00FE5173">
        <w:t xml:space="preserve"> of Home Repair Services </w:t>
      </w:r>
      <w:r>
        <w:t>law;</w:t>
      </w:r>
      <w:r>
        <w:rPr>
          <w:rStyle w:val="EndnoteReference"/>
          <w:rFonts w:ascii="Calibri" w:hAnsi="Calibri" w:cs="Calibri"/>
        </w:rPr>
        <w:endnoteReference w:id="2"/>
      </w:r>
      <w:r>
        <w:t xml:space="preserve"> and</w:t>
      </w:r>
    </w:p>
    <w:p w14:paraId="1E073DD0" w14:textId="2EB59442" w:rsidR="00681049" w:rsidRPr="00FE5173" w:rsidRDefault="00681049" w:rsidP="00DE3775">
      <w:pPr>
        <w:pStyle w:val="ListParagraph"/>
        <w:numPr>
          <w:ilvl w:val="0"/>
          <w:numId w:val="5"/>
        </w:numPr>
      </w:pPr>
      <w:r>
        <w:t>Transient Sellers of Consumer Merchandise law.</w:t>
      </w:r>
      <w:r>
        <w:rPr>
          <w:rStyle w:val="EndnoteReference"/>
          <w:rFonts w:ascii="Calibri" w:hAnsi="Calibri" w:cs="Calibri"/>
        </w:rPr>
        <w:endnoteReference w:id="3"/>
      </w:r>
      <w:r>
        <w:t xml:space="preserve"> </w:t>
      </w:r>
    </w:p>
    <w:p w14:paraId="2E7D318E" w14:textId="320AF854" w:rsidR="00681049" w:rsidRPr="00FE5173" w:rsidRDefault="00681049" w:rsidP="0039061D">
      <w:r>
        <w:lastRenderedPageBreak/>
        <w:t xml:space="preserve">Together, these laws provide you with important protections for door-to-door sales, including written contracts with required terms, rights of cancellation, licensing requirements for sellers, and civil and criminal penalties. </w:t>
      </w:r>
    </w:p>
    <w:p w14:paraId="6A832808" w14:textId="344081CE" w:rsidR="00681049" w:rsidRPr="00FE5173" w:rsidRDefault="00681049" w:rsidP="0005655F">
      <w:pPr>
        <w:pStyle w:val="Heading1"/>
      </w:pPr>
      <w:bookmarkStart w:id="1" w:name="_Toc227076957"/>
      <w:r>
        <w:t xml:space="preserve">13.2 </w:t>
      </w:r>
      <w:r w:rsidRPr="00FE5173">
        <w:t>Consumer Solicitation Sales</w:t>
      </w:r>
      <w:bookmarkEnd w:id="1"/>
    </w:p>
    <w:p w14:paraId="7CCC359D" w14:textId="77777777" w:rsidR="00681049" w:rsidRDefault="00681049" w:rsidP="00DE3775">
      <w:pPr>
        <w:pStyle w:val="Heading2"/>
      </w:pPr>
      <w:bookmarkStart w:id="2" w:name="_Toc227076958"/>
      <w:r w:rsidRPr="005E4858">
        <w:t xml:space="preserve">What Sales </w:t>
      </w:r>
      <w:r>
        <w:t>I</w:t>
      </w:r>
      <w:r w:rsidRPr="005E4858">
        <w:t>t Covers</w:t>
      </w:r>
      <w:bookmarkEnd w:id="2"/>
    </w:p>
    <w:p w14:paraId="164851C8" w14:textId="332FD334" w:rsidR="00681049" w:rsidRDefault="00681049" w:rsidP="0039061D">
      <w:r>
        <w:t xml:space="preserve">This law applies to the sale of any merchandise to you when that sale is made through direct personal contact </w:t>
      </w:r>
      <w:r w:rsidRPr="005E4858">
        <w:t>other than at the seller</w:t>
      </w:r>
      <w:r>
        <w:t>’</w:t>
      </w:r>
      <w:r w:rsidRPr="005E4858">
        <w:t>s place of business</w:t>
      </w:r>
      <w:r>
        <w:t xml:space="preserve">, </w:t>
      </w:r>
      <w:r w:rsidRPr="00F94F93">
        <w:t>so long as you did not solicit the initial contact</w:t>
      </w:r>
      <w:r>
        <w:t>.</w:t>
      </w:r>
      <w:r>
        <w:rPr>
          <w:rStyle w:val="EndnoteReference"/>
          <w:rFonts w:ascii="Calibri" w:hAnsi="Calibri" w:cs="Calibri"/>
        </w:rPr>
        <w:endnoteReference w:id="4"/>
      </w:r>
      <w:r>
        <w:t xml:space="preserve"> That includes an unsolicited visit to your home, an unsolicited phone call, and an unsolicited piece of mail. The business location of the seller is irrelevant. Merchandise, in this context, includes “</w:t>
      </w:r>
      <w:r w:rsidRPr="005E4858">
        <w:t>any objects, wares, goods, commodities, intangibles or services.</w:t>
      </w:r>
      <w:r>
        <w:t xml:space="preserve">” </w:t>
      </w:r>
    </w:p>
    <w:p w14:paraId="013781B0" w14:textId="77777777" w:rsidR="00681049" w:rsidRDefault="00681049" w:rsidP="00DE3775">
      <w:pPr>
        <w:pStyle w:val="Heading2"/>
      </w:pPr>
      <w:bookmarkStart w:id="3" w:name="_Toc227076959"/>
      <w:r w:rsidRPr="005E4858">
        <w:t>What It Requires</w:t>
      </w:r>
      <w:bookmarkEnd w:id="3"/>
    </w:p>
    <w:p w14:paraId="21A34815" w14:textId="5C722901" w:rsidR="00681049" w:rsidRDefault="00681049" w:rsidP="0039061D">
      <w:r>
        <w:t xml:space="preserve">Sellers must provide written contracts to you. Those contracts must include specific terms, including a provision that informs you of your right to cancel the contract within 3 business days. If the item sold is to be affixed to your home, then work cannot begin until after those 3 business days. </w:t>
      </w:r>
    </w:p>
    <w:p w14:paraId="2EE2AB8F" w14:textId="45B07E4D" w:rsidR="00681049" w:rsidRDefault="00681049" w:rsidP="0039061D">
      <w:r>
        <w:t>If you give notice of cancellation within 3 business days, then the seller has 20 days to demand that you return the merchandise. However, the seller cannot require you to do anything more than make the merchandise available to the seller at your home. If the seller does not take possession of the merchandise within 20 days, then it becomes your property and you have no obligation to pay for it. If you cancel and make the merchandise available to the seller, you are entitled to a full refund within 15 days.</w:t>
      </w:r>
    </w:p>
    <w:p w14:paraId="6ED6EBF7" w14:textId="77777777" w:rsidR="00681049" w:rsidRDefault="00681049" w:rsidP="00DE3775">
      <w:pPr>
        <w:pStyle w:val="Heading2"/>
      </w:pPr>
      <w:bookmarkStart w:id="4" w:name="_Toc227076960"/>
      <w:r w:rsidRPr="005E4858">
        <w:t xml:space="preserve">What </w:t>
      </w:r>
      <w:r>
        <w:t xml:space="preserve">Relief </w:t>
      </w:r>
      <w:r w:rsidRPr="005E4858">
        <w:t>It Provides</w:t>
      </w:r>
      <w:bookmarkEnd w:id="4"/>
    </w:p>
    <w:p w14:paraId="4ABC20EA" w14:textId="6CCF415C" w:rsidR="00681049" w:rsidRDefault="00681049" w:rsidP="0039061D">
      <w:r>
        <w:t>A violation of this law is an unfair trade practice that can be enforced under the Maine Unfair Trade Practices Act. Additionally, if a seller fails to issue you a full refund after you have cancelled the contract, they are committing a Class E crime or, if the failure is intentional, a Class D crime.</w:t>
      </w:r>
      <w:r>
        <w:rPr>
          <w:rStyle w:val="EndnoteReference"/>
          <w:rFonts w:ascii="Calibri" w:hAnsi="Calibri" w:cs="Calibri"/>
        </w:rPr>
        <w:endnoteReference w:id="5"/>
      </w:r>
      <w:r>
        <w:t xml:space="preserve"> </w:t>
      </w:r>
    </w:p>
    <w:p w14:paraId="19529AC1" w14:textId="334C500B" w:rsidR="00681049" w:rsidRDefault="00681049" w:rsidP="0005655F">
      <w:pPr>
        <w:pStyle w:val="Heading1"/>
      </w:pPr>
      <w:bookmarkStart w:id="5" w:name="_Toc227076961"/>
      <w:r>
        <w:t xml:space="preserve">13.3 </w:t>
      </w:r>
      <w:r w:rsidRPr="00B2329F">
        <w:t>Transient Sellers of Home Repair Services</w:t>
      </w:r>
      <w:bookmarkEnd w:id="5"/>
    </w:p>
    <w:p w14:paraId="58D7BE35" w14:textId="77777777" w:rsidR="00681049" w:rsidRDefault="00681049" w:rsidP="00DE3775">
      <w:pPr>
        <w:pStyle w:val="Heading2"/>
      </w:pPr>
      <w:bookmarkStart w:id="6" w:name="_Toc227076962"/>
      <w:r w:rsidRPr="005E4858">
        <w:t xml:space="preserve">What Sales </w:t>
      </w:r>
      <w:r>
        <w:t>I</w:t>
      </w:r>
      <w:r w:rsidRPr="005E4858">
        <w:t>t Covers</w:t>
      </w:r>
      <w:bookmarkEnd w:id="6"/>
    </w:p>
    <w:p w14:paraId="5A60F163" w14:textId="2C9E8AE1" w:rsidR="00681049" w:rsidRDefault="00681049" w:rsidP="0039061D">
      <w:r>
        <w:t>This law applies to door-to-door sales of home repair services by transient sellers. A transient seller is a seller who does not have a permanent place of business in the municipality where the sale occurs.</w:t>
      </w:r>
      <w:r>
        <w:rPr>
          <w:rStyle w:val="EndnoteReference"/>
          <w:rFonts w:ascii="Calibri" w:hAnsi="Calibri" w:cs="Calibri"/>
        </w:rPr>
        <w:endnoteReference w:id="6"/>
      </w:r>
      <w:r>
        <w:t xml:space="preserve"> Home repair services are any services that </w:t>
      </w:r>
      <w:r w:rsidRPr="005D26EF">
        <w:t>alter</w:t>
      </w:r>
      <w:r>
        <w:t xml:space="preserve"> your home, which includes not only structures but also </w:t>
      </w:r>
      <w:r w:rsidRPr="005D26EF">
        <w:t xml:space="preserve">driveways, pools, </w:t>
      </w:r>
      <w:r>
        <w:t>and landscaping.</w:t>
      </w:r>
      <w:r>
        <w:rPr>
          <w:rStyle w:val="EndnoteReference"/>
          <w:rFonts w:ascii="Calibri" w:hAnsi="Calibri" w:cs="Calibri"/>
        </w:rPr>
        <w:endnoteReference w:id="7"/>
      </w:r>
      <w:r>
        <w:t xml:space="preserve"> However, to qualify under this law, the sale must be the result of a door-to-door solicitation, which means that it must have been a visit to you that you did not initiate or invite. </w:t>
      </w:r>
    </w:p>
    <w:p w14:paraId="22D22FDB" w14:textId="77777777" w:rsidR="00681049" w:rsidRDefault="00681049" w:rsidP="00DE3775">
      <w:pPr>
        <w:pStyle w:val="Heading2"/>
      </w:pPr>
      <w:bookmarkStart w:id="7" w:name="_Toc227076963"/>
      <w:r w:rsidRPr="009D3221">
        <w:t>What It Requires</w:t>
      </w:r>
      <w:bookmarkEnd w:id="7"/>
    </w:p>
    <w:p w14:paraId="5298450E" w14:textId="421CEF77" w:rsidR="00681049" w:rsidRDefault="00681049" w:rsidP="0039061D">
      <w:r>
        <w:t xml:space="preserve">Sellers must provide written contracts to you. Those contracts must comply with several laws, including the Consumer Solicitations Sales law discussed above, and the Home Construction Contracts law discussed </w:t>
      </w:r>
      <w:r w:rsidR="00371440">
        <w:t xml:space="preserve">in our </w:t>
      </w:r>
      <w:hyperlink r:id="rId8" w:history="1">
        <w:r w:rsidR="00371440" w:rsidRPr="00405585">
          <w:rPr>
            <w:rStyle w:val="Hyperlink"/>
          </w:rPr>
          <w:t>home construction and repair guide</w:t>
        </w:r>
      </w:hyperlink>
      <w:r w:rsidR="00405585">
        <w:t xml:space="preserve"> (</w:t>
      </w:r>
      <w:hyperlink r:id="rId9" w:history="1">
        <w:r w:rsidR="00405585" w:rsidRPr="00593D59">
          <w:rPr>
            <w:rStyle w:val="Hyperlink"/>
          </w:rPr>
          <w:t>https://maine.gov/ag/consumer-protection/consumer-help-topics/housing/home-construction-and-repair</w:t>
        </w:r>
      </w:hyperlink>
      <w:r w:rsidR="00405585">
        <w:t>)</w:t>
      </w:r>
      <w:r w:rsidR="00371440">
        <w:t>.</w:t>
      </w:r>
      <w:r>
        <w:t xml:space="preserve"> </w:t>
      </w:r>
    </w:p>
    <w:p w14:paraId="1D319FD5" w14:textId="09CF619D" w:rsidR="00681049" w:rsidRDefault="00681049" w:rsidP="0039061D">
      <w:r>
        <w:lastRenderedPageBreak/>
        <w:t xml:space="preserve">The law also requires sellers to be licensed by the Maine Department of Professional and Financial Regulation, </w:t>
      </w:r>
      <w:r w:rsidRPr="00943B35">
        <w:t>Office of Professional and Occupational Regulation</w:t>
      </w:r>
      <w:r>
        <w:t xml:space="preserve">. A seller must provide their license number to you at the time of sale. </w:t>
      </w:r>
    </w:p>
    <w:p w14:paraId="542E72A9" w14:textId="77777777" w:rsidR="00681049" w:rsidRDefault="00681049" w:rsidP="00DE3775">
      <w:pPr>
        <w:pStyle w:val="Heading2"/>
      </w:pPr>
      <w:bookmarkStart w:id="8" w:name="_Toc227076964"/>
      <w:r w:rsidRPr="005E4858">
        <w:t xml:space="preserve">What </w:t>
      </w:r>
      <w:r>
        <w:t xml:space="preserve">Relief </w:t>
      </w:r>
      <w:r w:rsidRPr="005E4858">
        <w:t>It Provides</w:t>
      </w:r>
      <w:bookmarkEnd w:id="8"/>
    </w:p>
    <w:p w14:paraId="2F762C9A" w14:textId="14F1AED7" w:rsidR="00681049" w:rsidRDefault="00681049" w:rsidP="0039061D">
      <w:r>
        <w:t xml:space="preserve">A violation of this law is an unfair trade practice that can be enforced under the Maine Unfair Trade Practices Act. Violations of this law are also subject to civil penalties between $2,000 and $5,000. Additionally, a seller who fails to obtain a license or disclose a license number as required is committing a Class E crime, or, if the failure is intentional, a Class D crime. Violations of this law are also subject to civil penalties. </w:t>
      </w:r>
    </w:p>
    <w:p w14:paraId="29580EDE" w14:textId="593A2AAC" w:rsidR="00681049" w:rsidRDefault="00681049" w:rsidP="0005655F">
      <w:pPr>
        <w:pStyle w:val="Heading1"/>
      </w:pPr>
      <w:bookmarkStart w:id="9" w:name="_Toc227076965"/>
      <w:r>
        <w:t xml:space="preserve">13.4 </w:t>
      </w:r>
      <w:r w:rsidRPr="009262E4">
        <w:t>Transient Sellers of Consumer Merchandise</w:t>
      </w:r>
      <w:bookmarkEnd w:id="9"/>
    </w:p>
    <w:p w14:paraId="18DBAE09" w14:textId="77777777" w:rsidR="00681049" w:rsidRDefault="00681049" w:rsidP="00DE3775">
      <w:pPr>
        <w:pStyle w:val="Heading2"/>
      </w:pPr>
      <w:bookmarkStart w:id="10" w:name="_Toc227076966"/>
      <w:r w:rsidRPr="005E4858">
        <w:t xml:space="preserve">What Sales </w:t>
      </w:r>
      <w:r>
        <w:t>I</w:t>
      </w:r>
      <w:r w:rsidRPr="005E4858">
        <w:t>t Covers</w:t>
      </w:r>
      <w:bookmarkEnd w:id="10"/>
    </w:p>
    <w:p w14:paraId="348566CC" w14:textId="5179E052" w:rsidR="009262E4" w:rsidRDefault="00681049" w:rsidP="0039061D">
      <w:r>
        <w:t xml:space="preserve">This law applies to sellers </w:t>
      </w:r>
      <w:r w:rsidRPr="00003D30">
        <w:t xml:space="preserve">who </w:t>
      </w:r>
      <w:r>
        <w:t>do not have a</w:t>
      </w:r>
      <w:r w:rsidRPr="00003D30">
        <w:t xml:space="preserve"> permanent place of business </w:t>
      </w:r>
      <w:r>
        <w:t>in Maine</w:t>
      </w:r>
      <w:r w:rsidRPr="00003D30">
        <w:t xml:space="preserve"> who </w:t>
      </w:r>
      <w:r>
        <w:t xml:space="preserve">sell </w:t>
      </w:r>
      <w:r w:rsidRPr="00003D30">
        <w:t xml:space="preserve">merchandise to </w:t>
      </w:r>
      <w:r>
        <w:t>you</w:t>
      </w:r>
      <w:r w:rsidRPr="00003D30">
        <w:t xml:space="preserve"> by means of personal contact or telephone contact</w:t>
      </w:r>
      <w:r>
        <w:t>.</w:t>
      </w:r>
      <w:r>
        <w:rPr>
          <w:rStyle w:val="EndnoteReference"/>
          <w:rFonts w:ascii="Calibri" w:hAnsi="Calibri" w:cs="Calibri"/>
        </w:rPr>
        <w:endnoteReference w:id="8"/>
      </w:r>
      <w:r>
        <w:t xml:space="preserve"> It expressly applies to telemarketers regulated by the federal government.</w:t>
      </w:r>
      <w:r>
        <w:rPr>
          <w:rStyle w:val="EndnoteReference"/>
          <w:rFonts w:ascii="Calibri" w:hAnsi="Calibri" w:cs="Calibri"/>
        </w:rPr>
        <w:endnoteReference w:id="9"/>
      </w:r>
      <w:r>
        <w:t xml:space="preserve"> </w:t>
      </w:r>
      <w:r w:rsidR="00F045CE">
        <w:t xml:space="preserve">Merchandise </w:t>
      </w:r>
      <w:r w:rsidR="005C0536">
        <w:t>includes “</w:t>
      </w:r>
      <w:r w:rsidR="005C0536" w:rsidRPr="005C0536">
        <w:t>any objects, wares, goods, promises, commodities, intangibles, services or other things of value</w:t>
      </w:r>
      <w:r w:rsidR="005C0536">
        <w:t>.”</w:t>
      </w:r>
    </w:p>
    <w:p w14:paraId="5EACC2FD" w14:textId="77777777" w:rsidR="00DE3775" w:rsidRDefault="001978D7" w:rsidP="00DE3775">
      <w:pPr>
        <w:pStyle w:val="Heading2"/>
      </w:pPr>
      <w:bookmarkStart w:id="11" w:name="_Toc227076967"/>
      <w:r w:rsidRPr="004D1260">
        <w:t>What It Requires</w:t>
      </w:r>
      <w:bookmarkEnd w:id="11"/>
    </w:p>
    <w:p w14:paraId="6A673E63" w14:textId="4B9F789D" w:rsidR="001978D7" w:rsidRDefault="001978D7" w:rsidP="0039061D">
      <w:r>
        <w:t xml:space="preserve">This law is primarily a licensing statute. It requires sellers to be licensed, to </w:t>
      </w:r>
      <w:r w:rsidR="003E500E">
        <w:t xml:space="preserve">disclose their license number and their permanent place of business to </w:t>
      </w:r>
      <w:r w:rsidR="0085452E">
        <w:t>consumers</w:t>
      </w:r>
      <w:r w:rsidR="003E500E">
        <w:t xml:space="preserve">, to register </w:t>
      </w:r>
      <w:r w:rsidR="00AC78B9">
        <w:t xml:space="preserve">locally if required by a municipality, </w:t>
      </w:r>
      <w:r w:rsidR="004D1260">
        <w:t xml:space="preserve">and </w:t>
      </w:r>
      <w:r w:rsidR="00611F2D">
        <w:t xml:space="preserve">to pay a security deposit to the Department of Professional and Financial Regulation, Office </w:t>
      </w:r>
      <w:r w:rsidR="00F6507A" w:rsidRPr="00F6507A">
        <w:t>of Professional and Occupational Regulation</w:t>
      </w:r>
      <w:r w:rsidR="00F6507A">
        <w:t xml:space="preserve"> for the protection of consumers</w:t>
      </w:r>
      <w:r w:rsidR="004D1260">
        <w:t xml:space="preserve">. </w:t>
      </w:r>
      <w:r w:rsidR="00F6507A">
        <w:t xml:space="preserve"> </w:t>
      </w:r>
    </w:p>
    <w:p w14:paraId="05A8B950" w14:textId="77777777" w:rsidR="00DE3775" w:rsidRDefault="007F6F62" w:rsidP="00DE3775">
      <w:pPr>
        <w:pStyle w:val="Heading2"/>
      </w:pPr>
      <w:bookmarkStart w:id="12" w:name="_Toc227076968"/>
      <w:r w:rsidRPr="005E4858">
        <w:t xml:space="preserve">What </w:t>
      </w:r>
      <w:r>
        <w:t xml:space="preserve">Relief </w:t>
      </w:r>
      <w:r w:rsidRPr="005E4858">
        <w:t>It Provides</w:t>
      </w:r>
      <w:bookmarkEnd w:id="12"/>
    </w:p>
    <w:p w14:paraId="0679C6B0" w14:textId="140187F1" w:rsidR="004D1260" w:rsidRDefault="00E630C6" w:rsidP="0039061D">
      <w:r>
        <w:t xml:space="preserve">A violation of this law is an unfair trade practice that can be enforced under the Maine Unfair Trade Practices Act. </w:t>
      </w:r>
      <w:r w:rsidR="0059231F">
        <w:t>If you have a</w:t>
      </w:r>
      <w:r w:rsidR="00987A65">
        <w:t xml:space="preserve"> claim </w:t>
      </w:r>
      <w:r w:rsidR="00AE7C4E">
        <w:t>against</w:t>
      </w:r>
      <w:r w:rsidR="0059231F">
        <w:t xml:space="preserve"> a</w:t>
      </w:r>
      <w:r w:rsidR="00AE7C4E">
        <w:t xml:space="preserve"> seller licensed under this law</w:t>
      </w:r>
      <w:r w:rsidR="0059231F">
        <w:t>, you</w:t>
      </w:r>
      <w:r w:rsidR="00AE7C4E">
        <w:t xml:space="preserve"> may </w:t>
      </w:r>
      <w:r w:rsidR="00D85154">
        <w:t xml:space="preserve">have recourse against the security deposit that sellers are required to pay to the Department Professional and Financial Regulation, Office </w:t>
      </w:r>
      <w:r w:rsidR="00D85154" w:rsidRPr="00F6507A">
        <w:t>of Professional and Occupational Regulation</w:t>
      </w:r>
      <w:r w:rsidR="00D85154">
        <w:t xml:space="preserve">. </w:t>
      </w:r>
      <w:r w:rsidR="00E93185">
        <w:t xml:space="preserve">Additionally, a seller who fails to obtain a license or disclose a license number as required is committing a Class E crime, or, if the failure is intentional, a Class D crime. </w:t>
      </w:r>
    </w:p>
    <w:p w14:paraId="120B890D" w14:textId="41A39262" w:rsidR="00E93185" w:rsidRPr="004266B4" w:rsidRDefault="00CF0291" w:rsidP="0005655F">
      <w:pPr>
        <w:pStyle w:val="Heading1"/>
      </w:pPr>
      <w:bookmarkStart w:id="13" w:name="_Toc227076969"/>
      <w:r>
        <w:t xml:space="preserve">13.5 </w:t>
      </w:r>
      <w:r w:rsidR="00E93185" w:rsidRPr="004266B4">
        <w:t>Tips for Consumers</w:t>
      </w:r>
      <w:r w:rsidR="004266B4" w:rsidRPr="004266B4">
        <w:t xml:space="preserve"> on </w:t>
      </w:r>
      <w:r w:rsidR="004266B4">
        <w:t>Unsolicited</w:t>
      </w:r>
      <w:r w:rsidR="004266B4" w:rsidRPr="004266B4">
        <w:t xml:space="preserve"> Sales</w:t>
      </w:r>
      <w:bookmarkEnd w:id="13"/>
    </w:p>
    <w:p w14:paraId="5652E6CA" w14:textId="0D2726C4" w:rsidR="004266B4" w:rsidRDefault="004266B4" w:rsidP="0039061D">
      <w:r>
        <w:t xml:space="preserve">If </w:t>
      </w:r>
      <w:r w:rsidR="0007278A">
        <w:t xml:space="preserve">someone is trying to sell you something through an unsolicited </w:t>
      </w:r>
      <w:r w:rsidR="00380AF6">
        <w:t>phone call or visit to your home, there are several things you can do to protect yourself:</w:t>
      </w:r>
    </w:p>
    <w:p w14:paraId="57F86AF9" w14:textId="256ADC0A" w:rsidR="00380AF6" w:rsidRDefault="00380AF6" w:rsidP="00CB5234">
      <w:pPr>
        <w:pStyle w:val="ListParagraph"/>
        <w:numPr>
          <w:ilvl w:val="0"/>
          <w:numId w:val="6"/>
        </w:numPr>
      </w:pPr>
      <w:r>
        <w:t>Ask the seller whether they have a permanent place of business in Maine or in the town where you live</w:t>
      </w:r>
      <w:r w:rsidR="009E074E">
        <w:t xml:space="preserve">. </w:t>
      </w:r>
      <w:r w:rsidR="00AD52A4">
        <w:t>If they do not, a</w:t>
      </w:r>
      <w:r w:rsidRPr="00AD52A4">
        <w:t>sk the seller if they are licensed</w:t>
      </w:r>
      <w:r w:rsidR="009E074E" w:rsidRPr="00AD52A4">
        <w:t xml:space="preserve"> and, if they are not licensed, whether they are aware that it is crime not to be licensed. </w:t>
      </w:r>
    </w:p>
    <w:p w14:paraId="7C83F450" w14:textId="0EAD4FD1" w:rsidR="002C06EB" w:rsidRDefault="00D063C5" w:rsidP="00CB5234">
      <w:pPr>
        <w:pStyle w:val="ListParagraph"/>
        <w:numPr>
          <w:ilvl w:val="0"/>
          <w:numId w:val="6"/>
        </w:numPr>
      </w:pPr>
      <w:r>
        <w:t xml:space="preserve">Always insist on </w:t>
      </w:r>
      <w:r w:rsidR="00F84C9B">
        <w:t>a</w:t>
      </w:r>
      <w:r w:rsidR="005E66B0">
        <w:t xml:space="preserve"> written</w:t>
      </w:r>
      <w:r w:rsidR="00F84C9B">
        <w:t xml:space="preserve"> contract</w:t>
      </w:r>
      <w:r w:rsidR="004A6D4E">
        <w:t xml:space="preserve"> before you agree to a sale</w:t>
      </w:r>
      <w:r w:rsidR="00F84C9B">
        <w:t>.</w:t>
      </w:r>
    </w:p>
    <w:p w14:paraId="0E4D593E" w14:textId="57AA684D" w:rsidR="002C06EB" w:rsidRDefault="002C06EB" w:rsidP="00CB5234">
      <w:pPr>
        <w:pStyle w:val="ListParagraph"/>
        <w:numPr>
          <w:ilvl w:val="0"/>
          <w:numId w:val="6"/>
        </w:numPr>
      </w:pPr>
      <w:r>
        <w:t xml:space="preserve">Do not agree to </w:t>
      </w:r>
      <w:r w:rsidR="004A6D4E">
        <w:t xml:space="preserve">the sale </w:t>
      </w:r>
      <w:r>
        <w:t>or provide payment or personal information during the first co</w:t>
      </w:r>
      <w:r w:rsidR="008839B8">
        <w:t xml:space="preserve">nversation. </w:t>
      </w:r>
    </w:p>
    <w:p w14:paraId="176927C9" w14:textId="172FB86A" w:rsidR="004A6D4E" w:rsidRPr="004A6D4E" w:rsidRDefault="004A6D4E" w:rsidP="00CB5234">
      <w:pPr>
        <w:pStyle w:val="ListParagraph"/>
        <w:numPr>
          <w:ilvl w:val="0"/>
          <w:numId w:val="6"/>
        </w:numPr>
      </w:pPr>
      <w:r>
        <w:lastRenderedPageBreak/>
        <w:t xml:space="preserve">Ask about the right to cancel. If the seller denies that there is such a right, that is a red flag, and you should be extremely cautious about proceeding. </w:t>
      </w:r>
    </w:p>
    <w:p w14:paraId="2395EB27" w14:textId="72E974E6" w:rsidR="000B2713" w:rsidRDefault="000B2713" w:rsidP="00CB5234">
      <w:pPr>
        <w:pStyle w:val="ListParagraph"/>
        <w:numPr>
          <w:ilvl w:val="0"/>
          <w:numId w:val="6"/>
        </w:numPr>
      </w:pPr>
      <w:r>
        <w:t xml:space="preserve">Beware of “too good to be true” </w:t>
      </w:r>
      <w:r w:rsidR="00581215">
        <w:t xml:space="preserve">claims and </w:t>
      </w:r>
      <w:r>
        <w:t>offers</w:t>
      </w:r>
      <w:r w:rsidR="00581215">
        <w:t xml:space="preserve">, because they are </w:t>
      </w:r>
      <w:r w:rsidR="00C21AFB">
        <w:t xml:space="preserve">usually </w:t>
      </w:r>
      <w:r w:rsidR="00581215">
        <w:t>not true</w:t>
      </w:r>
      <w:r>
        <w:t xml:space="preserve">. </w:t>
      </w:r>
    </w:p>
    <w:p w14:paraId="1F920BE1" w14:textId="6F119672" w:rsidR="00581215" w:rsidRDefault="00581215" w:rsidP="00CB5234">
      <w:pPr>
        <w:pStyle w:val="ListParagraph"/>
        <w:numPr>
          <w:ilvl w:val="0"/>
          <w:numId w:val="6"/>
        </w:numPr>
      </w:pPr>
      <w:r>
        <w:t xml:space="preserve">Don’t allow anyone to begin work </w:t>
      </w:r>
      <w:r w:rsidR="00A42C7C">
        <w:t xml:space="preserve">immediately </w:t>
      </w:r>
      <w:r>
        <w:t xml:space="preserve">on your home or property. </w:t>
      </w:r>
    </w:p>
    <w:p w14:paraId="18E9BFED" w14:textId="538A334F" w:rsidR="00E735D8" w:rsidRDefault="00AD52A4" w:rsidP="00CB5234">
      <w:pPr>
        <w:pStyle w:val="ListParagraph"/>
        <w:numPr>
          <w:ilvl w:val="0"/>
          <w:numId w:val="6"/>
        </w:numPr>
      </w:pPr>
      <w:r>
        <w:t xml:space="preserve">If the seller refuses to </w:t>
      </w:r>
      <w:r w:rsidR="00E735D8">
        <w:t xml:space="preserve">stop soliciting you, report them to local law enforcement. </w:t>
      </w:r>
    </w:p>
    <w:p w14:paraId="4A794E42" w14:textId="5D9E9F23" w:rsidR="00E735D8" w:rsidRPr="00014C64" w:rsidRDefault="00EE3B7E" w:rsidP="0039061D">
      <w:r w:rsidRPr="00014C64">
        <w:t xml:space="preserve">If you have concerns about </w:t>
      </w:r>
      <w:r w:rsidR="00D64C9D">
        <w:t xml:space="preserve">a </w:t>
      </w:r>
      <w:r w:rsidRPr="00014C64">
        <w:t xml:space="preserve">sale </w:t>
      </w:r>
      <w:r w:rsidR="00661EA0">
        <w:t>that you are considering or have already agreed to</w:t>
      </w:r>
      <w:r w:rsidRPr="00014C64">
        <w:t xml:space="preserve">, </w:t>
      </w:r>
      <w:r w:rsidR="001321B2">
        <w:t xml:space="preserve">you can </w:t>
      </w:r>
      <w:r w:rsidR="00224FA9" w:rsidRPr="00FA0D9B">
        <w:rPr>
          <w:rFonts w:cs="Calibri"/>
        </w:rPr>
        <w:t xml:space="preserve">contact the Consumer Mediation Service via our </w:t>
      </w:r>
      <w:hyperlink r:id="rId10" w:history="1">
        <w:r w:rsidR="00224FA9" w:rsidRPr="00FA0D9B">
          <w:rPr>
            <w:rStyle w:val="Hyperlink"/>
            <w:rFonts w:cs="Calibri"/>
          </w:rPr>
          <w:t xml:space="preserve">online complaint </w:t>
        </w:r>
        <w:r w:rsidR="00224FA9">
          <w:rPr>
            <w:rStyle w:val="Hyperlink"/>
            <w:rFonts w:cs="Calibri"/>
          </w:rPr>
          <w:t>service</w:t>
        </w:r>
      </w:hyperlink>
      <w:r w:rsidR="00224FA9" w:rsidRPr="00FA0D9B">
        <w:rPr>
          <w:rFonts w:cs="Calibri"/>
        </w:rPr>
        <w:t xml:space="preserve"> (</w:t>
      </w:r>
      <w:hyperlink r:id="rId11" w:history="1">
        <w:r w:rsidR="00224FA9" w:rsidRPr="006E19B1">
          <w:rPr>
            <w:rStyle w:val="Hyperlink"/>
          </w:rPr>
          <w:t>https://uat.web.maine.gov/ag/online-services/file-a-consumer-complaint-and-request-mediation</w:t>
        </w:r>
      </w:hyperlink>
      <w:r w:rsidR="00224FA9" w:rsidRPr="00FA0D9B">
        <w:rPr>
          <w:rFonts w:cs="Calibri"/>
        </w:rPr>
        <w:t xml:space="preserve">); call us Monday – Thursday between 9 AM – 12 noon at 1-800-436-2131 or 207-626-8849; or write a letter addressed to the Consumer Mediation Service, Office of the Attorney General, 6 State House Station, Augusta, ME 04333-0006. </w:t>
      </w:r>
      <w:r w:rsidR="00224FA9">
        <w:rPr>
          <w:rFonts w:cs="Calibri"/>
        </w:rPr>
        <w:t xml:space="preserve">For more information, see our guide on </w:t>
      </w:r>
      <w:hyperlink r:id="rId12" w:history="1">
        <w:r w:rsidR="00224FA9" w:rsidRPr="005A5AAD">
          <w:rPr>
            <w:rStyle w:val="Hyperlink"/>
            <w:rFonts w:cs="Calibri"/>
          </w:rPr>
          <w:t>how to resolve a consumer complaint</w:t>
        </w:r>
      </w:hyperlink>
      <w:r w:rsidR="00224FA9">
        <w:rPr>
          <w:rFonts w:cs="Calibri"/>
        </w:rPr>
        <w:t xml:space="preserve"> (</w:t>
      </w:r>
      <w:hyperlink r:id="rId13" w:history="1">
        <w:r w:rsidR="00224FA9" w:rsidRPr="00A03441">
          <w:rPr>
            <w:rStyle w:val="Hyperlink"/>
            <w:rFonts w:cs="Calibri"/>
          </w:rPr>
          <w:t>https://maine.gov/ag/consumer-protection/consumer-help-topics/consumer-complaints</w:t>
        </w:r>
      </w:hyperlink>
      <w:r w:rsidR="00224FA9">
        <w:rPr>
          <w:rFonts w:cs="Calibri"/>
        </w:rPr>
        <w:t>).</w:t>
      </w:r>
    </w:p>
    <w:sectPr w:rsidR="00E735D8" w:rsidRPr="00014C64" w:rsidSect="002C3C58">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75E5" w14:textId="77777777" w:rsidR="003E1F8D" w:rsidRDefault="003E1F8D" w:rsidP="00FE5173">
      <w:r>
        <w:separator/>
      </w:r>
    </w:p>
  </w:endnote>
  <w:endnote w:type="continuationSeparator" w:id="0">
    <w:p w14:paraId="245F3F58" w14:textId="77777777" w:rsidR="003E1F8D" w:rsidRDefault="003E1F8D" w:rsidP="00FE5173">
      <w:r>
        <w:continuationSeparator/>
      </w:r>
    </w:p>
  </w:endnote>
  <w:endnote w:id="1">
    <w:p w14:paraId="01D777AB" w14:textId="19C1EF03"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4661-4671.</w:t>
      </w:r>
    </w:p>
  </w:endnote>
  <w:endnote w:id="2">
    <w:p w14:paraId="3B1B5EE0" w14:textId="31308D9D"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14501-14513. </w:t>
      </w:r>
    </w:p>
  </w:endnote>
  <w:endnote w:id="3">
    <w:p w14:paraId="070561C0" w14:textId="53E03F5E" w:rsidR="00681049" w:rsidRPr="004E4E7F" w:rsidRDefault="00681049">
      <w:pPr>
        <w:pStyle w:val="EndnoteText"/>
        <w:rPr>
          <w:sz w:val="24"/>
          <w:szCs w:val="24"/>
        </w:rPr>
      </w:pPr>
      <w:r w:rsidRPr="004E4E7F">
        <w:rPr>
          <w:rStyle w:val="EndnoteReference"/>
          <w:rFonts w:cs="Calibri"/>
          <w:sz w:val="24"/>
          <w:szCs w:val="24"/>
        </w:rPr>
        <w:endnoteRef/>
      </w:r>
      <w:r w:rsidRPr="004E4E7F">
        <w:rPr>
          <w:rFonts w:cs="Calibri"/>
          <w:sz w:val="24"/>
          <w:szCs w:val="24"/>
        </w:rPr>
        <w:t xml:space="preserve"> 32 M.R.S.A. §§ 14701-14716. </w:t>
      </w:r>
    </w:p>
  </w:endnote>
  <w:endnote w:id="4">
    <w:p w14:paraId="1042AFC2" w14:textId="5165E0F2"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4662(1). </w:t>
      </w:r>
    </w:p>
  </w:endnote>
  <w:endnote w:id="5">
    <w:p w14:paraId="1B2EC124" w14:textId="1D2A0D01"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4666. </w:t>
      </w:r>
    </w:p>
  </w:endnote>
  <w:endnote w:id="6">
    <w:p w14:paraId="6A2C4514" w14:textId="7B67FC72"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14501(9). </w:t>
      </w:r>
    </w:p>
  </w:endnote>
  <w:endnote w:id="7">
    <w:p w14:paraId="59AB8CD2" w14:textId="5EFE1E99"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This law does not apply to the original construction of a residence. 32 M.R.S.A. § 14502(1). </w:t>
      </w:r>
    </w:p>
  </w:endnote>
  <w:endnote w:id="8">
    <w:p w14:paraId="188F4D3E" w14:textId="69B985A8" w:rsidR="00681049" w:rsidRPr="004E4E7F" w:rsidRDefault="00681049">
      <w:pPr>
        <w:pStyle w:val="EndnoteText"/>
        <w:rPr>
          <w:rFonts w:cs="Calibri"/>
          <w:sz w:val="24"/>
          <w:szCs w:val="24"/>
        </w:rPr>
      </w:pPr>
      <w:r w:rsidRPr="004E4E7F">
        <w:rPr>
          <w:rStyle w:val="EndnoteReference"/>
          <w:rFonts w:cs="Calibri"/>
          <w:sz w:val="24"/>
          <w:szCs w:val="24"/>
        </w:rPr>
        <w:endnoteRef/>
      </w:r>
      <w:r w:rsidRPr="004E4E7F">
        <w:rPr>
          <w:rFonts w:cs="Calibri"/>
          <w:sz w:val="24"/>
          <w:szCs w:val="24"/>
        </w:rPr>
        <w:t xml:space="preserve"> 32 M.R.S.A. § 14701(8). </w:t>
      </w:r>
    </w:p>
  </w:endnote>
  <w:endnote w:id="9">
    <w:p w14:paraId="63AFF57D" w14:textId="7D866577" w:rsidR="00681049" w:rsidRPr="001978D7" w:rsidRDefault="00681049">
      <w:pPr>
        <w:pStyle w:val="EndnoteText"/>
        <w:rPr>
          <w:rFonts w:ascii="Calibri" w:hAnsi="Calibri" w:cs="Calibri"/>
        </w:rPr>
      </w:pPr>
      <w:r w:rsidRPr="004E4E7F">
        <w:rPr>
          <w:rStyle w:val="EndnoteReference"/>
          <w:rFonts w:cs="Calibri"/>
          <w:sz w:val="24"/>
          <w:szCs w:val="24"/>
        </w:rPr>
        <w:endnoteRef/>
      </w:r>
      <w:r w:rsidRPr="004E4E7F">
        <w:rPr>
          <w:rFonts w:cs="Calibri"/>
          <w:sz w:val="24"/>
          <w:szCs w:val="24"/>
        </w:rPr>
        <w:t xml:space="preserve"> 32 M.R.S.A. § 14716.</w:t>
      </w:r>
      <w:r w:rsidRPr="001978D7">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2FAA" w14:textId="77777777" w:rsidR="003E1F8D" w:rsidRDefault="003E1F8D" w:rsidP="00FE5173">
      <w:r>
        <w:separator/>
      </w:r>
    </w:p>
  </w:footnote>
  <w:footnote w:type="continuationSeparator" w:id="0">
    <w:p w14:paraId="40E869A6" w14:textId="77777777" w:rsidR="003E1F8D" w:rsidRDefault="003E1F8D" w:rsidP="00FE5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458"/>
    <w:multiLevelType w:val="hybridMultilevel"/>
    <w:tmpl w:val="004C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995"/>
    <w:multiLevelType w:val="hybridMultilevel"/>
    <w:tmpl w:val="8D0C7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3B531C"/>
    <w:multiLevelType w:val="hybridMultilevel"/>
    <w:tmpl w:val="13BEBC22"/>
    <w:lvl w:ilvl="0" w:tplc="DB922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813EEC"/>
    <w:multiLevelType w:val="hybridMultilevel"/>
    <w:tmpl w:val="5B900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7F7144"/>
    <w:multiLevelType w:val="hybridMultilevel"/>
    <w:tmpl w:val="DB5024CC"/>
    <w:lvl w:ilvl="0" w:tplc="3990CA20">
      <w:start w:val="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BB2948"/>
    <w:multiLevelType w:val="hybridMultilevel"/>
    <w:tmpl w:val="F188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429934">
    <w:abstractNumId w:val="2"/>
  </w:num>
  <w:num w:numId="2" w16cid:durableId="744106957">
    <w:abstractNumId w:val="3"/>
  </w:num>
  <w:num w:numId="3" w16cid:durableId="294912053">
    <w:abstractNumId w:val="4"/>
  </w:num>
  <w:num w:numId="4" w16cid:durableId="431314897">
    <w:abstractNumId w:val="1"/>
  </w:num>
  <w:num w:numId="5" w16cid:durableId="188760244">
    <w:abstractNumId w:val="5"/>
  </w:num>
  <w:num w:numId="6" w16cid:durableId="193327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3"/>
    <w:rsid w:val="00003D30"/>
    <w:rsid w:val="00014C64"/>
    <w:rsid w:val="00050FC7"/>
    <w:rsid w:val="0005655F"/>
    <w:rsid w:val="0007278A"/>
    <w:rsid w:val="00080FEC"/>
    <w:rsid w:val="000B2713"/>
    <w:rsid w:val="001315FA"/>
    <w:rsid w:val="001321B2"/>
    <w:rsid w:val="001978D7"/>
    <w:rsid w:val="00207660"/>
    <w:rsid w:val="00215EDE"/>
    <w:rsid w:val="00224FA9"/>
    <w:rsid w:val="002565FD"/>
    <w:rsid w:val="00274C5A"/>
    <w:rsid w:val="002C06EB"/>
    <w:rsid w:val="002C3C58"/>
    <w:rsid w:val="002E0D63"/>
    <w:rsid w:val="00364F67"/>
    <w:rsid w:val="00371440"/>
    <w:rsid w:val="00380AF6"/>
    <w:rsid w:val="0039061D"/>
    <w:rsid w:val="00393685"/>
    <w:rsid w:val="003E1F8D"/>
    <w:rsid w:val="003E500E"/>
    <w:rsid w:val="00405585"/>
    <w:rsid w:val="00415BD0"/>
    <w:rsid w:val="004266B4"/>
    <w:rsid w:val="00430D3C"/>
    <w:rsid w:val="00465531"/>
    <w:rsid w:val="00473D83"/>
    <w:rsid w:val="004765FB"/>
    <w:rsid w:val="004A6D4E"/>
    <w:rsid w:val="004B1EA7"/>
    <w:rsid w:val="004D1260"/>
    <w:rsid w:val="004E4E7F"/>
    <w:rsid w:val="00517172"/>
    <w:rsid w:val="00520184"/>
    <w:rsid w:val="00557DAE"/>
    <w:rsid w:val="00575F61"/>
    <w:rsid w:val="00581215"/>
    <w:rsid w:val="0059231F"/>
    <w:rsid w:val="005C0536"/>
    <w:rsid w:val="005D26EF"/>
    <w:rsid w:val="005D7E04"/>
    <w:rsid w:val="005E4858"/>
    <w:rsid w:val="005E66B0"/>
    <w:rsid w:val="00604A05"/>
    <w:rsid w:val="00611F2D"/>
    <w:rsid w:val="00661EA0"/>
    <w:rsid w:val="00672AF1"/>
    <w:rsid w:val="00681049"/>
    <w:rsid w:val="006D2A21"/>
    <w:rsid w:val="006F4BD3"/>
    <w:rsid w:val="007A6851"/>
    <w:rsid w:val="007E6531"/>
    <w:rsid w:val="007F6F62"/>
    <w:rsid w:val="0085452E"/>
    <w:rsid w:val="00863549"/>
    <w:rsid w:val="008839B8"/>
    <w:rsid w:val="00892014"/>
    <w:rsid w:val="008B6B03"/>
    <w:rsid w:val="008E145C"/>
    <w:rsid w:val="008E6D58"/>
    <w:rsid w:val="008F6708"/>
    <w:rsid w:val="00903F0B"/>
    <w:rsid w:val="0091278A"/>
    <w:rsid w:val="00920C0C"/>
    <w:rsid w:val="009262E4"/>
    <w:rsid w:val="00943B35"/>
    <w:rsid w:val="00951715"/>
    <w:rsid w:val="00967496"/>
    <w:rsid w:val="00987A65"/>
    <w:rsid w:val="009A10B2"/>
    <w:rsid w:val="009B3DCD"/>
    <w:rsid w:val="009D3221"/>
    <w:rsid w:val="009E074E"/>
    <w:rsid w:val="009F6337"/>
    <w:rsid w:val="00A362EB"/>
    <w:rsid w:val="00A41355"/>
    <w:rsid w:val="00A42C7C"/>
    <w:rsid w:val="00A536AD"/>
    <w:rsid w:val="00A6122A"/>
    <w:rsid w:val="00A753E0"/>
    <w:rsid w:val="00AB715E"/>
    <w:rsid w:val="00AC78B9"/>
    <w:rsid w:val="00AD3A56"/>
    <w:rsid w:val="00AD52A4"/>
    <w:rsid w:val="00AE5F7C"/>
    <w:rsid w:val="00AE62EC"/>
    <w:rsid w:val="00AE639D"/>
    <w:rsid w:val="00AE7C4E"/>
    <w:rsid w:val="00B04183"/>
    <w:rsid w:val="00B2329F"/>
    <w:rsid w:val="00B27EE7"/>
    <w:rsid w:val="00B51877"/>
    <w:rsid w:val="00BA07B6"/>
    <w:rsid w:val="00BE0CF7"/>
    <w:rsid w:val="00C0647D"/>
    <w:rsid w:val="00C07662"/>
    <w:rsid w:val="00C21AFB"/>
    <w:rsid w:val="00C44106"/>
    <w:rsid w:val="00C53476"/>
    <w:rsid w:val="00C76BFB"/>
    <w:rsid w:val="00CB5234"/>
    <w:rsid w:val="00CC13A7"/>
    <w:rsid w:val="00CF0291"/>
    <w:rsid w:val="00D00C97"/>
    <w:rsid w:val="00D0591C"/>
    <w:rsid w:val="00D063C5"/>
    <w:rsid w:val="00D105E4"/>
    <w:rsid w:val="00D4122D"/>
    <w:rsid w:val="00D441B0"/>
    <w:rsid w:val="00D507F2"/>
    <w:rsid w:val="00D64C9D"/>
    <w:rsid w:val="00D85154"/>
    <w:rsid w:val="00DA2001"/>
    <w:rsid w:val="00DE3775"/>
    <w:rsid w:val="00E41247"/>
    <w:rsid w:val="00E630C6"/>
    <w:rsid w:val="00E735D8"/>
    <w:rsid w:val="00E91AFA"/>
    <w:rsid w:val="00E93185"/>
    <w:rsid w:val="00EB6541"/>
    <w:rsid w:val="00EE3B7E"/>
    <w:rsid w:val="00EE4E8C"/>
    <w:rsid w:val="00F045CE"/>
    <w:rsid w:val="00F6507A"/>
    <w:rsid w:val="00F84C9B"/>
    <w:rsid w:val="00F94F93"/>
    <w:rsid w:val="00FB3C4C"/>
    <w:rsid w:val="00FB5AF2"/>
    <w:rsid w:val="00FC43F3"/>
    <w:rsid w:val="00FE5173"/>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5FA5"/>
  <w15:chartTrackingRefBased/>
  <w15:docId w15:val="{97424409-A3BB-46D5-ACE2-82318F54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1D"/>
  </w:style>
  <w:style w:type="paragraph" w:styleId="Heading1">
    <w:name w:val="heading 1"/>
    <w:basedOn w:val="Normal"/>
    <w:next w:val="Normal"/>
    <w:link w:val="Heading1Char"/>
    <w:uiPriority w:val="9"/>
    <w:qFormat/>
    <w:rsid w:val="0039061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9061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61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61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9061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9061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9061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9061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9061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61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90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61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61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9061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9061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9061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9061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9061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9061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9061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9061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9061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9061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9061D"/>
    <w:rPr>
      <w:color w:val="0E2841" w:themeColor="text2"/>
      <w:sz w:val="24"/>
      <w:szCs w:val="24"/>
    </w:rPr>
  </w:style>
  <w:style w:type="paragraph" w:styleId="ListParagraph">
    <w:name w:val="List Paragraph"/>
    <w:basedOn w:val="Normal"/>
    <w:uiPriority w:val="34"/>
    <w:qFormat/>
    <w:rsid w:val="00FE5173"/>
    <w:pPr>
      <w:ind w:left="720"/>
      <w:contextualSpacing/>
    </w:pPr>
  </w:style>
  <w:style w:type="character" w:styleId="IntenseEmphasis">
    <w:name w:val="Intense Emphasis"/>
    <w:basedOn w:val="DefaultParagraphFont"/>
    <w:uiPriority w:val="21"/>
    <w:qFormat/>
    <w:rsid w:val="0039061D"/>
    <w:rPr>
      <w:b/>
      <w:bCs/>
      <w:i/>
      <w:iCs/>
    </w:rPr>
  </w:style>
  <w:style w:type="paragraph" w:styleId="IntenseQuote">
    <w:name w:val="Intense Quote"/>
    <w:basedOn w:val="Normal"/>
    <w:next w:val="Normal"/>
    <w:link w:val="IntenseQuoteChar"/>
    <w:uiPriority w:val="30"/>
    <w:qFormat/>
    <w:rsid w:val="0039061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9061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9061D"/>
    <w:rPr>
      <w:b/>
      <w:bCs/>
      <w:smallCaps/>
      <w:color w:val="0E2841" w:themeColor="text2"/>
      <w:u w:val="single"/>
    </w:rPr>
  </w:style>
  <w:style w:type="paragraph" w:styleId="FootnoteText">
    <w:name w:val="footnote text"/>
    <w:basedOn w:val="Normal"/>
    <w:link w:val="FootnoteTextChar"/>
    <w:uiPriority w:val="99"/>
    <w:semiHidden/>
    <w:unhideWhenUsed/>
    <w:rsid w:val="00FE5173"/>
    <w:rPr>
      <w:sz w:val="20"/>
      <w:szCs w:val="20"/>
    </w:rPr>
  </w:style>
  <w:style w:type="character" w:customStyle="1" w:styleId="FootnoteTextChar">
    <w:name w:val="Footnote Text Char"/>
    <w:basedOn w:val="DefaultParagraphFont"/>
    <w:link w:val="FootnoteText"/>
    <w:uiPriority w:val="99"/>
    <w:semiHidden/>
    <w:rsid w:val="00FE5173"/>
    <w:rPr>
      <w:sz w:val="20"/>
      <w:szCs w:val="20"/>
    </w:rPr>
  </w:style>
  <w:style w:type="character" w:styleId="FootnoteReference">
    <w:name w:val="footnote reference"/>
    <w:basedOn w:val="DefaultParagraphFont"/>
    <w:uiPriority w:val="99"/>
    <w:semiHidden/>
    <w:unhideWhenUsed/>
    <w:rsid w:val="00FE5173"/>
    <w:rPr>
      <w:vertAlign w:val="superscript"/>
    </w:rPr>
  </w:style>
  <w:style w:type="paragraph" w:styleId="Caption">
    <w:name w:val="caption"/>
    <w:basedOn w:val="Normal"/>
    <w:next w:val="Normal"/>
    <w:uiPriority w:val="35"/>
    <w:semiHidden/>
    <w:unhideWhenUsed/>
    <w:qFormat/>
    <w:rsid w:val="0039061D"/>
    <w:pPr>
      <w:spacing w:line="240" w:lineRule="auto"/>
    </w:pPr>
    <w:rPr>
      <w:b/>
      <w:bCs/>
      <w:smallCaps/>
      <w:color w:val="0E2841" w:themeColor="text2"/>
    </w:rPr>
  </w:style>
  <w:style w:type="character" w:styleId="Strong">
    <w:name w:val="Strong"/>
    <w:basedOn w:val="DefaultParagraphFont"/>
    <w:uiPriority w:val="22"/>
    <w:qFormat/>
    <w:rsid w:val="0039061D"/>
    <w:rPr>
      <w:b/>
      <w:bCs/>
    </w:rPr>
  </w:style>
  <w:style w:type="character" w:styleId="Emphasis">
    <w:name w:val="Emphasis"/>
    <w:basedOn w:val="DefaultParagraphFont"/>
    <w:uiPriority w:val="20"/>
    <w:qFormat/>
    <w:rsid w:val="0039061D"/>
    <w:rPr>
      <w:i/>
      <w:iCs/>
    </w:rPr>
  </w:style>
  <w:style w:type="paragraph" w:styleId="NoSpacing">
    <w:name w:val="No Spacing"/>
    <w:uiPriority w:val="1"/>
    <w:qFormat/>
    <w:rsid w:val="0039061D"/>
    <w:pPr>
      <w:spacing w:after="0" w:line="240" w:lineRule="auto"/>
    </w:pPr>
  </w:style>
  <w:style w:type="character" w:styleId="SubtleEmphasis">
    <w:name w:val="Subtle Emphasis"/>
    <w:basedOn w:val="DefaultParagraphFont"/>
    <w:uiPriority w:val="19"/>
    <w:qFormat/>
    <w:rsid w:val="0039061D"/>
    <w:rPr>
      <w:i/>
      <w:iCs/>
      <w:color w:val="595959" w:themeColor="text1" w:themeTint="A6"/>
    </w:rPr>
  </w:style>
  <w:style w:type="character" w:styleId="SubtleReference">
    <w:name w:val="Subtle Reference"/>
    <w:basedOn w:val="DefaultParagraphFont"/>
    <w:uiPriority w:val="31"/>
    <w:qFormat/>
    <w:rsid w:val="0039061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9061D"/>
    <w:rPr>
      <w:b/>
      <w:bCs/>
      <w:smallCaps/>
      <w:spacing w:val="10"/>
    </w:rPr>
  </w:style>
  <w:style w:type="paragraph" w:styleId="TOCHeading">
    <w:name w:val="TOC Heading"/>
    <w:basedOn w:val="Heading1"/>
    <w:next w:val="Normal"/>
    <w:uiPriority w:val="39"/>
    <w:unhideWhenUsed/>
    <w:qFormat/>
    <w:rsid w:val="0039061D"/>
    <w:pPr>
      <w:outlineLvl w:val="9"/>
    </w:pPr>
  </w:style>
  <w:style w:type="paragraph" w:styleId="Revision">
    <w:name w:val="Revision"/>
    <w:hidden/>
    <w:uiPriority w:val="99"/>
    <w:semiHidden/>
    <w:rsid w:val="00364F67"/>
    <w:pPr>
      <w:spacing w:after="0" w:line="240" w:lineRule="auto"/>
    </w:pPr>
  </w:style>
  <w:style w:type="paragraph" w:styleId="EndnoteText">
    <w:name w:val="endnote text"/>
    <w:basedOn w:val="Normal"/>
    <w:link w:val="EndnoteTextChar"/>
    <w:uiPriority w:val="99"/>
    <w:semiHidden/>
    <w:unhideWhenUsed/>
    <w:rsid w:val="006810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049"/>
    <w:rPr>
      <w:sz w:val="20"/>
      <w:szCs w:val="20"/>
    </w:rPr>
  </w:style>
  <w:style w:type="character" w:styleId="EndnoteReference">
    <w:name w:val="endnote reference"/>
    <w:basedOn w:val="DefaultParagraphFont"/>
    <w:uiPriority w:val="99"/>
    <w:semiHidden/>
    <w:unhideWhenUsed/>
    <w:rsid w:val="00681049"/>
    <w:rPr>
      <w:vertAlign w:val="superscript"/>
    </w:rPr>
  </w:style>
  <w:style w:type="character" w:styleId="Hyperlink">
    <w:name w:val="Hyperlink"/>
    <w:basedOn w:val="DefaultParagraphFont"/>
    <w:uiPriority w:val="99"/>
    <w:unhideWhenUsed/>
    <w:rsid w:val="00405585"/>
    <w:rPr>
      <w:color w:val="467886" w:themeColor="hyperlink"/>
      <w:u w:val="single"/>
    </w:rPr>
  </w:style>
  <w:style w:type="character" w:styleId="UnresolvedMention">
    <w:name w:val="Unresolved Mention"/>
    <w:basedOn w:val="DefaultParagraphFont"/>
    <w:uiPriority w:val="99"/>
    <w:semiHidden/>
    <w:unhideWhenUsed/>
    <w:rsid w:val="00405585"/>
    <w:rPr>
      <w:color w:val="605E5C"/>
      <w:shd w:val="clear" w:color="auto" w:fill="E1DFDD"/>
    </w:rPr>
  </w:style>
  <w:style w:type="paragraph" w:styleId="TOC1">
    <w:name w:val="toc 1"/>
    <w:basedOn w:val="Normal"/>
    <w:next w:val="Normal"/>
    <w:autoRedefine/>
    <w:uiPriority w:val="39"/>
    <w:unhideWhenUsed/>
    <w:rsid w:val="00C76BFB"/>
    <w:pPr>
      <w:spacing w:after="100"/>
    </w:pPr>
  </w:style>
  <w:style w:type="paragraph" w:styleId="TOC2">
    <w:name w:val="toc 2"/>
    <w:basedOn w:val="Normal"/>
    <w:next w:val="Normal"/>
    <w:autoRedefine/>
    <w:uiPriority w:val="39"/>
    <w:unhideWhenUsed/>
    <w:rsid w:val="00C76B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e.gov/ag/consumer-protection/consumer-help-topics/housing/home-construction-and-repair" TargetMode="External"/><Relationship Id="rId13" Type="http://schemas.openxmlformats.org/officeDocument/2006/relationships/hyperlink" Target="https://maine.gov/ag/consumer-protection/consumer-help-topics/consumer-complai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ine.gov/ag/consumer-protection/consumer-help-topics/consumer-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t.web.maine.gov/ag/online-services/file-a-consumer-complaint-and-request-medi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at.web.maine.gov/ag/online-services/file-a-consumer-complaint-and-request-mediation" TargetMode="External"/><Relationship Id="rId4" Type="http://schemas.openxmlformats.org/officeDocument/2006/relationships/settings" Target="settings.xml"/><Relationship Id="rId9" Type="http://schemas.openxmlformats.org/officeDocument/2006/relationships/hyperlink" Target="https://maine.gov/ag/consumer-protection/consumer-help-topics/housing/home-construction-and-repa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A50FC-52F0-4CEA-BDA0-88E227FC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Door-to-Door Sales</dc:title>
  <dc:subject/>
  <dc:creator>Devine, Michael</dc:creator>
  <cp:keywords/>
  <dc:description/>
  <cp:lastModifiedBy>Olson, Jules M</cp:lastModifiedBy>
  <cp:revision>4</cp:revision>
  <dcterms:created xsi:type="dcterms:W3CDTF">2026-04-14T20:36:00Z</dcterms:created>
  <dcterms:modified xsi:type="dcterms:W3CDTF">2026-04-23T20:31:00Z</dcterms:modified>
</cp:coreProperties>
</file>