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3D" w:rsidRPr="00236ACD" w:rsidRDefault="00E7662F" w:rsidP="00E7662F">
      <w:pPr>
        <w:pStyle w:val="DefaultText"/>
        <w:ind w:left="1440" w:hanging="1440"/>
        <w:rPr>
          <w:b/>
          <w:sz w:val="22"/>
          <w:szCs w:val="22"/>
        </w:rPr>
      </w:pPr>
      <w:r w:rsidRPr="00236ACD">
        <w:rPr>
          <w:b/>
          <w:sz w:val="22"/>
          <w:szCs w:val="22"/>
        </w:rPr>
        <w:t>94-591</w:t>
      </w:r>
      <w:r w:rsidRPr="00236AC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MOTOR CARRIER REVIEW BOARD</w:t>
      </w:r>
    </w:p>
    <w:p w:rsidR="0042323D" w:rsidRPr="00236ACD" w:rsidRDefault="0042323D" w:rsidP="00E7662F">
      <w:pPr>
        <w:pStyle w:val="DefaultText"/>
        <w:rPr>
          <w:b/>
          <w:sz w:val="22"/>
          <w:szCs w:val="22"/>
        </w:rPr>
      </w:pPr>
    </w:p>
    <w:p w:rsidR="0042323D" w:rsidRPr="00236ACD" w:rsidRDefault="00E7662F" w:rsidP="00E7662F">
      <w:pPr>
        <w:pStyle w:val="DefaultText"/>
        <w:ind w:left="1440" w:hanging="1440"/>
        <w:rPr>
          <w:sz w:val="22"/>
          <w:szCs w:val="22"/>
        </w:rPr>
      </w:pPr>
      <w:r w:rsidRPr="00236ACD">
        <w:rPr>
          <w:b/>
          <w:sz w:val="22"/>
          <w:szCs w:val="22"/>
        </w:rPr>
        <w:t>Chapter 1:</w:t>
      </w:r>
      <w:r w:rsidRPr="00236AC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BYLAWS OF THE MAINE MOTOR CARRIER REVIEW BOARD</w:t>
      </w:r>
    </w:p>
    <w:p w:rsidR="0042323D" w:rsidRPr="00236ACD" w:rsidRDefault="0042323D" w:rsidP="00E7662F">
      <w:pPr>
        <w:pStyle w:val="DefaultText"/>
        <w:pBdr>
          <w:bottom w:val="single" w:sz="4" w:space="1" w:color="auto"/>
        </w:pBdr>
        <w:rPr>
          <w:sz w:val="22"/>
          <w:szCs w:val="22"/>
        </w:rPr>
      </w:pPr>
    </w:p>
    <w:p w:rsidR="0042323D" w:rsidRPr="00236ACD" w:rsidRDefault="0042323D" w:rsidP="00E7662F">
      <w:pPr>
        <w:pStyle w:val="DefaultText"/>
        <w:rPr>
          <w:sz w:val="22"/>
          <w:szCs w:val="22"/>
        </w:rPr>
      </w:pPr>
    </w:p>
    <w:p w:rsidR="0042323D" w:rsidRPr="00236ACD" w:rsidRDefault="0042323D" w:rsidP="00E7662F">
      <w:pPr>
        <w:pStyle w:val="DefaultText"/>
        <w:rPr>
          <w:sz w:val="22"/>
          <w:szCs w:val="22"/>
        </w:rPr>
      </w:pPr>
      <w:r w:rsidRPr="007D5A33">
        <w:rPr>
          <w:sz w:val="22"/>
          <w:szCs w:val="22"/>
        </w:rPr>
        <w:t>SUMMARY</w:t>
      </w:r>
      <w:r w:rsidRPr="00236ACD">
        <w:rPr>
          <w:sz w:val="22"/>
          <w:szCs w:val="22"/>
        </w:rPr>
        <w:t xml:space="preserve">: This chapter contains the </w:t>
      </w:r>
      <w:r w:rsidR="00990916" w:rsidRPr="00236ACD">
        <w:rPr>
          <w:sz w:val="22"/>
          <w:szCs w:val="22"/>
        </w:rPr>
        <w:t>b</w:t>
      </w:r>
      <w:r w:rsidRPr="00236ACD">
        <w:rPr>
          <w:sz w:val="22"/>
          <w:szCs w:val="22"/>
        </w:rPr>
        <w:t xml:space="preserve">ylaws </w:t>
      </w:r>
      <w:r w:rsidR="00990916" w:rsidRPr="00236ACD">
        <w:rPr>
          <w:sz w:val="22"/>
          <w:szCs w:val="22"/>
        </w:rPr>
        <w:t>g</w:t>
      </w:r>
      <w:r w:rsidRPr="00236ACD">
        <w:rPr>
          <w:sz w:val="22"/>
          <w:szCs w:val="22"/>
        </w:rPr>
        <w:t xml:space="preserve">overning the </w:t>
      </w:r>
      <w:r w:rsidR="00990916" w:rsidRPr="00236ACD">
        <w:rPr>
          <w:sz w:val="22"/>
          <w:szCs w:val="22"/>
        </w:rPr>
        <w:t>i</w:t>
      </w:r>
      <w:r w:rsidRPr="00236ACD">
        <w:rPr>
          <w:sz w:val="22"/>
          <w:szCs w:val="22"/>
        </w:rPr>
        <w:t xml:space="preserve">nternal </w:t>
      </w:r>
      <w:r w:rsidR="00990916" w:rsidRPr="00236ACD">
        <w:rPr>
          <w:sz w:val="22"/>
          <w:szCs w:val="22"/>
        </w:rPr>
        <w:t>m</w:t>
      </w:r>
      <w:r w:rsidRPr="00236ACD">
        <w:rPr>
          <w:sz w:val="22"/>
          <w:szCs w:val="22"/>
        </w:rPr>
        <w:t>anagement of the Maine Motor Carrier Review Board as required by P</w:t>
      </w:r>
      <w:r w:rsidR="00CF13D5">
        <w:rPr>
          <w:sz w:val="22"/>
          <w:szCs w:val="22"/>
        </w:rPr>
        <w:t xml:space="preserve">. </w:t>
      </w:r>
      <w:r w:rsidRPr="00236ACD">
        <w:rPr>
          <w:sz w:val="22"/>
          <w:szCs w:val="22"/>
        </w:rPr>
        <w:t>L</w:t>
      </w:r>
      <w:r w:rsidR="00CF13D5">
        <w:rPr>
          <w:sz w:val="22"/>
          <w:szCs w:val="22"/>
        </w:rPr>
        <w:t>.</w:t>
      </w:r>
      <w:r w:rsidRPr="00236ACD">
        <w:rPr>
          <w:sz w:val="22"/>
          <w:szCs w:val="22"/>
        </w:rPr>
        <w:t xml:space="preserve"> 1995, Chapter 376.</w:t>
      </w:r>
    </w:p>
    <w:p w:rsidR="0042323D" w:rsidRPr="00236ACD" w:rsidRDefault="0042323D" w:rsidP="00E7662F">
      <w:pPr>
        <w:pStyle w:val="DefaultText"/>
        <w:pBdr>
          <w:bottom w:val="single" w:sz="4" w:space="1" w:color="auto"/>
        </w:pBdr>
        <w:rPr>
          <w:sz w:val="22"/>
          <w:szCs w:val="22"/>
        </w:rPr>
      </w:pPr>
    </w:p>
    <w:p w:rsidR="0042323D" w:rsidRPr="00236ACD" w:rsidRDefault="0042323D" w:rsidP="00E7662F">
      <w:pPr>
        <w:pStyle w:val="DefaultText"/>
        <w:rPr>
          <w:sz w:val="22"/>
          <w:szCs w:val="22"/>
        </w:rPr>
      </w:pPr>
    </w:p>
    <w:p w:rsidR="0042323D" w:rsidRPr="00236ACD" w:rsidRDefault="0042323D" w:rsidP="00E7662F">
      <w:pPr>
        <w:pStyle w:val="DefaultText"/>
        <w:rPr>
          <w:sz w:val="22"/>
          <w:szCs w:val="22"/>
        </w:rPr>
      </w:pPr>
    </w:p>
    <w:p w:rsidR="0042323D" w:rsidRPr="00236ACD" w:rsidRDefault="008037A2" w:rsidP="00E7662F">
      <w:pPr>
        <w:pStyle w:val="DefaultText"/>
        <w:rPr>
          <w:b/>
          <w:sz w:val="22"/>
          <w:szCs w:val="22"/>
          <w:u w:val="single"/>
        </w:rPr>
      </w:pPr>
      <w:r w:rsidRPr="00236ACD">
        <w:rPr>
          <w:b/>
          <w:sz w:val="22"/>
          <w:szCs w:val="22"/>
        </w:rPr>
        <w:t>SECTION</w:t>
      </w:r>
      <w:r w:rsidR="00861902" w:rsidRPr="00236ACD">
        <w:rPr>
          <w:b/>
          <w:sz w:val="22"/>
          <w:szCs w:val="22"/>
        </w:rPr>
        <w:t xml:space="preserve"> 1.</w:t>
      </w:r>
      <w:r w:rsidR="0029056D">
        <w:rPr>
          <w:b/>
          <w:sz w:val="22"/>
          <w:szCs w:val="22"/>
        </w:rPr>
        <w:tab/>
      </w:r>
      <w:r w:rsidR="009053C6" w:rsidRPr="00236ACD">
        <w:rPr>
          <w:b/>
          <w:sz w:val="22"/>
          <w:szCs w:val="22"/>
        </w:rPr>
        <w:t>Powers and Duties</w:t>
      </w:r>
    </w:p>
    <w:p w:rsidR="0042323D" w:rsidRPr="00236ACD" w:rsidRDefault="0042323D" w:rsidP="00E7662F">
      <w:pPr>
        <w:pStyle w:val="DefaultText"/>
        <w:rPr>
          <w:sz w:val="22"/>
          <w:szCs w:val="22"/>
        </w:rPr>
      </w:pPr>
    </w:p>
    <w:p w:rsidR="00E73C07" w:rsidRDefault="009D54B8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372CD4">
        <w:rPr>
          <w:sz w:val="22"/>
          <w:szCs w:val="22"/>
        </w:rPr>
        <w:t xml:space="preserve">The </w:t>
      </w:r>
      <w:r w:rsidR="000823F4" w:rsidRPr="00372CD4">
        <w:rPr>
          <w:sz w:val="22"/>
          <w:szCs w:val="22"/>
        </w:rPr>
        <w:t xml:space="preserve">seven-member </w:t>
      </w:r>
      <w:r w:rsidR="0042323D" w:rsidRPr="00372CD4">
        <w:rPr>
          <w:sz w:val="22"/>
          <w:szCs w:val="22"/>
        </w:rPr>
        <w:t>Board was created by the 1st regular session of the 117th Legislature to review the records of motor carriers with significant and rep</w:t>
      </w:r>
      <w:r w:rsidR="00E73C07" w:rsidRPr="003E6109">
        <w:rPr>
          <w:sz w:val="22"/>
          <w:szCs w:val="22"/>
        </w:rPr>
        <w:t>eated motor carrier violations.</w:t>
      </w:r>
      <w:r w:rsidR="007E09DE" w:rsidRPr="00AC7800">
        <w:rPr>
          <w:sz w:val="22"/>
          <w:szCs w:val="22"/>
        </w:rPr>
        <w:t xml:space="preserve"> </w:t>
      </w:r>
      <w:r w:rsidR="000823F4" w:rsidRPr="00AC7800">
        <w:rPr>
          <w:sz w:val="22"/>
          <w:szCs w:val="22"/>
        </w:rPr>
        <w:t xml:space="preserve">The Board’s composition as well as </w:t>
      </w:r>
      <w:r w:rsidR="00144D77" w:rsidRPr="00AC7800">
        <w:rPr>
          <w:sz w:val="22"/>
          <w:szCs w:val="22"/>
        </w:rPr>
        <w:t>its</w:t>
      </w:r>
      <w:r w:rsidR="000823F4" w:rsidRPr="00AC7800">
        <w:rPr>
          <w:sz w:val="22"/>
          <w:szCs w:val="22"/>
        </w:rPr>
        <w:t xml:space="preserve"> powers and duties</w:t>
      </w:r>
      <w:r w:rsidR="0035682A" w:rsidRPr="00AC7800">
        <w:rPr>
          <w:sz w:val="22"/>
          <w:szCs w:val="22"/>
        </w:rPr>
        <w:t xml:space="preserve"> are defined in 29-A M.R.S. §</w:t>
      </w:r>
      <w:r w:rsidR="000823F4" w:rsidRPr="007307FF">
        <w:rPr>
          <w:sz w:val="22"/>
          <w:szCs w:val="22"/>
        </w:rPr>
        <w:t>562.</w:t>
      </w:r>
    </w:p>
    <w:p w:rsidR="007307FF" w:rsidRDefault="007307FF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</w:p>
    <w:p w:rsidR="007307FF" w:rsidRPr="00236ACD" w:rsidRDefault="007307FF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7307FF">
        <w:rPr>
          <w:sz w:val="22"/>
          <w:szCs w:val="22"/>
        </w:rPr>
        <w:t xml:space="preserve">The Board shall advise the Secretary of State on matters related to motor carrier safety, including advising the Secretary of State on a methodology for the Secretary to use to review motor carriers for the purpose of suspending carriers with </w:t>
      </w:r>
      <w:r w:rsidR="009022A5">
        <w:rPr>
          <w:sz w:val="22"/>
          <w:szCs w:val="22"/>
        </w:rPr>
        <w:t>significant and repeated motor carrier violations</w:t>
      </w:r>
      <w:r w:rsidRPr="007307FF">
        <w:rPr>
          <w:sz w:val="22"/>
          <w:szCs w:val="22"/>
        </w:rPr>
        <w:t>.</w:t>
      </w:r>
      <w:r w:rsidR="007D5A33">
        <w:rPr>
          <w:sz w:val="22"/>
          <w:szCs w:val="22"/>
        </w:rPr>
        <w:t xml:space="preserve"> </w:t>
      </w:r>
    </w:p>
    <w:p w:rsidR="009053C6" w:rsidRPr="00236ACD" w:rsidRDefault="009053C6" w:rsidP="00E7662F">
      <w:pPr>
        <w:pStyle w:val="DefaultText"/>
        <w:ind w:left="720"/>
        <w:rPr>
          <w:sz w:val="22"/>
          <w:szCs w:val="22"/>
        </w:rPr>
      </w:pPr>
    </w:p>
    <w:p w:rsidR="00BC2772" w:rsidRDefault="007307FF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9D54B8" w:rsidRPr="00236ACD">
        <w:rPr>
          <w:sz w:val="22"/>
          <w:szCs w:val="22"/>
        </w:rPr>
        <w:t>.</w:t>
      </w:r>
      <w:r w:rsidR="009D54B8" w:rsidRPr="00236ACD">
        <w:rPr>
          <w:sz w:val="22"/>
          <w:szCs w:val="22"/>
        </w:rPr>
        <w:tab/>
      </w:r>
      <w:r w:rsidR="00447BAE">
        <w:rPr>
          <w:sz w:val="22"/>
          <w:szCs w:val="22"/>
        </w:rPr>
        <w:t xml:space="preserve">The </w:t>
      </w:r>
      <w:r w:rsidR="00447BAE" w:rsidRPr="00447BAE">
        <w:rPr>
          <w:sz w:val="22"/>
          <w:szCs w:val="22"/>
        </w:rPr>
        <w:t xml:space="preserve">Board shall hold a hearing upon the appeal of any motor carrier </w:t>
      </w:r>
      <w:r w:rsidR="00BC2772">
        <w:rPr>
          <w:sz w:val="22"/>
          <w:szCs w:val="22"/>
        </w:rPr>
        <w:t xml:space="preserve">(a) </w:t>
      </w:r>
      <w:r w:rsidR="00F67E0F" w:rsidRPr="00F67E0F">
        <w:rPr>
          <w:sz w:val="22"/>
          <w:szCs w:val="22"/>
        </w:rPr>
        <w:t xml:space="preserve">whose privilege to operate a commercial motor vehicle has been suspended by the Secretary of State </w:t>
      </w:r>
      <w:r w:rsidR="00F67E0F">
        <w:rPr>
          <w:sz w:val="22"/>
          <w:szCs w:val="22"/>
        </w:rPr>
        <w:t xml:space="preserve">upon the recommendation </w:t>
      </w:r>
      <w:r w:rsidR="00447BAE" w:rsidRPr="00447BAE">
        <w:rPr>
          <w:sz w:val="22"/>
          <w:szCs w:val="22"/>
        </w:rPr>
        <w:t xml:space="preserve">by the Bureau </w:t>
      </w:r>
      <w:r w:rsidR="00F67E0F">
        <w:rPr>
          <w:sz w:val="22"/>
          <w:szCs w:val="22"/>
        </w:rPr>
        <w:t xml:space="preserve">of Motor </w:t>
      </w:r>
      <w:r w:rsidR="00C8071E">
        <w:rPr>
          <w:sz w:val="22"/>
          <w:szCs w:val="22"/>
        </w:rPr>
        <w:t>Vehicles (</w:t>
      </w:r>
      <w:r w:rsidR="00F67E0F">
        <w:rPr>
          <w:sz w:val="22"/>
          <w:szCs w:val="22"/>
        </w:rPr>
        <w:t xml:space="preserve">“Bureau”) </w:t>
      </w:r>
      <w:r w:rsidR="00447BAE" w:rsidRPr="00447BAE">
        <w:rPr>
          <w:sz w:val="22"/>
          <w:szCs w:val="22"/>
        </w:rPr>
        <w:t xml:space="preserve">or </w:t>
      </w:r>
      <w:r w:rsidR="00BC2772">
        <w:rPr>
          <w:sz w:val="22"/>
          <w:szCs w:val="22"/>
        </w:rPr>
        <w:t xml:space="preserve">(b) </w:t>
      </w:r>
      <w:r w:rsidR="00447BAE" w:rsidRPr="00447BAE">
        <w:rPr>
          <w:sz w:val="22"/>
          <w:szCs w:val="22"/>
        </w:rPr>
        <w:t xml:space="preserve">whose privilege to operate a commercial motor vehicle has been suspended by the Secretary of State pursuant to section </w:t>
      </w:r>
      <w:r w:rsidR="00FB1057">
        <w:rPr>
          <w:sz w:val="22"/>
          <w:szCs w:val="22"/>
        </w:rPr>
        <w:t xml:space="preserve">29-A M.R.S. </w:t>
      </w:r>
      <w:r w:rsidR="007D5A33" w:rsidRPr="007D5A33">
        <w:rPr>
          <w:sz w:val="22"/>
          <w:szCs w:val="22"/>
        </w:rPr>
        <w:t>§</w:t>
      </w:r>
      <w:r w:rsidR="00447BAE" w:rsidRPr="00447BAE">
        <w:rPr>
          <w:sz w:val="22"/>
          <w:szCs w:val="22"/>
        </w:rPr>
        <w:t>2458 (2).</w:t>
      </w:r>
      <w:r w:rsidR="007D5A33">
        <w:rPr>
          <w:sz w:val="22"/>
          <w:szCs w:val="22"/>
        </w:rPr>
        <w:t xml:space="preserve"> </w:t>
      </w:r>
      <w:r w:rsidR="007C7FD0">
        <w:rPr>
          <w:sz w:val="22"/>
          <w:szCs w:val="22"/>
        </w:rPr>
        <w:t xml:space="preserve">The </w:t>
      </w:r>
      <w:r w:rsidR="00447BAE" w:rsidRPr="00447BAE">
        <w:rPr>
          <w:sz w:val="22"/>
          <w:szCs w:val="22"/>
        </w:rPr>
        <w:t>Board’s decision shall include a recommendation that the Secr</w:t>
      </w:r>
      <w:r w:rsidR="007C7FD0">
        <w:rPr>
          <w:sz w:val="22"/>
          <w:szCs w:val="22"/>
        </w:rPr>
        <w:t xml:space="preserve">etary of </w:t>
      </w:r>
      <w:r w:rsidR="00C8071E">
        <w:rPr>
          <w:sz w:val="22"/>
          <w:szCs w:val="22"/>
        </w:rPr>
        <w:t xml:space="preserve">State </w:t>
      </w:r>
      <w:r w:rsidR="00C8071E" w:rsidRPr="00447BAE">
        <w:rPr>
          <w:sz w:val="22"/>
          <w:szCs w:val="22"/>
        </w:rPr>
        <w:t>uphold</w:t>
      </w:r>
      <w:r w:rsidR="00447BAE" w:rsidRPr="00447BAE">
        <w:rPr>
          <w:sz w:val="22"/>
          <w:szCs w:val="22"/>
        </w:rPr>
        <w:t>, modify or rescind a suspension.</w:t>
      </w:r>
      <w:r w:rsidR="007D5A33">
        <w:rPr>
          <w:sz w:val="22"/>
          <w:szCs w:val="22"/>
        </w:rPr>
        <w:t xml:space="preserve"> </w:t>
      </w:r>
      <w:r w:rsidR="00447BAE" w:rsidRPr="00447BAE">
        <w:rPr>
          <w:sz w:val="22"/>
          <w:szCs w:val="22"/>
        </w:rPr>
        <w:t>The hearing shall be conducted in accordance with</w:t>
      </w:r>
      <w:r w:rsidR="009022A5">
        <w:rPr>
          <w:sz w:val="22"/>
          <w:szCs w:val="22"/>
        </w:rPr>
        <w:t xml:space="preserve"> the</w:t>
      </w:r>
      <w:r w:rsidR="00447BAE" w:rsidRPr="00447BAE">
        <w:rPr>
          <w:sz w:val="22"/>
          <w:szCs w:val="22"/>
        </w:rPr>
        <w:t xml:space="preserve"> </w:t>
      </w:r>
      <w:r w:rsidR="00447BAE" w:rsidRPr="00820B55">
        <w:rPr>
          <w:i/>
          <w:sz w:val="22"/>
          <w:szCs w:val="22"/>
        </w:rPr>
        <w:t>Maine Administrative Procedure Act</w:t>
      </w:r>
      <w:r w:rsidR="00F67E0F">
        <w:rPr>
          <w:sz w:val="22"/>
          <w:szCs w:val="22"/>
        </w:rPr>
        <w:t xml:space="preserve"> and rules </w:t>
      </w:r>
      <w:r w:rsidR="00C8071E">
        <w:rPr>
          <w:sz w:val="22"/>
          <w:szCs w:val="22"/>
        </w:rPr>
        <w:t>adopted</w:t>
      </w:r>
      <w:r w:rsidR="00F67E0F">
        <w:rPr>
          <w:sz w:val="22"/>
          <w:szCs w:val="22"/>
        </w:rPr>
        <w:t xml:space="preserve"> by the Board</w:t>
      </w:r>
      <w:r w:rsidR="00447BAE" w:rsidRPr="00447BAE">
        <w:rPr>
          <w:sz w:val="22"/>
          <w:szCs w:val="22"/>
        </w:rPr>
        <w:t>.</w:t>
      </w:r>
    </w:p>
    <w:p w:rsidR="00927926" w:rsidRDefault="00927926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</w:p>
    <w:p w:rsidR="00E73C07" w:rsidRPr="00236ACD" w:rsidRDefault="007307FF" w:rsidP="00820B55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820B55">
        <w:rPr>
          <w:sz w:val="22"/>
          <w:szCs w:val="22"/>
        </w:rPr>
        <w:t>.</w:t>
      </w:r>
      <w:r w:rsidR="00927926">
        <w:rPr>
          <w:sz w:val="22"/>
          <w:szCs w:val="22"/>
        </w:rPr>
        <w:tab/>
      </w:r>
      <w:r>
        <w:rPr>
          <w:sz w:val="22"/>
          <w:szCs w:val="22"/>
        </w:rPr>
        <w:t xml:space="preserve">Upon the request of the Bureau or a motor carrier, the Board shall hold a hearing to determine whether a motor carrier has satisfied conditions imposed by the Secretary of State for reinstatement of the motor carrier’s privilege to operate a commercial motor vehicle. </w:t>
      </w:r>
      <w:r w:rsidRPr="007307FF">
        <w:rPr>
          <w:sz w:val="22"/>
          <w:szCs w:val="22"/>
        </w:rPr>
        <w:t>The Board’s decision shall include a recommendation that the Secretary of State</w:t>
      </w:r>
      <w:r w:rsidR="007D5A33">
        <w:rPr>
          <w:sz w:val="22"/>
          <w:szCs w:val="22"/>
        </w:rPr>
        <w:t xml:space="preserve"> </w:t>
      </w:r>
      <w:r w:rsidR="00AA5446">
        <w:rPr>
          <w:sz w:val="22"/>
          <w:szCs w:val="22"/>
        </w:rPr>
        <w:t>reinstate, establish the conditions for, or deny the request for reinstatement.</w:t>
      </w:r>
      <w:r w:rsidR="007D5A33">
        <w:rPr>
          <w:sz w:val="22"/>
          <w:szCs w:val="22"/>
        </w:rPr>
        <w:t xml:space="preserve"> </w:t>
      </w:r>
    </w:p>
    <w:p w:rsidR="00CF13D5" w:rsidRDefault="00CF13D5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</w:p>
    <w:p w:rsidR="0042323D" w:rsidRPr="00236ACD" w:rsidRDefault="00927926" w:rsidP="009D54B8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9D54B8" w:rsidRPr="00236ACD">
        <w:rPr>
          <w:sz w:val="22"/>
          <w:szCs w:val="22"/>
        </w:rPr>
        <w:t>.</w:t>
      </w:r>
      <w:r w:rsidR="009D54B8"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The Board may utilize information provided by the Government of the United States</w:t>
      </w:r>
      <w:r w:rsidR="00CF13D5">
        <w:rPr>
          <w:sz w:val="22"/>
          <w:szCs w:val="22"/>
        </w:rPr>
        <w:t>;</w:t>
      </w:r>
      <w:r w:rsidR="0042323D" w:rsidRPr="00236ACD">
        <w:rPr>
          <w:sz w:val="22"/>
          <w:szCs w:val="22"/>
        </w:rPr>
        <w:t xml:space="preserve"> of </w:t>
      </w:r>
      <w:r w:rsidR="006D7148">
        <w:rPr>
          <w:sz w:val="22"/>
          <w:szCs w:val="22"/>
        </w:rPr>
        <w:t xml:space="preserve">the State of </w:t>
      </w:r>
      <w:r w:rsidR="0042323D" w:rsidRPr="00236ACD">
        <w:rPr>
          <w:sz w:val="22"/>
          <w:szCs w:val="22"/>
        </w:rPr>
        <w:t>Maine</w:t>
      </w:r>
      <w:r w:rsidR="00B062C4">
        <w:rPr>
          <w:sz w:val="22"/>
          <w:szCs w:val="22"/>
        </w:rPr>
        <w:t>,</w:t>
      </w:r>
      <w:r w:rsidR="00CF13D5">
        <w:rPr>
          <w:sz w:val="22"/>
          <w:szCs w:val="22"/>
        </w:rPr>
        <w:t xml:space="preserve"> or</w:t>
      </w:r>
      <w:r w:rsidR="0042323D" w:rsidRPr="00236ACD">
        <w:rPr>
          <w:sz w:val="22"/>
          <w:szCs w:val="22"/>
        </w:rPr>
        <w:t xml:space="preserve"> any other state</w:t>
      </w:r>
      <w:r w:rsidR="001B3A50" w:rsidRPr="00236ACD">
        <w:rPr>
          <w:sz w:val="22"/>
          <w:szCs w:val="22"/>
        </w:rPr>
        <w:t>;</w:t>
      </w:r>
      <w:r w:rsidR="0042323D" w:rsidRPr="00236ACD">
        <w:rPr>
          <w:sz w:val="22"/>
          <w:szCs w:val="22"/>
        </w:rPr>
        <w:t xml:space="preserve"> </w:t>
      </w:r>
      <w:r w:rsidR="001B3A50" w:rsidRPr="00236ACD">
        <w:rPr>
          <w:sz w:val="22"/>
          <w:szCs w:val="22"/>
        </w:rPr>
        <w:t xml:space="preserve">the </w:t>
      </w:r>
      <w:r w:rsidR="0042323D" w:rsidRPr="00236ACD">
        <w:rPr>
          <w:sz w:val="22"/>
          <w:szCs w:val="22"/>
        </w:rPr>
        <w:t xml:space="preserve">Government of Canada, or any Canadian Province; </w:t>
      </w:r>
      <w:r w:rsidR="00CF13D5">
        <w:rPr>
          <w:sz w:val="22"/>
          <w:szCs w:val="22"/>
        </w:rPr>
        <w:t xml:space="preserve">and </w:t>
      </w:r>
      <w:r w:rsidR="0042323D" w:rsidRPr="00236ACD">
        <w:rPr>
          <w:sz w:val="22"/>
          <w:szCs w:val="22"/>
        </w:rPr>
        <w:t>any Department</w:t>
      </w:r>
      <w:r w:rsidR="006D7148">
        <w:rPr>
          <w:sz w:val="22"/>
          <w:szCs w:val="22"/>
        </w:rPr>
        <w:t>, or any other entity</w:t>
      </w:r>
      <w:r w:rsidR="0042323D" w:rsidRPr="00236ACD">
        <w:rPr>
          <w:sz w:val="22"/>
          <w:szCs w:val="22"/>
        </w:rPr>
        <w:t xml:space="preserve"> as needed to properly study the operations of a motor carrier under review.</w:t>
      </w:r>
    </w:p>
    <w:p w:rsidR="0042323D" w:rsidRDefault="0042323D" w:rsidP="00E7662F">
      <w:pPr>
        <w:pStyle w:val="DefaultText"/>
        <w:ind w:left="720"/>
        <w:rPr>
          <w:sz w:val="22"/>
          <w:szCs w:val="22"/>
        </w:rPr>
      </w:pPr>
    </w:p>
    <w:p w:rsidR="0035682A" w:rsidRPr="00236ACD" w:rsidRDefault="0035682A" w:rsidP="00E7662F">
      <w:pPr>
        <w:pStyle w:val="DefaultText"/>
        <w:ind w:left="720"/>
        <w:rPr>
          <w:sz w:val="22"/>
          <w:szCs w:val="22"/>
        </w:rPr>
      </w:pPr>
    </w:p>
    <w:p w:rsidR="0042323D" w:rsidRPr="00236ACD" w:rsidRDefault="008037A2" w:rsidP="00E7662F">
      <w:pPr>
        <w:pStyle w:val="DefaultText"/>
        <w:rPr>
          <w:sz w:val="22"/>
          <w:szCs w:val="22"/>
        </w:rPr>
      </w:pPr>
      <w:r w:rsidRPr="00236ACD">
        <w:rPr>
          <w:b/>
          <w:sz w:val="22"/>
          <w:szCs w:val="22"/>
        </w:rPr>
        <w:t>SECTION</w:t>
      </w:r>
      <w:r w:rsidR="00901689" w:rsidRPr="00236ACD">
        <w:rPr>
          <w:b/>
          <w:sz w:val="22"/>
          <w:szCs w:val="22"/>
        </w:rPr>
        <w:t xml:space="preserve"> 2.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Meetings</w:t>
      </w:r>
    </w:p>
    <w:p w:rsidR="0042323D" w:rsidRPr="00236ACD" w:rsidRDefault="0042323D" w:rsidP="00E7662F">
      <w:pPr>
        <w:pStyle w:val="DefaultText"/>
        <w:rPr>
          <w:sz w:val="22"/>
          <w:szCs w:val="22"/>
        </w:rPr>
      </w:pPr>
    </w:p>
    <w:p w:rsidR="00901689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The Board shall</w:t>
      </w:r>
      <w:r w:rsidR="007D5A33">
        <w:rPr>
          <w:sz w:val="22"/>
          <w:szCs w:val="22"/>
        </w:rPr>
        <w:t xml:space="preserve"> </w:t>
      </w:r>
      <w:r w:rsidR="0014349B">
        <w:rPr>
          <w:sz w:val="22"/>
          <w:szCs w:val="22"/>
        </w:rPr>
        <w:t>hold a hearing</w:t>
      </w:r>
      <w:r w:rsidR="0084406A">
        <w:rPr>
          <w:sz w:val="22"/>
          <w:szCs w:val="22"/>
        </w:rPr>
        <w:t xml:space="preserve"> no later than</w:t>
      </w:r>
      <w:r w:rsidR="0042323D" w:rsidRPr="00236ACD">
        <w:rPr>
          <w:sz w:val="22"/>
          <w:szCs w:val="22"/>
        </w:rPr>
        <w:t xml:space="preserve"> </w:t>
      </w:r>
      <w:r w:rsidR="00AA5446">
        <w:rPr>
          <w:sz w:val="22"/>
          <w:szCs w:val="22"/>
        </w:rPr>
        <w:t xml:space="preserve">thirty (30) days of receipt of an appeal by a motor carrier whose privilege to operate a commercial </w:t>
      </w:r>
      <w:r w:rsidR="0014349B">
        <w:rPr>
          <w:sz w:val="22"/>
          <w:szCs w:val="22"/>
        </w:rPr>
        <w:t xml:space="preserve">motor vehicle has been </w:t>
      </w:r>
      <w:r w:rsidR="00C8071E">
        <w:rPr>
          <w:sz w:val="22"/>
          <w:szCs w:val="22"/>
        </w:rPr>
        <w:t>suspended</w:t>
      </w:r>
      <w:r w:rsidR="0014349B">
        <w:rPr>
          <w:sz w:val="22"/>
          <w:szCs w:val="22"/>
        </w:rPr>
        <w:t xml:space="preserve"> by the Secretary of State</w:t>
      </w:r>
      <w:r w:rsidR="00CF13D5">
        <w:rPr>
          <w:sz w:val="22"/>
          <w:szCs w:val="22"/>
        </w:rPr>
        <w:t xml:space="preserve"> </w:t>
      </w:r>
      <w:r w:rsidR="0014349B">
        <w:rPr>
          <w:sz w:val="22"/>
          <w:szCs w:val="22"/>
        </w:rPr>
        <w:t xml:space="preserve">to determine whether to uphold, </w:t>
      </w:r>
      <w:r w:rsidR="00C8071E">
        <w:rPr>
          <w:sz w:val="22"/>
          <w:szCs w:val="22"/>
        </w:rPr>
        <w:t>modify</w:t>
      </w:r>
      <w:r w:rsidR="0014349B">
        <w:rPr>
          <w:sz w:val="22"/>
          <w:szCs w:val="22"/>
        </w:rPr>
        <w:t xml:space="preserve"> or rescind a suspension.</w:t>
      </w:r>
      <w:r w:rsidR="0042323D" w:rsidRPr="00236ACD">
        <w:rPr>
          <w:sz w:val="22"/>
          <w:szCs w:val="22"/>
        </w:rPr>
        <w:t xml:space="preserve"> The principal location will be at the Bureau</w:t>
      </w:r>
      <w:r w:rsidR="00CE1652">
        <w:rPr>
          <w:sz w:val="22"/>
          <w:szCs w:val="22"/>
        </w:rPr>
        <w:t>’s</w:t>
      </w:r>
      <w:r w:rsidR="0042323D" w:rsidRPr="00236ACD">
        <w:rPr>
          <w:sz w:val="22"/>
          <w:szCs w:val="22"/>
        </w:rPr>
        <w:t xml:space="preserve"> </w:t>
      </w:r>
      <w:r w:rsidR="00CE1652">
        <w:rPr>
          <w:sz w:val="22"/>
          <w:szCs w:val="22"/>
        </w:rPr>
        <w:t>main o</w:t>
      </w:r>
      <w:r w:rsidR="00901689" w:rsidRPr="00236ACD">
        <w:rPr>
          <w:sz w:val="22"/>
          <w:szCs w:val="22"/>
        </w:rPr>
        <w:t xml:space="preserve">ffice </w:t>
      </w:r>
      <w:r w:rsidR="0042323D" w:rsidRPr="00236ACD">
        <w:rPr>
          <w:sz w:val="22"/>
          <w:szCs w:val="22"/>
        </w:rPr>
        <w:t xml:space="preserve">in Augusta, but </w:t>
      </w:r>
      <w:r w:rsidR="0042323D" w:rsidRPr="00236ACD">
        <w:rPr>
          <w:sz w:val="22"/>
          <w:szCs w:val="22"/>
        </w:rPr>
        <w:lastRenderedPageBreak/>
        <w:t>meetings may be held in any location that is deemed convenient by a majority of the Board.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901689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2.</w:t>
      </w:r>
      <w:r w:rsidRPr="00236ACD">
        <w:rPr>
          <w:sz w:val="22"/>
          <w:szCs w:val="22"/>
        </w:rPr>
        <w:tab/>
      </w:r>
      <w:r w:rsidR="0014349B">
        <w:rPr>
          <w:sz w:val="22"/>
          <w:szCs w:val="22"/>
        </w:rPr>
        <w:t xml:space="preserve">The Board shall meet </w:t>
      </w:r>
      <w:r w:rsidR="00C8071E">
        <w:rPr>
          <w:sz w:val="22"/>
          <w:szCs w:val="22"/>
        </w:rPr>
        <w:t>quarterly</w:t>
      </w:r>
      <w:r w:rsidR="00F67E0F">
        <w:rPr>
          <w:sz w:val="22"/>
          <w:szCs w:val="22"/>
        </w:rPr>
        <w:t xml:space="preserve"> or more </w:t>
      </w:r>
      <w:r w:rsidR="00C8071E">
        <w:rPr>
          <w:sz w:val="22"/>
          <w:szCs w:val="22"/>
        </w:rPr>
        <w:t>frequently as</w:t>
      </w:r>
      <w:r w:rsidR="00F67E0F">
        <w:rPr>
          <w:sz w:val="22"/>
          <w:szCs w:val="22"/>
        </w:rPr>
        <w:t xml:space="preserve"> may be</w:t>
      </w:r>
      <w:r w:rsidR="0014349B">
        <w:rPr>
          <w:sz w:val="22"/>
          <w:szCs w:val="22"/>
        </w:rPr>
        <w:t xml:space="preserve"> necessary to consider </w:t>
      </w:r>
      <w:r w:rsidR="00F67E0F">
        <w:rPr>
          <w:sz w:val="22"/>
          <w:szCs w:val="22"/>
        </w:rPr>
        <w:t xml:space="preserve">appeals and such </w:t>
      </w:r>
      <w:r w:rsidR="0014349B">
        <w:rPr>
          <w:sz w:val="22"/>
          <w:szCs w:val="22"/>
        </w:rPr>
        <w:t>other matters</w:t>
      </w:r>
      <w:r w:rsidR="00554C9E">
        <w:rPr>
          <w:sz w:val="22"/>
          <w:szCs w:val="22"/>
        </w:rPr>
        <w:t xml:space="preserve"> </w:t>
      </w:r>
      <w:r w:rsidR="00F67E0F">
        <w:rPr>
          <w:sz w:val="22"/>
          <w:szCs w:val="22"/>
        </w:rPr>
        <w:t xml:space="preserve">brought to its attention and are </w:t>
      </w:r>
      <w:r w:rsidR="00554C9E">
        <w:rPr>
          <w:sz w:val="22"/>
          <w:szCs w:val="22"/>
        </w:rPr>
        <w:t>related to motor carrier safety.</w:t>
      </w:r>
      <w:r w:rsidR="007D5A33">
        <w:rPr>
          <w:sz w:val="22"/>
          <w:szCs w:val="22"/>
        </w:rPr>
        <w:t xml:space="preserve"> </w:t>
      </w:r>
      <w:r w:rsidR="00C8071E">
        <w:rPr>
          <w:sz w:val="22"/>
          <w:szCs w:val="22"/>
        </w:rPr>
        <w:t xml:space="preserve">Subject to the provision of the </w:t>
      </w:r>
      <w:r w:rsidR="00C8071E" w:rsidRPr="00820B55">
        <w:rPr>
          <w:i/>
          <w:sz w:val="22"/>
          <w:szCs w:val="22"/>
        </w:rPr>
        <w:t>Fr</w:t>
      </w:r>
      <w:r w:rsidR="007D5A33" w:rsidRPr="00820B55">
        <w:rPr>
          <w:i/>
          <w:sz w:val="22"/>
          <w:szCs w:val="22"/>
        </w:rPr>
        <w:t>eedom of Access Act</w:t>
      </w:r>
      <w:r w:rsidR="007D5A33">
        <w:rPr>
          <w:sz w:val="22"/>
          <w:szCs w:val="22"/>
        </w:rPr>
        <w:t>, 1 M.R.S. §401, et</w:t>
      </w:r>
      <w:r w:rsidR="00C8071E">
        <w:rPr>
          <w:sz w:val="22"/>
          <w:szCs w:val="22"/>
        </w:rPr>
        <w:t xml:space="preserve"> al. </w:t>
      </w:r>
      <w:r w:rsidR="00554C9E">
        <w:rPr>
          <w:sz w:val="22"/>
          <w:szCs w:val="22"/>
        </w:rPr>
        <w:t>seq. Board members may participate in the meeting by teleconference.</w:t>
      </w:r>
      <w:r w:rsidR="007D5A33">
        <w:rPr>
          <w:sz w:val="22"/>
          <w:szCs w:val="22"/>
        </w:rPr>
        <w:t xml:space="preserve"> 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901689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3.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 xml:space="preserve">Meetings shall be guided by </w:t>
      </w:r>
      <w:r w:rsidR="0042323D" w:rsidRPr="00820B55">
        <w:rPr>
          <w:i/>
          <w:sz w:val="22"/>
          <w:szCs w:val="22"/>
        </w:rPr>
        <w:t>Robert</w:t>
      </w:r>
      <w:r w:rsidR="00DB50C7" w:rsidRPr="00820B55">
        <w:rPr>
          <w:i/>
          <w:sz w:val="22"/>
          <w:szCs w:val="22"/>
        </w:rPr>
        <w:t>’</w:t>
      </w:r>
      <w:r w:rsidR="0042323D" w:rsidRPr="00820B55">
        <w:rPr>
          <w:i/>
          <w:sz w:val="22"/>
          <w:szCs w:val="22"/>
        </w:rPr>
        <w:t>s Rules of Order</w:t>
      </w:r>
      <w:r w:rsidR="0042323D" w:rsidRPr="00236ACD">
        <w:rPr>
          <w:sz w:val="22"/>
          <w:szCs w:val="22"/>
        </w:rPr>
        <w:t xml:space="preserve">. 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3041CE" w:rsidRPr="00236ACD" w:rsidRDefault="00C524FC" w:rsidP="003041CE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4.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Meetings shall be recorded.</w:t>
      </w:r>
      <w:r w:rsidR="00236ACD">
        <w:rPr>
          <w:sz w:val="22"/>
          <w:szCs w:val="22"/>
        </w:rPr>
        <w:t xml:space="preserve"> </w:t>
      </w:r>
      <w:r w:rsidR="0042323D" w:rsidRPr="00236ACD">
        <w:rPr>
          <w:sz w:val="22"/>
          <w:szCs w:val="22"/>
        </w:rPr>
        <w:t xml:space="preserve">Meeting minutes shall be prepared and circulated to </w:t>
      </w:r>
      <w:r w:rsidR="00DA3F44" w:rsidRPr="00236ACD">
        <w:rPr>
          <w:sz w:val="22"/>
          <w:szCs w:val="22"/>
        </w:rPr>
        <w:t xml:space="preserve">Board </w:t>
      </w:r>
      <w:r w:rsidR="00955177" w:rsidRPr="00236ACD">
        <w:rPr>
          <w:sz w:val="22"/>
          <w:szCs w:val="22"/>
        </w:rPr>
        <w:t>members prior</w:t>
      </w:r>
      <w:r w:rsidR="0042323D" w:rsidRPr="00236ACD">
        <w:rPr>
          <w:sz w:val="22"/>
          <w:szCs w:val="22"/>
        </w:rPr>
        <w:t xml:space="preserve"> to the next meeting.</w:t>
      </w:r>
    </w:p>
    <w:p w:rsidR="0035682A" w:rsidRPr="0035682A" w:rsidRDefault="0035682A" w:rsidP="003041CE">
      <w:pPr>
        <w:pStyle w:val="DefaultText"/>
        <w:rPr>
          <w:sz w:val="22"/>
          <w:szCs w:val="22"/>
        </w:rPr>
      </w:pPr>
    </w:p>
    <w:p w:rsidR="0035682A" w:rsidRPr="0035682A" w:rsidRDefault="0035682A" w:rsidP="003041CE">
      <w:pPr>
        <w:pStyle w:val="DefaultText"/>
        <w:rPr>
          <w:sz w:val="22"/>
          <w:szCs w:val="22"/>
        </w:rPr>
      </w:pPr>
    </w:p>
    <w:p w:rsidR="0042323D" w:rsidRPr="00236ACD" w:rsidRDefault="008037A2" w:rsidP="003041CE">
      <w:pPr>
        <w:pStyle w:val="DefaultText"/>
        <w:rPr>
          <w:sz w:val="22"/>
          <w:szCs w:val="22"/>
        </w:rPr>
      </w:pPr>
      <w:r w:rsidRPr="00236ACD">
        <w:rPr>
          <w:b/>
          <w:sz w:val="22"/>
          <w:szCs w:val="22"/>
        </w:rPr>
        <w:t>SECTION</w:t>
      </w:r>
      <w:r w:rsidR="00901689" w:rsidRPr="00236ACD">
        <w:rPr>
          <w:b/>
          <w:sz w:val="22"/>
          <w:szCs w:val="22"/>
        </w:rPr>
        <w:t xml:space="preserve"> 3.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Quorum and Voting</w:t>
      </w:r>
    </w:p>
    <w:p w:rsidR="0042323D" w:rsidRPr="00236ACD" w:rsidRDefault="0042323D" w:rsidP="001D1040">
      <w:pPr>
        <w:pStyle w:val="DefaultText"/>
        <w:rPr>
          <w:sz w:val="22"/>
          <w:szCs w:val="22"/>
        </w:rPr>
      </w:pPr>
    </w:p>
    <w:p w:rsidR="00901689" w:rsidRPr="00236ACD" w:rsidRDefault="00F03C47" w:rsidP="00F03C47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A quorum must be present to make any decision. Four Board members constitutes a</w:t>
      </w:r>
      <w:r w:rsidR="00820B55">
        <w:rPr>
          <w:sz w:val="22"/>
          <w:szCs w:val="22"/>
        </w:rPr>
        <w:t> </w:t>
      </w:r>
      <w:r w:rsidR="0042323D" w:rsidRPr="00236ACD">
        <w:rPr>
          <w:sz w:val="22"/>
          <w:szCs w:val="22"/>
        </w:rPr>
        <w:t>quorum.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901689" w:rsidRPr="00236ACD" w:rsidRDefault="00F03C47" w:rsidP="00F03C47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2.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Decisions shall be made by majority vote, except as otherwise required by the r</w:t>
      </w:r>
      <w:r w:rsidR="00901689" w:rsidRPr="00236ACD">
        <w:rPr>
          <w:sz w:val="22"/>
          <w:szCs w:val="22"/>
        </w:rPr>
        <w:t xml:space="preserve">ules or </w:t>
      </w:r>
      <w:r w:rsidR="00901689" w:rsidRPr="00820B55">
        <w:rPr>
          <w:i/>
          <w:sz w:val="22"/>
          <w:szCs w:val="22"/>
        </w:rPr>
        <w:t>Robert</w:t>
      </w:r>
      <w:r w:rsidR="00DB50C7" w:rsidRPr="00820B55">
        <w:rPr>
          <w:i/>
          <w:sz w:val="22"/>
          <w:szCs w:val="22"/>
        </w:rPr>
        <w:t>’</w:t>
      </w:r>
      <w:r w:rsidR="00901689" w:rsidRPr="00820B55">
        <w:rPr>
          <w:i/>
          <w:sz w:val="22"/>
          <w:szCs w:val="22"/>
        </w:rPr>
        <w:t>s Rules of Order</w:t>
      </w:r>
      <w:r w:rsidR="00901689" w:rsidRPr="00236ACD">
        <w:rPr>
          <w:sz w:val="22"/>
          <w:szCs w:val="22"/>
        </w:rPr>
        <w:t>.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901689" w:rsidRPr="00236ACD" w:rsidRDefault="00F03C47" w:rsidP="00F03C47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3.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As long as a quorum is physically present, othe</w:t>
      </w:r>
      <w:r w:rsidR="00D777BC" w:rsidRPr="00236ACD">
        <w:rPr>
          <w:sz w:val="22"/>
          <w:szCs w:val="22"/>
        </w:rPr>
        <w:t xml:space="preserve">r Board members may participate, but not vote </w:t>
      </w:r>
      <w:r w:rsidR="0042323D" w:rsidRPr="00236ACD">
        <w:rPr>
          <w:sz w:val="22"/>
          <w:szCs w:val="22"/>
        </w:rPr>
        <w:t>by teleconference.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F03C47" w:rsidP="00F03C47">
      <w:pPr>
        <w:pStyle w:val="DefaultText"/>
        <w:tabs>
          <w:tab w:val="left" w:pos="1440"/>
        </w:tabs>
        <w:ind w:left="720"/>
        <w:rPr>
          <w:sz w:val="22"/>
          <w:szCs w:val="22"/>
        </w:rPr>
      </w:pPr>
      <w:r w:rsidRPr="00236ACD">
        <w:rPr>
          <w:sz w:val="22"/>
          <w:szCs w:val="22"/>
        </w:rPr>
        <w:t>4.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There shall be no proxy voting.</w:t>
      </w:r>
    </w:p>
    <w:p w:rsidR="0042323D" w:rsidRDefault="0042323D" w:rsidP="001D1040">
      <w:pPr>
        <w:pStyle w:val="DefaultText"/>
        <w:ind w:left="720"/>
        <w:rPr>
          <w:sz w:val="22"/>
          <w:szCs w:val="22"/>
        </w:rPr>
      </w:pPr>
    </w:p>
    <w:p w:rsidR="0035682A" w:rsidRPr="00236ACD" w:rsidRDefault="0035682A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8037A2" w:rsidP="001D1040">
      <w:pPr>
        <w:pStyle w:val="DefaultText"/>
        <w:rPr>
          <w:sz w:val="22"/>
          <w:szCs w:val="22"/>
        </w:rPr>
      </w:pPr>
      <w:r w:rsidRPr="00236ACD">
        <w:rPr>
          <w:b/>
          <w:sz w:val="22"/>
          <w:szCs w:val="22"/>
        </w:rPr>
        <w:t>SECTION</w:t>
      </w:r>
      <w:r w:rsidR="00901689" w:rsidRPr="00236ACD">
        <w:rPr>
          <w:b/>
          <w:sz w:val="22"/>
          <w:szCs w:val="22"/>
        </w:rPr>
        <w:t xml:space="preserve"> 4.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Compensation</w:t>
      </w:r>
    </w:p>
    <w:p w:rsidR="0042323D" w:rsidRPr="00236ACD" w:rsidRDefault="0042323D" w:rsidP="001D1040">
      <w:pPr>
        <w:pStyle w:val="DefaultText"/>
        <w:rPr>
          <w:sz w:val="22"/>
          <w:szCs w:val="22"/>
        </w:rPr>
      </w:pPr>
    </w:p>
    <w:p w:rsidR="00901689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 xml:space="preserve">Each </w:t>
      </w:r>
      <w:r w:rsidR="00DA3F44" w:rsidRPr="00236ACD">
        <w:rPr>
          <w:sz w:val="22"/>
          <w:szCs w:val="22"/>
        </w:rPr>
        <w:t xml:space="preserve">Board </w:t>
      </w:r>
      <w:r w:rsidR="0042323D" w:rsidRPr="00236ACD">
        <w:rPr>
          <w:sz w:val="22"/>
          <w:szCs w:val="22"/>
        </w:rPr>
        <w:t>member shall be entitled to compensation for reasonable expenses in accordance with the provisions of 5 M</w:t>
      </w:r>
      <w:r w:rsidR="009D54B8" w:rsidRPr="00236ACD">
        <w:rPr>
          <w:sz w:val="22"/>
          <w:szCs w:val="22"/>
        </w:rPr>
        <w:t>.</w:t>
      </w:r>
      <w:r w:rsidR="0042323D" w:rsidRPr="00236ACD">
        <w:rPr>
          <w:sz w:val="22"/>
          <w:szCs w:val="22"/>
        </w:rPr>
        <w:t>R</w:t>
      </w:r>
      <w:r w:rsidR="009D54B8" w:rsidRPr="00236ACD">
        <w:rPr>
          <w:sz w:val="22"/>
          <w:szCs w:val="22"/>
        </w:rPr>
        <w:t>.</w:t>
      </w:r>
      <w:r w:rsidR="0042323D" w:rsidRPr="00236ACD">
        <w:rPr>
          <w:sz w:val="22"/>
          <w:szCs w:val="22"/>
        </w:rPr>
        <w:t>S</w:t>
      </w:r>
      <w:r w:rsidR="009D54B8" w:rsidRPr="00236ACD">
        <w:rPr>
          <w:sz w:val="22"/>
          <w:szCs w:val="22"/>
        </w:rPr>
        <w:t>.</w:t>
      </w:r>
      <w:r w:rsidR="0042323D" w:rsidRPr="00236ACD">
        <w:rPr>
          <w:sz w:val="22"/>
          <w:szCs w:val="22"/>
        </w:rPr>
        <w:t xml:space="preserve"> Chapter 379.</w:t>
      </w:r>
    </w:p>
    <w:p w:rsidR="00901689" w:rsidRPr="00236ACD" w:rsidRDefault="00901689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2.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>Requests for compensation shall be submitted to the Bureau of Motor Vehicles for</w:t>
      </w:r>
      <w:r w:rsidR="0047301C">
        <w:rPr>
          <w:sz w:val="22"/>
          <w:szCs w:val="22"/>
        </w:rPr>
        <w:t> </w:t>
      </w:r>
      <w:r w:rsidR="0042323D" w:rsidRPr="00236ACD">
        <w:rPr>
          <w:sz w:val="22"/>
          <w:szCs w:val="22"/>
        </w:rPr>
        <w:t>approval.</w:t>
      </w:r>
    </w:p>
    <w:p w:rsidR="0042323D" w:rsidRDefault="0042323D" w:rsidP="001D1040">
      <w:pPr>
        <w:pStyle w:val="DefaultText"/>
        <w:ind w:left="720"/>
        <w:rPr>
          <w:sz w:val="22"/>
          <w:szCs w:val="22"/>
        </w:rPr>
      </w:pPr>
    </w:p>
    <w:p w:rsidR="0035682A" w:rsidRPr="00236ACD" w:rsidRDefault="0035682A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8037A2" w:rsidP="001D1040">
      <w:pPr>
        <w:pStyle w:val="DefaultText"/>
        <w:rPr>
          <w:sz w:val="22"/>
          <w:szCs w:val="22"/>
        </w:rPr>
      </w:pPr>
      <w:r w:rsidRPr="00236ACD">
        <w:rPr>
          <w:b/>
          <w:sz w:val="22"/>
          <w:szCs w:val="22"/>
        </w:rPr>
        <w:t>SECTION</w:t>
      </w:r>
      <w:r w:rsidR="00B1410E" w:rsidRPr="00236ACD">
        <w:rPr>
          <w:b/>
          <w:sz w:val="22"/>
          <w:szCs w:val="22"/>
        </w:rPr>
        <w:t xml:space="preserve"> 5.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 xml:space="preserve">Conflict of </w:t>
      </w:r>
      <w:r w:rsidR="003041CE" w:rsidRPr="00236ACD">
        <w:rPr>
          <w:b/>
          <w:sz w:val="22"/>
          <w:szCs w:val="22"/>
        </w:rPr>
        <w:t>I</w:t>
      </w:r>
      <w:r w:rsidR="0042323D" w:rsidRPr="00236ACD">
        <w:rPr>
          <w:b/>
          <w:sz w:val="22"/>
          <w:szCs w:val="22"/>
        </w:rPr>
        <w:t>nterest</w:t>
      </w:r>
    </w:p>
    <w:p w:rsidR="0042323D" w:rsidRPr="00236ACD" w:rsidRDefault="0042323D" w:rsidP="001D1040">
      <w:pPr>
        <w:pStyle w:val="DefaultText"/>
        <w:rPr>
          <w:sz w:val="22"/>
          <w:szCs w:val="22"/>
        </w:rPr>
      </w:pPr>
    </w:p>
    <w:p w:rsidR="00B1410E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 xml:space="preserve">Each Board </w:t>
      </w:r>
      <w:r w:rsidR="00C8071E" w:rsidRPr="00236ACD">
        <w:rPr>
          <w:sz w:val="22"/>
          <w:szCs w:val="22"/>
        </w:rPr>
        <w:t>member must</w:t>
      </w:r>
      <w:r w:rsidR="006D7148">
        <w:rPr>
          <w:sz w:val="22"/>
          <w:szCs w:val="22"/>
        </w:rPr>
        <w:t xml:space="preserve"> </w:t>
      </w:r>
      <w:r w:rsidR="0042323D" w:rsidRPr="00236ACD">
        <w:rPr>
          <w:sz w:val="22"/>
          <w:szCs w:val="22"/>
        </w:rPr>
        <w:t xml:space="preserve">declare on the record any </w:t>
      </w:r>
      <w:r w:rsidR="006D7148">
        <w:rPr>
          <w:sz w:val="22"/>
          <w:szCs w:val="22"/>
        </w:rPr>
        <w:t xml:space="preserve">potential conflict of </w:t>
      </w:r>
      <w:r w:rsidR="0042323D" w:rsidRPr="00236ACD">
        <w:rPr>
          <w:sz w:val="22"/>
          <w:szCs w:val="22"/>
        </w:rPr>
        <w:t>interest the member may have in a car</w:t>
      </w:r>
      <w:r w:rsidR="00B1410E" w:rsidRPr="00236ACD">
        <w:rPr>
          <w:sz w:val="22"/>
          <w:szCs w:val="22"/>
        </w:rPr>
        <w:t>rier under review by the Board.</w:t>
      </w:r>
    </w:p>
    <w:p w:rsidR="00B1410E" w:rsidRPr="00236ACD" w:rsidRDefault="00B1410E" w:rsidP="001D1040">
      <w:pPr>
        <w:pStyle w:val="DefaultText"/>
        <w:ind w:left="720"/>
        <w:rPr>
          <w:sz w:val="22"/>
          <w:szCs w:val="22"/>
        </w:rPr>
      </w:pPr>
    </w:p>
    <w:p w:rsidR="00B1410E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2.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 xml:space="preserve">By majority vote of </w:t>
      </w:r>
      <w:r w:rsidR="00830FE7" w:rsidRPr="00236ACD">
        <w:rPr>
          <w:sz w:val="22"/>
          <w:szCs w:val="22"/>
        </w:rPr>
        <w:t>all</w:t>
      </w:r>
      <w:r w:rsidR="0042323D" w:rsidRPr="00236ACD">
        <w:rPr>
          <w:sz w:val="22"/>
          <w:szCs w:val="22"/>
        </w:rPr>
        <w:t xml:space="preserve"> members </w:t>
      </w:r>
      <w:r w:rsidR="00830FE7" w:rsidRPr="00236ACD">
        <w:rPr>
          <w:sz w:val="22"/>
          <w:szCs w:val="22"/>
        </w:rPr>
        <w:t>at</w:t>
      </w:r>
      <w:r w:rsidR="0042323D" w:rsidRPr="00236ACD">
        <w:rPr>
          <w:sz w:val="22"/>
          <w:szCs w:val="22"/>
        </w:rPr>
        <w:t xml:space="preserve"> the meeting, the Board may exclude a member who has an actual </w:t>
      </w:r>
      <w:r w:rsidR="006D7148">
        <w:rPr>
          <w:sz w:val="22"/>
          <w:szCs w:val="22"/>
        </w:rPr>
        <w:t xml:space="preserve">conflict of </w:t>
      </w:r>
      <w:r w:rsidR="0042323D" w:rsidRPr="00236ACD">
        <w:rPr>
          <w:sz w:val="22"/>
          <w:szCs w:val="22"/>
        </w:rPr>
        <w:t>intere</w:t>
      </w:r>
      <w:r w:rsidR="00B1410E" w:rsidRPr="00236ACD">
        <w:rPr>
          <w:sz w:val="22"/>
          <w:szCs w:val="22"/>
        </w:rPr>
        <w:t>st in the carrier under review.</w:t>
      </w:r>
    </w:p>
    <w:p w:rsidR="00B1410E" w:rsidRPr="00236ACD" w:rsidRDefault="00B1410E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3.</w:t>
      </w:r>
      <w:r w:rsidRPr="00236ACD">
        <w:rPr>
          <w:sz w:val="22"/>
          <w:szCs w:val="22"/>
        </w:rPr>
        <w:tab/>
      </w:r>
      <w:r w:rsidR="00DA3F44" w:rsidRPr="00236ACD">
        <w:rPr>
          <w:sz w:val="22"/>
          <w:szCs w:val="22"/>
        </w:rPr>
        <w:t xml:space="preserve">Any </w:t>
      </w:r>
      <w:r w:rsidR="0042323D" w:rsidRPr="00236ACD">
        <w:rPr>
          <w:sz w:val="22"/>
          <w:szCs w:val="22"/>
        </w:rPr>
        <w:t xml:space="preserve">member may excuse himself or herself when the </w:t>
      </w:r>
      <w:r w:rsidR="00DA3F44" w:rsidRPr="00236ACD">
        <w:rPr>
          <w:sz w:val="22"/>
          <w:szCs w:val="22"/>
        </w:rPr>
        <w:t>B</w:t>
      </w:r>
      <w:r w:rsidR="0042323D" w:rsidRPr="00236ACD">
        <w:rPr>
          <w:sz w:val="22"/>
          <w:szCs w:val="22"/>
        </w:rPr>
        <w:t xml:space="preserve">oard member feels </w:t>
      </w:r>
      <w:r w:rsidR="00DB50C7" w:rsidRPr="00236ACD">
        <w:rPr>
          <w:sz w:val="22"/>
          <w:szCs w:val="22"/>
        </w:rPr>
        <w:t>that he or she has</w:t>
      </w:r>
      <w:r w:rsidR="0042323D" w:rsidRPr="00236ACD">
        <w:rPr>
          <w:sz w:val="22"/>
          <w:szCs w:val="22"/>
        </w:rPr>
        <w:t xml:space="preserve"> a potential conflict of interest.</w:t>
      </w:r>
    </w:p>
    <w:p w:rsidR="0042323D" w:rsidRDefault="0042323D" w:rsidP="001D1040">
      <w:pPr>
        <w:pStyle w:val="DefaultText"/>
        <w:ind w:left="720"/>
        <w:rPr>
          <w:sz w:val="22"/>
          <w:szCs w:val="22"/>
        </w:rPr>
      </w:pPr>
    </w:p>
    <w:p w:rsidR="0035682A" w:rsidRPr="00236ACD" w:rsidRDefault="0035682A" w:rsidP="001D1040">
      <w:pPr>
        <w:pStyle w:val="DefaultText"/>
        <w:ind w:left="720"/>
        <w:rPr>
          <w:sz w:val="22"/>
          <w:szCs w:val="22"/>
        </w:rPr>
      </w:pPr>
    </w:p>
    <w:p w:rsidR="0042323D" w:rsidRDefault="008037A2" w:rsidP="00820B55">
      <w:pPr>
        <w:pStyle w:val="DefaultText"/>
        <w:keepNext/>
        <w:keepLines/>
        <w:rPr>
          <w:b/>
          <w:sz w:val="22"/>
          <w:szCs w:val="22"/>
        </w:rPr>
      </w:pPr>
      <w:r w:rsidRPr="00236ACD">
        <w:rPr>
          <w:b/>
          <w:sz w:val="22"/>
          <w:szCs w:val="22"/>
        </w:rPr>
        <w:lastRenderedPageBreak/>
        <w:t>SECTION</w:t>
      </w:r>
      <w:r w:rsidR="00B1410E" w:rsidRPr="00236ACD">
        <w:rPr>
          <w:b/>
          <w:sz w:val="22"/>
          <w:szCs w:val="22"/>
        </w:rPr>
        <w:t xml:space="preserve"> 6.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Executive Session</w:t>
      </w:r>
    </w:p>
    <w:p w:rsidR="0042323D" w:rsidRPr="00236ACD" w:rsidRDefault="0042323D" w:rsidP="00820B55">
      <w:pPr>
        <w:pStyle w:val="DefaultText"/>
        <w:keepNext/>
        <w:keepLines/>
        <w:rPr>
          <w:sz w:val="22"/>
          <w:szCs w:val="22"/>
        </w:rPr>
      </w:pPr>
    </w:p>
    <w:p w:rsidR="0042323D" w:rsidRPr="00236ACD" w:rsidRDefault="00C524FC" w:rsidP="00820B55">
      <w:pPr>
        <w:pStyle w:val="DefaultText"/>
        <w:keepNext/>
        <w:keepLines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236ACD">
        <w:rPr>
          <w:sz w:val="22"/>
          <w:szCs w:val="22"/>
        </w:rPr>
        <w:t xml:space="preserve">Pursuant to the </w:t>
      </w:r>
      <w:r w:rsidR="0042323D" w:rsidRPr="00820B55">
        <w:rPr>
          <w:i/>
          <w:sz w:val="22"/>
          <w:szCs w:val="22"/>
        </w:rPr>
        <w:t xml:space="preserve">Maine Freedom of Access </w:t>
      </w:r>
      <w:r w:rsidR="00043581" w:rsidRPr="00820B55">
        <w:rPr>
          <w:i/>
          <w:sz w:val="22"/>
          <w:szCs w:val="22"/>
        </w:rPr>
        <w:t>Act</w:t>
      </w:r>
      <w:r w:rsidR="0042323D" w:rsidRPr="00236ACD">
        <w:rPr>
          <w:sz w:val="22"/>
          <w:szCs w:val="22"/>
        </w:rPr>
        <w:t>, the Board may go into executive session.</w:t>
      </w:r>
    </w:p>
    <w:p w:rsidR="0042323D" w:rsidRDefault="0042323D" w:rsidP="001D1040">
      <w:pPr>
        <w:pStyle w:val="DefaultText"/>
        <w:ind w:left="720"/>
        <w:rPr>
          <w:sz w:val="22"/>
          <w:szCs w:val="22"/>
        </w:rPr>
      </w:pPr>
    </w:p>
    <w:p w:rsidR="0035682A" w:rsidRPr="00236ACD" w:rsidRDefault="0035682A" w:rsidP="001D1040">
      <w:pPr>
        <w:pStyle w:val="DefaultText"/>
        <w:ind w:left="720"/>
        <w:rPr>
          <w:sz w:val="22"/>
          <w:szCs w:val="22"/>
        </w:rPr>
      </w:pPr>
    </w:p>
    <w:p w:rsidR="0042323D" w:rsidRPr="00236ACD" w:rsidRDefault="008037A2" w:rsidP="00C375FB">
      <w:pPr>
        <w:pStyle w:val="DefaultText"/>
        <w:rPr>
          <w:sz w:val="22"/>
          <w:szCs w:val="22"/>
        </w:rPr>
      </w:pPr>
      <w:r w:rsidRPr="00236ACD">
        <w:rPr>
          <w:b/>
          <w:sz w:val="22"/>
          <w:szCs w:val="22"/>
        </w:rPr>
        <w:t>SECTION</w:t>
      </w:r>
      <w:r w:rsidR="00E73C07" w:rsidRPr="00236ACD">
        <w:rPr>
          <w:b/>
          <w:sz w:val="22"/>
          <w:szCs w:val="22"/>
        </w:rPr>
        <w:t xml:space="preserve"> 7.</w:t>
      </w:r>
      <w:r w:rsidR="0029056D">
        <w:rPr>
          <w:b/>
          <w:sz w:val="22"/>
          <w:szCs w:val="22"/>
        </w:rPr>
        <w:tab/>
      </w:r>
      <w:r w:rsidR="0042323D" w:rsidRPr="00236ACD">
        <w:rPr>
          <w:b/>
          <w:sz w:val="22"/>
          <w:szCs w:val="22"/>
        </w:rPr>
        <w:t>Effective Date</w:t>
      </w:r>
    </w:p>
    <w:p w:rsidR="0042323D" w:rsidRPr="00236ACD" w:rsidRDefault="0042323D" w:rsidP="00C375FB">
      <w:pPr>
        <w:pStyle w:val="DefaultText"/>
        <w:rPr>
          <w:sz w:val="22"/>
          <w:szCs w:val="22"/>
        </w:rPr>
      </w:pPr>
    </w:p>
    <w:p w:rsidR="0042323D" w:rsidRPr="00236ACD" w:rsidRDefault="00C524FC" w:rsidP="00C524FC">
      <w:pPr>
        <w:pStyle w:val="DefaultText"/>
        <w:tabs>
          <w:tab w:val="left" w:pos="1440"/>
        </w:tabs>
        <w:ind w:left="1440" w:hanging="720"/>
        <w:rPr>
          <w:sz w:val="22"/>
          <w:szCs w:val="22"/>
        </w:rPr>
      </w:pPr>
      <w:r w:rsidRPr="00236ACD">
        <w:rPr>
          <w:sz w:val="22"/>
          <w:szCs w:val="22"/>
        </w:rPr>
        <w:t>1.</w:t>
      </w:r>
      <w:r w:rsidRPr="00236ACD">
        <w:rPr>
          <w:sz w:val="22"/>
          <w:szCs w:val="22"/>
        </w:rPr>
        <w:tab/>
      </w:r>
      <w:r w:rsidR="0042323D" w:rsidRPr="00CE1652">
        <w:rPr>
          <w:sz w:val="22"/>
          <w:szCs w:val="22"/>
        </w:rPr>
        <w:t xml:space="preserve">The effective date of this rule will be </w:t>
      </w:r>
      <w:r w:rsidR="00820B55">
        <w:rPr>
          <w:sz w:val="22"/>
          <w:szCs w:val="22"/>
        </w:rPr>
        <w:t>July 24</w:t>
      </w:r>
      <w:r w:rsidR="00C8071E">
        <w:rPr>
          <w:sz w:val="22"/>
          <w:szCs w:val="22"/>
        </w:rPr>
        <w:t xml:space="preserve">, </w:t>
      </w:r>
      <w:r w:rsidR="00C8071E" w:rsidRPr="00CE1652">
        <w:rPr>
          <w:sz w:val="22"/>
          <w:szCs w:val="22"/>
        </w:rPr>
        <w:t>2018</w:t>
      </w:r>
      <w:r w:rsidR="003041CE" w:rsidRPr="00CE1652">
        <w:rPr>
          <w:sz w:val="22"/>
          <w:szCs w:val="22"/>
        </w:rPr>
        <w:t>.</w:t>
      </w:r>
    </w:p>
    <w:p w:rsidR="0042323D" w:rsidRPr="00236ACD" w:rsidRDefault="0042323D" w:rsidP="00C375FB">
      <w:pPr>
        <w:pBdr>
          <w:bottom w:val="single" w:sz="4" w:space="1" w:color="auto"/>
        </w:pBdr>
        <w:rPr>
          <w:sz w:val="22"/>
          <w:szCs w:val="22"/>
        </w:rPr>
      </w:pPr>
    </w:p>
    <w:p w:rsidR="0042323D" w:rsidRPr="00236ACD" w:rsidRDefault="0042323D" w:rsidP="00C375FB">
      <w:pPr>
        <w:rPr>
          <w:sz w:val="22"/>
          <w:szCs w:val="22"/>
        </w:rPr>
      </w:pPr>
    </w:p>
    <w:p w:rsidR="00236ACD" w:rsidRPr="00236ACD" w:rsidRDefault="00236ACD" w:rsidP="00236ACD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:rsidR="00236ACD" w:rsidRPr="00236ACD" w:rsidRDefault="00236ACD" w:rsidP="00236ACD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>EFFECTIVE DATE:</w:t>
      </w:r>
    </w:p>
    <w:p w:rsidR="00236ACD" w:rsidRPr="00236ACD" w:rsidRDefault="00236ACD" w:rsidP="00236ACD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ab/>
        <w:t>September 28, 1996</w:t>
      </w:r>
    </w:p>
    <w:p w:rsidR="00236ACD" w:rsidRPr="00236ACD" w:rsidRDefault="00236ACD" w:rsidP="00236ACD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>AMENDED: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ab/>
        <w:t>September 1, 1998 (included filing of electronic text)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>NON-SUBSTANTIVE CORRECTION: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ab/>
        <w:t>August 13, 1998 - spelling in H.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>AMENDED: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36ACD">
        <w:rPr>
          <w:sz w:val="22"/>
          <w:szCs w:val="22"/>
        </w:rPr>
        <w:tab/>
        <w:t>January 1, 2004 - filing 2003-409</w:t>
      </w:r>
    </w:p>
    <w:p w:rsidR="00236ACD" w:rsidRPr="00236ACD" w:rsidRDefault="00236ACD" w:rsidP="00236ACD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July 1, 2012 – filing 2012-170</w:t>
      </w:r>
    </w:p>
    <w:p w:rsidR="0042323D" w:rsidRDefault="00820B55" w:rsidP="00236ACD">
      <w:pPr>
        <w:rPr>
          <w:sz w:val="22"/>
          <w:szCs w:val="22"/>
        </w:rPr>
      </w:pPr>
      <w:r>
        <w:rPr>
          <w:sz w:val="22"/>
          <w:szCs w:val="22"/>
        </w:rPr>
        <w:tab/>
        <w:t>July 24, 2018 – filing 2018-137</w:t>
      </w:r>
    </w:p>
    <w:p w:rsidR="00820B55" w:rsidRPr="00236ACD" w:rsidRDefault="00820B55" w:rsidP="00236ACD">
      <w:pPr>
        <w:rPr>
          <w:sz w:val="22"/>
          <w:szCs w:val="22"/>
        </w:rPr>
      </w:pPr>
      <w:bookmarkStart w:id="0" w:name="_GoBack"/>
      <w:bookmarkEnd w:id="0"/>
    </w:p>
    <w:sectPr w:rsidR="00820B55" w:rsidRPr="00236ACD" w:rsidSect="007D5A33">
      <w:headerReference w:type="default" r:id="rId8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74" w:rsidRDefault="00844874">
      <w:r>
        <w:separator/>
      </w:r>
    </w:p>
  </w:endnote>
  <w:endnote w:type="continuationSeparator" w:id="0">
    <w:p w:rsidR="00844874" w:rsidRDefault="008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74" w:rsidRDefault="00844874">
      <w:r>
        <w:separator/>
      </w:r>
    </w:p>
  </w:footnote>
  <w:footnote w:type="continuationSeparator" w:id="0">
    <w:p w:rsidR="00844874" w:rsidRDefault="0084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2A" w:rsidRDefault="0035682A">
    <w:pPr>
      <w:pStyle w:val="Header"/>
      <w:jc w:val="right"/>
      <w:rPr>
        <w:sz w:val="18"/>
      </w:rPr>
    </w:pPr>
  </w:p>
  <w:p w:rsidR="0035682A" w:rsidRDefault="0035682A">
    <w:pPr>
      <w:pStyle w:val="Header"/>
      <w:jc w:val="right"/>
      <w:rPr>
        <w:sz w:val="18"/>
      </w:rPr>
    </w:pPr>
  </w:p>
  <w:p w:rsidR="0035682A" w:rsidRDefault="0035682A">
    <w:pPr>
      <w:pStyle w:val="Header"/>
      <w:jc w:val="right"/>
      <w:rPr>
        <w:sz w:val="18"/>
      </w:rPr>
    </w:pPr>
  </w:p>
  <w:p w:rsidR="0035682A" w:rsidRDefault="0035682A" w:rsidP="00236ACD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94-591 Chapter 1     page 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29056D">
      <w:rPr>
        <w:noProof/>
        <w:sz w:val="18"/>
      </w:rPr>
      <w:t>3</w:t>
    </w:r>
    <w:r>
      <w:rPr>
        <w:sz w:val="18"/>
      </w:rPr>
      <w:fldChar w:fldCharType="end"/>
    </w:r>
  </w:p>
  <w:p w:rsidR="0035682A" w:rsidRDefault="0035682A">
    <w:pPr>
      <w:pStyle w:val="Header"/>
      <w:jc w:val="right"/>
      <w:rPr>
        <w:sz w:val="18"/>
      </w:rPr>
    </w:pPr>
  </w:p>
  <w:p w:rsidR="0035682A" w:rsidRDefault="0035682A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5E1F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462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BCC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3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E11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D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225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CAE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68C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61BB9"/>
    <w:multiLevelType w:val="hybridMultilevel"/>
    <w:tmpl w:val="3EAA6690"/>
    <w:lvl w:ilvl="0" w:tplc="13B8ED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02184"/>
    <w:multiLevelType w:val="hybridMultilevel"/>
    <w:tmpl w:val="E9CE1F1E"/>
    <w:lvl w:ilvl="0" w:tplc="1AEE7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97B74"/>
    <w:multiLevelType w:val="hybridMultilevel"/>
    <w:tmpl w:val="A8E0365C"/>
    <w:lvl w:ilvl="0" w:tplc="BB9A80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654E1"/>
    <w:multiLevelType w:val="hybridMultilevel"/>
    <w:tmpl w:val="8A56888C"/>
    <w:lvl w:ilvl="0" w:tplc="D700B5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B1E04"/>
    <w:multiLevelType w:val="hybridMultilevel"/>
    <w:tmpl w:val="9A703EA2"/>
    <w:lvl w:ilvl="0" w:tplc="5A2A7C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B4FFC"/>
    <w:multiLevelType w:val="hybridMultilevel"/>
    <w:tmpl w:val="82E0551E"/>
    <w:lvl w:ilvl="0" w:tplc="E8D828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44B92"/>
    <w:multiLevelType w:val="hybridMultilevel"/>
    <w:tmpl w:val="D45A0002"/>
    <w:lvl w:ilvl="0" w:tplc="9B70B3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7F086B"/>
    <w:multiLevelType w:val="hybridMultilevel"/>
    <w:tmpl w:val="391672C8"/>
    <w:lvl w:ilvl="0" w:tplc="D2FA6F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8B"/>
    <w:rsid w:val="00016C63"/>
    <w:rsid w:val="00042BD6"/>
    <w:rsid w:val="00043581"/>
    <w:rsid w:val="00044BBE"/>
    <w:rsid w:val="000823F4"/>
    <w:rsid w:val="00096B0C"/>
    <w:rsid w:val="00100D98"/>
    <w:rsid w:val="00114960"/>
    <w:rsid w:val="0014349B"/>
    <w:rsid w:val="00144D77"/>
    <w:rsid w:val="00154B5B"/>
    <w:rsid w:val="00154CD4"/>
    <w:rsid w:val="00177CD9"/>
    <w:rsid w:val="00194027"/>
    <w:rsid w:val="001B3A50"/>
    <w:rsid w:val="001C1500"/>
    <w:rsid w:val="001D1040"/>
    <w:rsid w:val="001F6A30"/>
    <w:rsid w:val="00226E66"/>
    <w:rsid w:val="00236ACD"/>
    <w:rsid w:val="002418F3"/>
    <w:rsid w:val="002548E5"/>
    <w:rsid w:val="00263AA0"/>
    <w:rsid w:val="0029056D"/>
    <w:rsid w:val="003041CE"/>
    <w:rsid w:val="0031458D"/>
    <w:rsid w:val="003532BA"/>
    <w:rsid w:val="0035682A"/>
    <w:rsid w:val="00372CD4"/>
    <w:rsid w:val="003A04BB"/>
    <w:rsid w:val="003C2CBA"/>
    <w:rsid w:val="003C6CE0"/>
    <w:rsid w:val="003E3FE2"/>
    <w:rsid w:val="003E6109"/>
    <w:rsid w:val="00401C2A"/>
    <w:rsid w:val="00415BF1"/>
    <w:rsid w:val="0042323D"/>
    <w:rsid w:val="00430138"/>
    <w:rsid w:val="00447BAE"/>
    <w:rsid w:val="0047301C"/>
    <w:rsid w:val="004C3B7E"/>
    <w:rsid w:val="00510D1D"/>
    <w:rsid w:val="00554C9E"/>
    <w:rsid w:val="005D67A6"/>
    <w:rsid w:val="00606928"/>
    <w:rsid w:val="00640F97"/>
    <w:rsid w:val="00682B54"/>
    <w:rsid w:val="00687038"/>
    <w:rsid w:val="00696477"/>
    <w:rsid w:val="006D3435"/>
    <w:rsid w:val="006D7148"/>
    <w:rsid w:val="007014C4"/>
    <w:rsid w:val="007307FF"/>
    <w:rsid w:val="00742AC4"/>
    <w:rsid w:val="0075165E"/>
    <w:rsid w:val="007A2B8B"/>
    <w:rsid w:val="007C7FD0"/>
    <w:rsid w:val="007D5A33"/>
    <w:rsid w:val="007E09DE"/>
    <w:rsid w:val="007E170F"/>
    <w:rsid w:val="00800558"/>
    <w:rsid w:val="008037A2"/>
    <w:rsid w:val="00810C2C"/>
    <w:rsid w:val="00820B55"/>
    <w:rsid w:val="00826E40"/>
    <w:rsid w:val="00830FE7"/>
    <w:rsid w:val="008346A6"/>
    <w:rsid w:val="0084406A"/>
    <w:rsid w:val="00844874"/>
    <w:rsid w:val="00861902"/>
    <w:rsid w:val="008C06C6"/>
    <w:rsid w:val="008E3944"/>
    <w:rsid w:val="00901689"/>
    <w:rsid w:val="009022A5"/>
    <w:rsid w:val="009053C6"/>
    <w:rsid w:val="00927926"/>
    <w:rsid w:val="00955177"/>
    <w:rsid w:val="00974C42"/>
    <w:rsid w:val="00990916"/>
    <w:rsid w:val="009D54B8"/>
    <w:rsid w:val="009F3639"/>
    <w:rsid w:val="00A25347"/>
    <w:rsid w:val="00A33339"/>
    <w:rsid w:val="00A413E7"/>
    <w:rsid w:val="00AA5446"/>
    <w:rsid w:val="00AC7800"/>
    <w:rsid w:val="00B062C4"/>
    <w:rsid w:val="00B1410E"/>
    <w:rsid w:val="00B877A0"/>
    <w:rsid w:val="00BB32E5"/>
    <w:rsid w:val="00BB572D"/>
    <w:rsid w:val="00BB6FF9"/>
    <w:rsid w:val="00BC2772"/>
    <w:rsid w:val="00BC67BE"/>
    <w:rsid w:val="00BE01E5"/>
    <w:rsid w:val="00BF392D"/>
    <w:rsid w:val="00C375FB"/>
    <w:rsid w:val="00C478B0"/>
    <w:rsid w:val="00C524FC"/>
    <w:rsid w:val="00C8071E"/>
    <w:rsid w:val="00C807C7"/>
    <w:rsid w:val="00CE1652"/>
    <w:rsid w:val="00CF13D5"/>
    <w:rsid w:val="00D46D31"/>
    <w:rsid w:val="00D50C2A"/>
    <w:rsid w:val="00D73AEF"/>
    <w:rsid w:val="00D777BC"/>
    <w:rsid w:val="00DA3349"/>
    <w:rsid w:val="00DA3F44"/>
    <w:rsid w:val="00DB50C7"/>
    <w:rsid w:val="00E1453E"/>
    <w:rsid w:val="00E42C88"/>
    <w:rsid w:val="00E73C07"/>
    <w:rsid w:val="00E7662F"/>
    <w:rsid w:val="00E91AC2"/>
    <w:rsid w:val="00E94A40"/>
    <w:rsid w:val="00EA4B48"/>
    <w:rsid w:val="00F03C47"/>
    <w:rsid w:val="00F25F95"/>
    <w:rsid w:val="00F301EA"/>
    <w:rsid w:val="00F67E0F"/>
    <w:rsid w:val="00FB105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044B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2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2A5"/>
  </w:style>
  <w:style w:type="character" w:customStyle="1" w:styleId="CommentTextChar">
    <w:name w:val="Comment Text Char"/>
    <w:link w:val="CommentText"/>
    <w:rsid w:val="009022A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022A5"/>
    <w:rPr>
      <w:b/>
      <w:bCs/>
    </w:rPr>
  </w:style>
  <w:style w:type="character" w:customStyle="1" w:styleId="CommentSubjectChar">
    <w:name w:val="Comment Subject Char"/>
    <w:link w:val="CommentSubject"/>
    <w:rsid w:val="009022A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94-591</vt:lpstr>
    </vt:vector>
  </TitlesOfParts>
  <Company>State of Maine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94-591</dc:title>
  <dc:creator>Bureau of Motor Vehicles</dc:creator>
  <cp:lastModifiedBy>Wismer, Don</cp:lastModifiedBy>
  <cp:revision>8</cp:revision>
  <cp:lastPrinted>2012-02-14T16:14:00Z</cp:lastPrinted>
  <dcterms:created xsi:type="dcterms:W3CDTF">2018-07-25T19:22:00Z</dcterms:created>
  <dcterms:modified xsi:type="dcterms:W3CDTF">2018-07-25T19:58:00Z</dcterms:modified>
</cp:coreProperties>
</file>