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27" w:rsidRPr="00A00C26" w:rsidRDefault="00BC3F27" w:rsidP="00BC3F27">
      <w:pPr>
        <w:jc w:val="center"/>
        <w:rPr>
          <w:rFonts w:ascii="Arial" w:hAnsi="Arial" w:cs="Arial"/>
          <w:b/>
        </w:rPr>
      </w:pPr>
      <w:bookmarkStart w:id="0" w:name="_GoBack"/>
      <w:bookmarkEnd w:id="0"/>
      <w:r w:rsidRPr="00A00C26">
        <w:rPr>
          <w:b/>
        </w:rPr>
        <w:t xml:space="preserve"> </w:t>
      </w:r>
    </w:p>
    <w:p w:rsidR="00900EF5" w:rsidRPr="00A00C26" w:rsidRDefault="00BC3F27" w:rsidP="0032646E">
      <w:pPr>
        <w:rPr>
          <w:sz w:val="23"/>
          <w:szCs w:val="23"/>
        </w:rPr>
      </w:pPr>
      <w:r w:rsidRPr="00A00C26">
        <w:rPr>
          <w:rFonts w:ascii="Arial" w:hAnsi="Arial" w:cs="Arial"/>
          <w:b/>
          <w:sz w:val="23"/>
          <w:szCs w:val="23"/>
        </w:rPr>
        <w:t xml:space="preserve">Background:  </w:t>
      </w:r>
      <w:r w:rsidRPr="00A00C26">
        <w:rPr>
          <w:rFonts w:ascii="Arial" w:hAnsi="Arial" w:cs="Arial"/>
          <w:sz w:val="23"/>
          <w:szCs w:val="23"/>
        </w:rPr>
        <w:t xml:space="preserve">The Division of Vocational </w:t>
      </w:r>
      <w:r w:rsidR="0070151B" w:rsidRPr="00A00C26">
        <w:rPr>
          <w:rFonts w:ascii="Arial" w:hAnsi="Arial" w:cs="Arial"/>
          <w:sz w:val="23"/>
          <w:szCs w:val="23"/>
        </w:rPr>
        <w:t>Rehabilitation</w:t>
      </w:r>
      <w:r w:rsidRPr="00A00C26">
        <w:rPr>
          <w:rFonts w:ascii="Arial" w:hAnsi="Arial" w:cs="Arial"/>
          <w:sz w:val="23"/>
          <w:szCs w:val="23"/>
        </w:rPr>
        <w:t xml:space="preserve"> (DVR) procures employment services for its clients from approved C</w:t>
      </w:r>
      <w:r w:rsidR="00A11063" w:rsidRPr="00A00C26">
        <w:rPr>
          <w:rFonts w:ascii="Arial" w:hAnsi="Arial" w:cs="Arial"/>
          <w:sz w:val="23"/>
          <w:szCs w:val="23"/>
        </w:rPr>
        <w:t>ommunity Rehabilitation Providers</w:t>
      </w:r>
      <w:r w:rsidRPr="00A00C26">
        <w:rPr>
          <w:rFonts w:ascii="Arial" w:hAnsi="Arial" w:cs="Arial"/>
          <w:sz w:val="23"/>
          <w:szCs w:val="23"/>
        </w:rPr>
        <w:t xml:space="preserve"> </w:t>
      </w:r>
      <w:r w:rsidR="002073AB" w:rsidRPr="00A00C26">
        <w:rPr>
          <w:rFonts w:ascii="Arial" w:hAnsi="Arial" w:cs="Arial"/>
          <w:sz w:val="23"/>
          <w:szCs w:val="23"/>
        </w:rPr>
        <w:t>as part of</w:t>
      </w:r>
      <w:r w:rsidR="00900EF5" w:rsidRPr="00A00C26">
        <w:rPr>
          <w:rFonts w:ascii="Arial" w:hAnsi="Arial" w:cs="Arial"/>
          <w:sz w:val="23"/>
          <w:szCs w:val="23"/>
        </w:rPr>
        <w:t xml:space="preserve"> </w:t>
      </w:r>
      <w:r w:rsidR="002073AB" w:rsidRPr="00A00C26">
        <w:rPr>
          <w:rFonts w:ascii="Arial" w:hAnsi="Arial" w:cs="Arial"/>
          <w:sz w:val="23"/>
          <w:szCs w:val="23"/>
        </w:rPr>
        <w:t xml:space="preserve">an </w:t>
      </w:r>
      <w:r w:rsidR="00900EF5" w:rsidRPr="00A00C26">
        <w:rPr>
          <w:rFonts w:ascii="Arial" w:hAnsi="Arial" w:cs="Arial"/>
          <w:sz w:val="23"/>
          <w:szCs w:val="23"/>
        </w:rPr>
        <w:t>Individualized Plan for Employment (IPE)</w:t>
      </w:r>
      <w:r w:rsidR="002073AB" w:rsidRPr="00A00C26">
        <w:rPr>
          <w:rFonts w:ascii="Arial" w:hAnsi="Arial" w:cs="Arial"/>
          <w:sz w:val="23"/>
          <w:szCs w:val="23"/>
        </w:rPr>
        <w:t xml:space="preserve"> that result</w:t>
      </w:r>
      <w:r w:rsidR="00900EF5" w:rsidRPr="00A00C26">
        <w:rPr>
          <w:rFonts w:ascii="Arial" w:hAnsi="Arial" w:cs="Arial"/>
          <w:sz w:val="23"/>
          <w:szCs w:val="23"/>
        </w:rPr>
        <w:t xml:space="preserve"> in community-based employment</w:t>
      </w:r>
      <w:r w:rsidR="00026AB7" w:rsidRPr="00A00C26">
        <w:rPr>
          <w:rFonts w:ascii="Arial" w:hAnsi="Arial" w:cs="Arial"/>
          <w:sz w:val="23"/>
          <w:szCs w:val="23"/>
        </w:rPr>
        <w:t xml:space="preserve"> at wages of </w:t>
      </w:r>
      <w:r w:rsidR="00900EF5" w:rsidRPr="00A00C26">
        <w:rPr>
          <w:rFonts w:ascii="Arial" w:hAnsi="Arial" w:cs="Arial"/>
          <w:sz w:val="23"/>
          <w:szCs w:val="23"/>
        </w:rPr>
        <w:t xml:space="preserve">minimum wage or higher.  Historically in Maine, CRP’s have been reimbursed for their services </w:t>
      </w:r>
      <w:r w:rsidR="002073AB" w:rsidRPr="00A00C26">
        <w:rPr>
          <w:rFonts w:ascii="Arial" w:hAnsi="Arial" w:cs="Arial"/>
          <w:sz w:val="23"/>
          <w:szCs w:val="23"/>
        </w:rPr>
        <w:t>based upon standard</w:t>
      </w:r>
      <w:r w:rsidR="00900EF5" w:rsidRPr="00A00C26">
        <w:rPr>
          <w:rFonts w:ascii="Arial" w:hAnsi="Arial" w:cs="Arial"/>
          <w:sz w:val="23"/>
          <w:szCs w:val="23"/>
        </w:rPr>
        <w:t xml:space="preserve"> hourly rates</w:t>
      </w:r>
      <w:r w:rsidR="00026AB7" w:rsidRPr="00A00C26">
        <w:rPr>
          <w:rFonts w:ascii="Arial" w:hAnsi="Arial" w:cs="Arial"/>
          <w:sz w:val="23"/>
          <w:szCs w:val="23"/>
        </w:rPr>
        <w:t>. A</w:t>
      </w:r>
      <w:r w:rsidR="00900EF5" w:rsidRPr="00A00C26">
        <w:rPr>
          <w:rFonts w:ascii="Arial" w:hAnsi="Arial" w:cs="Arial"/>
          <w:sz w:val="23"/>
          <w:szCs w:val="23"/>
        </w:rPr>
        <w:t>s a result of an</w:t>
      </w:r>
      <w:r w:rsidR="00A11063" w:rsidRPr="00A00C26">
        <w:rPr>
          <w:rFonts w:ascii="Arial" w:hAnsi="Arial" w:cs="Arial"/>
          <w:sz w:val="23"/>
          <w:szCs w:val="23"/>
        </w:rPr>
        <w:t xml:space="preserve"> </w:t>
      </w:r>
      <w:r w:rsidR="00026AB7" w:rsidRPr="00A00C26">
        <w:rPr>
          <w:rFonts w:ascii="Arial" w:hAnsi="Arial" w:cs="Arial"/>
          <w:sz w:val="23"/>
          <w:szCs w:val="23"/>
        </w:rPr>
        <w:t xml:space="preserve">intensive two year </w:t>
      </w:r>
      <w:r w:rsidR="00900EF5" w:rsidRPr="00A00C26">
        <w:rPr>
          <w:rFonts w:ascii="Arial" w:hAnsi="Arial" w:cs="Arial"/>
          <w:sz w:val="23"/>
          <w:szCs w:val="23"/>
        </w:rPr>
        <w:t>project with CRP’</w:t>
      </w:r>
      <w:r w:rsidR="00A11063" w:rsidRPr="00A00C26">
        <w:rPr>
          <w:rFonts w:ascii="Arial" w:hAnsi="Arial" w:cs="Arial"/>
          <w:sz w:val="23"/>
          <w:szCs w:val="23"/>
        </w:rPr>
        <w:t xml:space="preserve">s, </w:t>
      </w:r>
      <w:r w:rsidR="0032646E" w:rsidRPr="00A00C26">
        <w:rPr>
          <w:rFonts w:ascii="Arial" w:hAnsi="Arial" w:cs="Arial"/>
          <w:sz w:val="23"/>
          <w:szCs w:val="23"/>
        </w:rPr>
        <w:t xml:space="preserve">DVR is implementing </w:t>
      </w:r>
      <w:r w:rsidR="00026AB7" w:rsidRPr="00A00C26">
        <w:rPr>
          <w:rFonts w:ascii="Arial" w:hAnsi="Arial" w:cs="Arial"/>
          <w:sz w:val="23"/>
          <w:szCs w:val="23"/>
        </w:rPr>
        <w:t>changes in its CRP payment system, which will move it to an outcome based model</w:t>
      </w:r>
      <w:r w:rsidR="0032646E" w:rsidRPr="00A00C26">
        <w:rPr>
          <w:rFonts w:ascii="Arial" w:hAnsi="Arial" w:cs="Arial"/>
          <w:sz w:val="23"/>
          <w:szCs w:val="23"/>
        </w:rPr>
        <w:t>.</w:t>
      </w:r>
      <w:r w:rsidR="00026AB7" w:rsidRPr="00A00C26">
        <w:rPr>
          <w:rFonts w:ascii="Arial" w:hAnsi="Arial" w:cs="Arial"/>
          <w:sz w:val="23"/>
          <w:szCs w:val="23"/>
        </w:rPr>
        <w:t xml:space="preserve">  These changes will go into effect across the state during State Fiscal Year 2014 through a gradual regional roll-out.</w:t>
      </w:r>
    </w:p>
    <w:p w:rsidR="00900EF5" w:rsidRPr="00A00C26" w:rsidRDefault="00900EF5" w:rsidP="00900EF5">
      <w:pPr>
        <w:rPr>
          <w:sz w:val="23"/>
          <w:szCs w:val="23"/>
        </w:rPr>
      </w:pPr>
    </w:p>
    <w:p w:rsidR="00BC00D2" w:rsidRPr="00A00C26" w:rsidRDefault="001D1653" w:rsidP="001D1653">
      <w:pPr>
        <w:rPr>
          <w:rFonts w:ascii="Arial" w:hAnsi="Arial" w:cs="Arial"/>
          <w:sz w:val="23"/>
          <w:szCs w:val="23"/>
        </w:rPr>
      </w:pPr>
      <w:r w:rsidRPr="00A00C26">
        <w:rPr>
          <w:rFonts w:ascii="Arial" w:hAnsi="Arial" w:cs="Arial"/>
          <w:b/>
          <w:sz w:val="23"/>
          <w:szCs w:val="23"/>
        </w:rPr>
        <w:t>Employment Placement Servi</w:t>
      </w:r>
      <w:r w:rsidR="002759BC" w:rsidRPr="00A00C26">
        <w:rPr>
          <w:rFonts w:ascii="Arial" w:hAnsi="Arial" w:cs="Arial"/>
          <w:b/>
          <w:sz w:val="23"/>
          <w:szCs w:val="23"/>
        </w:rPr>
        <w:t xml:space="preserve">ces and Fees:  </w:t>
      </w:r>
      <w:r w:rsidRPr="00A00C26">
        <w:rPr>
          <w:rFonts w:ascii="Arial" w:hAnsi="Arial" w:cs="Arial"/>
          <w:sz w:val="23"/>
          <w:szCs w:val="23"/>
        </w:rPr>
        <w:t xml:space="preserve">DVR will be using a tiered milestone payment system to fund CRP Employment Placement Services, based upon the individual’s </w:t>
      </w:r>
      <w:r w:rsidR="00BC00D2" w:rsidRPr="00A00C26">
        <w:rPr>
          <w:rFonts w:ascii="Arial" w:hAnsi="Arial" w:cs="Arial"/>
          <w:sz w:val="23"/>
          <w:szCs w:val="23"/>
        </w:rPr>
        <w:t>functional limitations and significance of disability</w:t>
      </w:r>
      <w:r w:rsidRPr="00A00C26">
        <w:rPr>
          <w:rFonts w:ascii="Arial" w:hAnsi="Arial" w:cs="Arial"/>
          <w:sz w:val="23"/>
          <w:szCs w:val="23"/>
        </w:rPr>
        <w:t xml:space="preserve">.  </w:t>
      </w:r>
      <w:r w:rsidR="00BC00D2" w:rsidRPr="00A00C26">
        <w:rPr>
          <w:rFonts w:ascii="Arial" w:hAnsi="Arial" w:cs="Arial"/>
          <w:sz w:val="23"/>
          <w:szCs w:val="23"/>
        </w:rPr>
        <w:t>This payment system would be used when an individual has a defined vocational goal and needs job development services</w:t>
      </w:r>
      <w:r w:rsidR="003A48C9" w:rsidRPr="00A00C26">
        <w:rPr>
          <w:rFonts w:ascii="Arial" w:hAnsi="Arial" w:cs="Arial"/>
          <w:sz w:val="23"/>
          <w:szCs w:val="23"/>
        </w:rPr>
        <w:t xml:space="preserve">. </w:t>
      </w:r>
      <w:r w:rsidR="00A00C26" w:rsidRPr="00A00C26">
        <w:rPr>
          <w:rFonts w:ascii="Arial" w:hAnsi="Arial" w:cs="Arial"/>
          <w:sz w:val="23"/>
          <w:szCs w:val="23"/>
        </w:rPr>
        <w:t xml:space="preserve">Job development services are defined as actively seeking employment on a specific individual’s behalf, which includes identifying appropriate job opportunities, making contacts with employers and referral to specific jobs, as well as possibly helping with resume preparation, applications and interview skills. </w:t>
      </w:r>
      <w:r w:rsidR="00A00C26" w:rsidRPr="00A00C26">
        <w:rPr>
          <w:rFonts w:ascii="Arial" w:hAnsi="Arial" w:cs="Arial"/>
          <w:sz w:val="23"/>
          <w:szCs w:val="23"/>
        </w:rPr>
        <w:br/>
      </w:r>
      <w:r w:rsidR="00A00C26" w:rsidRPr="00A00C26">
        <w:rPr>
          <w:rFonts w:ascii="Arial" w:hAnsi="Arial" w:cs="Arial"/>
          <w:sz w:val="23"/>
          <w:szCs w:val="23"/>
        </w:rPr>
        <w:br/>
        <w:t xml:space="preserve">The Vocational Rehabilitation Counselor (VRC) will determine the applicable tier utilizing DVR’s Order of Selection (OOS) rules and process.  </w:t>
      </w:r>
    </w:p>
    <w:p w:rsidR="00BC00D2" w:rsidRPr="00A00C26" w:rsidRDefault="001D1653" w:rsidP="00BC00D2">
      <w:pPr>
        <w:pStyle w:val="ListParagraph"/>
        <w:numPr>
          <w:ilvl w:val="0"/>
          <w:numId w:val="2"/>
        </w:numPr>
        <w:rPr>
          <w:rFonts w:ascii="Arial" w:hAnsi="Arial" w:cs="Arial"/>
          <w:b/>
          <w:sz w:val="23"/>
          <w:szCs w:val="23"/>
        </w:rPr>
      </w:pPr>
      <w:r w:rsidRPr="00A00C26">
        <w:rPr>
          <w:rFonts w:ascii="Arial" w:hAnsi="Arial" w:cs="Arial"/>
          <w:sz w:val="23"/>
          <w:szCs w:val="23"/>
        </w:rPr>
        <w:t xml:space="preserve">Tier I </w:t>
      </w:r>
      <w:r w:rsidR="00BC00D2" w:rsidRPr="00A00C26">
        <w:rPr>
          <w:rFonts w:ascii="Arial" w:hAnsi="Arial" w:cs="Arial"/>
          <w:sz w:val="23"/>
          <w:szCs w:val="23"/>
        </w:rPr>
        <w:t xml:space="preserve">milestone payments will be available for </w:t>
      </w:r>
      <w:r w:rsidRPr="00A00C26">
        <w:rPr>
          <w:rFonts w:ascii="Arial" w:hAnsi="Arial" w:cs="Arial"/>
          <w:sz w:val="23"/>
          <w:szCs w:val="23"/>
        </w:rPr>
        <w:t xml:space="preserve">individuals </w:t>
      </w:r>
      <w:r w:rsidR="00026AB7" w:rsidRPr="00A00C26">
        <w:rPr>
          <w:rFonts w:ascii="Arial" w:hAnsi="Arial" w:cs="Arial"/>
          <w:sz w:val="23"/>
          <w:szCs w:val="23"/>
        </w:rPr>
        <w:t xml:space="preserve">identified as </w:t>
      </w:r>
      <w:r w:rsidRPr="00A00C26">
        <w:rPr>
          <w:rFonts w:ascii="Arial" w:hAnsi="Arial" w:cs="Arial"/>
          <w:sz w:val="23"/>
          <w:szCs w:val="23"/>
        </w:rPr>
        <w:t xml:space="preserve">in DVR’s Order of Selection Category I (Most Significantly Disabled). </w:t>
      </w:r>
    </w:p>
    <w:p w:rsidR="00026AB7" w:rsidRPr="00A00C26" w:rsidRDefault="001D1653" w:rsidP="00BC00D2">
      <w:pPr>
        <w:pStyle w:val="ListParagraph"/>
        <w:numPr>
          <w:ilvl w:val="0"/>
          <w:numId w:val="2"/>
        </w:numPr>
        <w:rPr>
          <w:rFonts w:ascii="Arial" w:hAnsi="Arial" w:cs="Arial"/>
          <w:b/>
          <w:sz w:val="23"/>
          <w:szCs w:val="23"/>
        </w:rPr>
      </w:pPr>
      <w:r w:rsidRPr="00A00C26">
        <w:rPr>
          <w:rFonts w:ascii="Arial" w:hAnsi="Arial" w:cs="Arial"/>
          <w:sz w:val="23"/>
          <w:szCs w:val="23"/>
        </w:rPr>
        <w:t xml:space="preserve">Tier II </w:t>
      </w:r>
      <w:r w:rsidR="00BC00D2" w:rsidRPr="00A00C26">
        <w:rPr>
          <w:rFonts w:ascii="Arial" w:hAnsi="Arial" w:cs="Arial"/>
          <w:sz w:val="23"/>
          <w:szCs w:val="23"/>
        </w:rPr>
        <w:t>milestone payments will be available</w:t>
      </w:r>
      <w:r w:rsidRPr="00A00C26">
        <w:rPr>
          <w:rFonts w:ascii="Arial" w:hAnsi="Arial" w:cs="Arial"/>
          <w:sz w:val="23"/>
          <w:szCs w:val="23"/>
        </w:rPr>
        <w:t xml:space="preserve"> for individuals </w:t>
      </w:r>
      <w:r w:rsidR="00026AB7" w:rsidRPr="00A00C26">
        <w:rPr>
          <w:rFonts w:ascii="Arial" w:hAnsi="Arial" w:cs="Arial"/>
          <w:sz w:val="23"/>
          <w:szCs w:val="23"/>
        </w:rPr>
        <w:t xml:space="preserve">identified as </w:t>
      </w:r>
      <w:r w:rsidRPr="00A00C26">
        <w:rPr>
          <w:rFonts w:ascii="Arial" w:hAnsi="Arial" w:cs="Arial"/>
          <w:sz w:val="23"/>
          <w:szCs w:val="23"/>
        </w:rPr>
        <w:t>in DVR’</w:t>
      </w:r>
      <w:r w:rsidR="00BC00D2" w:rsidRPr="00A00C26">
        <w:rPr>
          <w:rFonts w:ascii="Arial" w:hAnsi="Arial" w:cs="Arial"/>
          <w:sz w:val="23"/>
          <w:szCs w:val="23"/>
        </w:rPr>
        <w:t>s Order of Selection Category 2 or Category</w:t>
      </w:r>
      <w:r w:rsidRPr="00A00C26">
        <w:rPr>
          <w:rFonts w:ascii="Arial" w:hAnsi="Arial" w:cs="Arial"/>
          <w:sz w:val="23"/>
          <w:szCs w:val="23"/>
        </w:rPr>
        <w:t xml:space="preserve"> 3 (Significantly Disabled and Disabled).  </w:t>
      </w:r>
    </w:p>
    <w:tbl>
      <w:tblPr>
        <w:tblpPr w:leftFromText="180" w:rightFromText="180" w:vertAnchor="text"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1889"/>
        <w:gridCol w:w="1369"/>
      </w:tblGrid>
      <w:tr w:rsidR="00A00C26" w:rsidRPr="00A00C26" w:rsidTr="00A00C26">
        <w:tc>
          <w:tcPr>
            <w:tcW w:w="6318" w:type="dxa"/>
            <w:shd w:val="clear" w:color="auto" w:fill="auto"/>
          </w:tcPr>
          <w:p w:rsidR="00A00C26" w:rsidRPr="00A00C26" w:rsidRDefault="00A00C26" w:rsidP="00A00C26">
            <w:pPr>
              <w:jc w:val="center"/>
              <w:rPr>
                <w:rFonts w:ascii="Arial" w:hAnsi="Arial" w:cs="Arial"/>
                <w:b/>
                <w:sz w:val="23"/>
                <w:szCs w:val="23"/>
              </w:rPr>
            </w:pPr>
            <w:r w:rsidRPr="00A00C26">
              <w:rPr>
                <w:rFonts w:ascii="Arial" w:hAnsi="Arial" w:cs="Arial"/>
                <w:b/>
                <w:sz w:val="23"/>
                <w:szCs w:val="23"/>
              </w:rPr>
              <w:t>MILESTONES*</w:t>
            </w:r>
          </w:p>
        </w:tc>
        <w:tc>
          <w:tcPr>
            <w:tcW w:w="1889" w:type="dxa"/>
            <w:shd w:val="clear" w:color="auto" w:fill="auto"/>
          </w:tcPr>
          <w:p w:rsidR="00A00C26" w:rsidRPr="00A00C26" w:rsidRDefault="00A00C26" w:rsidP="00A00C26">
            <w:pPr>
              <w:jc w:val="center"/>
              <w:rPr>
                <w:rFonts w:ascii="Arial" w:hAnsi="Arial" w:cs="Arial"/>
                <w:b/>
                <w:sz w:val="23"/>
                <w:szCs w:val="23"/>
              </w:rPr>
            </w:pPr>
            <w:r w:rsidRPr="00A00C26">
              <w:rPr>
                <w:rFonts w:ascii="Arial" w:hAnsi="Arial" w:cs="Arial"/>
                <w:b/>
                <w:sz w:val="23"/>
                <w:szCs w:val="23"/>
              </w:rPr>
              <w:t>TIER I</w:t>
            </w:r>
          </w:p>
        </w:tc>
        <w:tc>
          <w:tcPr>
            <w:tcW w:w="1369" w:type="dxa"/>
          </w:tcPr>
          <w:p w:rsidR="00A00C26" w:rsidRPr="00A00C26" w:rsidRDefault="00A00C26" w:rsidP="00A00C26">
            <w:pPr>
              <w:jc w:val="center"/>
              <w:rPr>
                <w:rFonts w:ascii="Arial" w:hAnsi="Arial" w:cs="Arial"/>
                <w:b/>
                <w:sz w:val="23"/>
                <w:szCs w:val="23"/>
              </w:rPr>
            </w:pPr>
            <w:r w:rsidRPr="00A00C26">
              <w:rPr>
                <w:rFonts w:ascii="Arial" w:hAnsi="Arial" w:cs="Arial"/>
                <w:b/>
                <w:sz w:val="23"/>
                <w:szCs w:val="23"/>
              </w:rPr>
              <w:t>TIER II</w:t>
            </w: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1.  Plan for Employment Search Written</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  900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  500</w:t>
            </w: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2.  Placed in Employment – Completes 1 work day</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  900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  500</w:t>
            </w: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3.  Maintains Employment – Completes 45 calendar days</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$1,000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  500</w:t>
            </w: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4.  Retains Employment – Eligible for successful VR closure</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$1,200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$1,000</w:t>
            </w:r>
          </w:p>
        </w:tc>
      </w:tr>
      <w:tr w:rsidR="00A00C26" w:rsidRPr="00A00C26" w:rsidTr="00A00C26">
        <w:tc>
          <w:tcPr>
            <w:tcW w:w="6318" w:type="dxa"/>
            <w:shd w:val="clear" w:color="auto" w:fill="auto"/>
          </w:tcPr>
          <w:p w:rsidR="00A00C26" w:rsidRPr="00A00C26" w:rsidRDefault="00A00C26" w:rsidP="00A00C26">
            <w:pPr>
              <w:jc w:val="right"/>
              <w:rPr>
                <w:rFonts w:ascii="Arial" w:hAnsi="Arial" w:cs="Arial"/>
                <w:sz w:val="23"/>
                <w:szCs w:val="23"/>
              </w:rPr>
            </w:pPr>
            <w:r w:rsidRPr="00A00C26">
              <w:rPr>
                <w:rFonts w:ascii="Arial" w:hAnsi="Arial" w:cs="Arial"/>
                <w:sz w:val="23"/>
                <w:szCs w:val="23"/>
              </w:rPr>
              <w:t>TOTAL</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$ 4,000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$ 2,500</w:t>
            </w:r>
          </w:p>
        </w:tc>
      </w:tr>
      <w:tr w:rsidR="00A00C26" w:rsidRPr="00A00C26" w:rsidTr="00A00C26">
        <w:tc>
          <w:tcPr>
            <w:tcW w:w="6318" w:type="dxa"/>
            <w:shd w:val="clear" w:color="auto" w:fill="auto"/>
          </w:tcPr>
          <w:p w:rsidR="00A00C26" w:rsidRPr="00A00C26" w:rsidRDefault="00A00C26" w:rsidP="00A00C26">
            <w:pPr>
              <w:jc w:val="center"/>
              <w:rPr>
                <w:rFonts w:ascii="Arial" w:hAnsi="Arial" w:cs="Arial"/>
                <w:sz w:val="23"/>
                <w:szCs w:val="23"/>
              </w:rPr>
            </w:pPr>
          </w:p>
        </w:tc>
        <w:tc>
          <w:tcPr>
            <w:tcW w:w="1889" w:type="dxa"/>
            <w:shd w:val="clear" w:color="auto" w:fill="auto"/>
          </w:tcPr>
          <w:p w:rsidR="00A00C26" w:rsidRPr="00A00C26" w:rsidRDefault="00A00C26" w:rsidP="00A00C26">
            <w:pPr>
              <w:jc w:val="center"/>
              <w:rPr>
                <w:rFonts w:ascii="Arial" w:hAnsi="Arial" w:cs="Arial"/>
                <w:sz w:val="23"/>
                <w:szCs w:val="23"/>
              </w:rPr>
            </w:pPr>
          </w:p>
        </w:tc>
        <w:tc>
          <w:tcPr>
            <w:tcW w:w="1369" w:type="dxa"/>
          </w:tcPr>
          <w:p w:rsidR="00A00C26" w:rsidRPr="00A00C26" w:rsidRDefault="00A00C26" w:rsidP="00A00C26">
            <w:pPr>
              <w:jc w:val="center"/>
              <w:rPr>
                <w:rFonts w:ascii="Arial" w:hAnsi="Arial" w:cs="Arial"/>
                <w:sz w:val="23"/>
                <w:szCs w:val="23"/>
              </w:rPr>
            </w:pP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 xml:space="preserve">Bonus Payment – SSI/SSDI Recipients at SGA Earnings Level </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$ 1,000</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$ 1,000</w:t>
            </w: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p>
        </w:tc>
        <w:tc>
          <w:tcPr>
            <w:tcW w:w="1889" w:type="dxa"/>
            <w:shd w:val="clear" w:color="auto" w:fill="auto"/>
          </w:tcPr>
          <w:p w:rsidR="00A00C26" w:rsidRPr="00A00C26" w:rsidRDefault="00A00C26" w:rsidP="00A00C26">
            <w:pPr>
              <w:jc w:val="center"/>
              <w:rPr>
                <w:rFonts w:ascii="Arial" w:hAnsi="Arial" w:cs="Arial"/>
                <w:sz w:val="23"/>
                <w:szCs w:val="23"/>
              </w:rPr>
            </w:pPr>
          </w:p>
        </w:tc>
        <w:tc>
          <w:tcPr>
            <w:tcW w:w="1369" w:type="dxa"/>
          </w:tcPr>
          <w:p w:rsidR="00A00C26" w:rsidRPr="00A00C26" w:rsidRDefault="00A00C26" w:rsidP="00A00C26">
            <w:pPr>
              <w:jc w:val="center"/>
              <w:rPr>
                <w:rFonts w:ascii="Arial" w:hAnsi="Arial" w:cs="Arial"/>
                <w:sz w:val="23"/>
                <w:szCs w:val="23"/>
              </w:rPr>
            </w:pPr>
          </w:p>
        </w:tc>
      </w:tr>
      <w:tr w:rsidR="00A00C26" w:rsidRPr="00A00C26" w:rsidTr="00A00C26">
        <w:tc>
          <w:tcPr>
            <w:tcW w:w="6318" w:type="dxa"/>
            <w:shd w:val="clear" w:color="auto" w:fill="auto"/>
          </w:tcPr>
          <w:p w:rsidR="00A00C26" w:rsidRPr="00A00C26" w:rsidRDefault="00A00C26" w:rsidP="00A00C26">
            <w:pPr>
              <w:rPr>
                <w:rFonts w:ascii="Arial" w:hAnsi="Arial" w:cs="Arial"/>
                <w:sz w:val="23"/>
                <w:szCs w:val="23"/>
              </w:rPr>
            </w:pPr>
            <w:r w:rsidRPr="00A00C26">
              <w:rPr>
                <w:rFonts w:ascii="Arial" w:hAnsi="Arial" w:cs="Arial"/>
                <w:sz w:val="23"/>
                <w:szCs w:val="23"/>
              </w:rPr>
              <w:t>Additional Subsidies** :</w:t>
            </w:r>
          </w:p>
        </w:tc>
        <w:tc>
          <w:tcPr>
            <w:tcW w:w="1889" w:type="dxa"/>
            <w:shd w:val="clear" w:color="auto" w:fill="auto"/>
          </w:tcPr>
          <w:p w:rsidR="00A00C26" w:rsidRPr="00A00C26" w:rsidRDefault="00A00C26" w:rsidP="00A00C26">
            <w:pPr>
              <w:jc w:val="center"/>
              <w:rPr>
                <w:rFonts w:ascii="Arial" w:hAnsi="Arial" w:cs="Arial"/>
                <w:sz w:val="23"/>
                <w:szCs w:val="23"/>
              </w:rPr>
            </w:pPr>
          </w:p>
        </w:tc>
        <w:tc>
          <w:tcPr>
            <w:tcW w:w="1369" w:type="dxa"/>
          </w:tcPr>
          <w:p w:rsidR="00A00C26" w:rsidRPr="00A00C26" w:rsidRDefault="00A00C26" w:rsidP="00A00C26">
            <w:pPr>
              <w:jc w:val="center"/>
              <w:rPr>
                <w:rFonts w:ascii="Arial" w:hAnsi="Arial" w:cs="Arial"/>
                <w:sz w:val="23"/>
                <w:szCs w:val="23"/>
              </w:rPr>
            </w:pPr>
          </w:p>
        </w:tc>
      </w:tr>
      <w:tr w:rsidR="00A00C26" w:rsidRPr="00A00C26" w:rsidTr="00A00C26">
        <w:tc>
          <w:tcPr>
            <w:tcW w:w="6318" w:type="dxa"/>
            <w:shd w:val="clear" w:color="auto" w:fill="auto"/>
          </w:tcPr>
          <w:p w:rsidR="00A00C26" w:rsidRPr="00A00C26" w:rsidRDefault="00A00C26" w:rsidP="00A00C26">
            <w:pPr>
              <w:jc w:val="right"/>
              <w:rPr>
                <w:rFonts w:ascii="Arial" w:hAnsi="Arial" w:cs="Arial"/>
                <w:sz w:val="23"/>
                <w:szCs w:val="23"/>
              </w:rPr>
            </w:pPr>
            <w:r w:rsidRPr="00A00C26">
              <w:rPr>
                <w:rFonts w:ascii="Arial" w:hAnsi="Arial" w:cs="Arial"/>
                <w:sz w:val="23"/>
                <w:szCs w:val="23"/>
              </w:rPr>
              <w:t xml:space="preserve">Remote Area Travel  </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15%</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15%</w:t>
            </w:r>
          </w:p>
        </w:tc>
      </w:tr>
      <w:tr w:rsidR="00A00C26" w:rsidRPr="00A00C26" w:rsidTr="00A00C26">
        <w:tc>
          <w:tcPr>
            <w:tcW w:w="6318" w:type="dxa"/>
            <w:shd w:val="clear" w:color="auto" w:fill="auto"/>
          </w:tcPr>
          <w:p w:rsidR="00A00C26" w:rsidRPr="00A00C26" w:rsidRDefault="00A00C26" w:rsidP="00A00C26">
            <w:pPr>
              <w:jc w:val="right"/>
              <w:rPr>
                <w:rFonts w:ascii="Arial" w:hAnsi="Arial" w:cs="Arial"/>
                <w:sz w:val="23"/>
                <w:szCs w:val="23"/>
              </w:rPr>
            </w:pPr>
            <w:r w:rsidRPr="00A00C26">
              <w:rPr>
                <w:rFonts w:ascii="Arial" w:hAnsi="Arial" w:cs="Arial"/>
                <w:sz w:val="23"/>
                <w:szCs w:val="23"/>
              </w:rPr>
              <w:t>Required Population Specific Certification/Competency</w:t>
            </w:r>
          </w:p>
        </w:tc>
        <w:tc>
          <w:tcPr>
            <w:tcW w:w="1889" w:type="dxa"/>
            <w:shd w:val="clear" w:color="auto" w:fill="auto"/>
          </w:tcPr>
          <w:p w:rsidR="00A00C26" w:rsidRPr="00A00C26" w:rsidRDefault="00A00C26" w:rsidP="00A00C26">
            <w:pPr>
              <w:jc w:val="center"/>
              <w:rPr>
                <w:rFonts w:ascii="Arial" w:hAnsi="Arial" w:cs="Arial"/>
                <w:sz w:val="23"/>
                <w:szCs w:val="23"/>
              </w:rPr>
            </w:pPr>
            <w:r w:rsidRPr="00A00C26">
              <w:rPr>
                <w:rFonts w:ascii="Arial" w:hAnsi="Arial" w:cs="Arial"/>
                <w:sz w:val="23"/>
                <w:szCs w:val="23"/>
              </w:rPr>
              <w:t>15%</w:t>
            </w:r>
          </w:p>
        </w:tc>
        <w:tc>
          <w:tcPr>
            <w:tcW w:w="1369" w:type="dxa"/>
          </w:tcPr>
          <w:p w:rsidR="00A00C26" w:rsidRPr="00A00C26" w:rsidRDefault="00A00C26" w:rsidP="00A00C26">
            <w:pPr>
              <w:jc w:val="center"/>
              <w:rPr>
                <w:rFonts w:ascii="Arial" w:hAnsi="Arial" w:cs="Arial"/>
                <w:sz w:val="23"/>
                <w:szCs w:val="23"/>
              </w:rPr>
            </w:pPr>
            <w:r w:rsidRPr="00A00C26">
              <w:rPr>
                <w:rFonts w:ascii="Arial" w:hAnsi="Arial" w:cs="Arial"/>
                <w:sz w:val="23"/>
                <w:szCs w:val="23"/>
              </w:rPr>
              <w:t>15%</w:t>
            </w:r>
          </w:p>
        </w:tc>
      </w:tr>
    </w:tbl>
    <w:p w:rsidR="001D1653" w:rsidRPr="00A00C26" w:rsidRDefault="00026AB7" w:rsidP="00026AB7">
      <w:pPr>
        <w:rPr>
          <w:rFonts w:ascii="Arial" w:hAnsi="Arial" w:cs="Arial"/>
          <w:b/>
          <w:sz w:val="23"/>
          <w:szCs w:val="23"/>
        </w:rPr>
      </w:pPr>
      <w:r w:rsidRPr="00A00C26">
        <w:rPr>
          <w:rFonts w:ascii="Arial" w:hAnsi="Arial" w:cs="Arial"/>
          <w:sz w:val="23"/>
          <w:szCs w:val="23"/>
        </w:rPr>
        <w:br/>
        <w:t>The milestone payment system and potential additional fees are as follows:</w:t>
      </w:r>
      <w:r w:rsidRPr="00A00C26">
        <w:rPr>
          <w:rFonts w:ascii="Arial" w:hAnsi="Arial" w:cs="Arial"/>
          <w:sz w:val="23"/>
          <w:szCs w:val="23"/>
        </w:rPr>
        <w:br/>
      </w:r>
    </w:p>
    <w:p w:rsidR="00BC3F27" w:rsidRPr="00A00C26" w:rsidRDefault="00A11063" w:rsidP="00BC3F27">
      <w:pPr>
        <w:jc w:val="center"/>
        <w:rPr>
          <w:rFonts w:ascii="Arial" w:hAnsi="Arial" w:cs="Arial"/>
          <w:b/>
          <w:sz w:val="23"/>
          <w:szCs w:val="23"/>
        </w:rPr>
      </w:pPr>
      <w:r w:rsidRPr="00A00C26">
        <w:rPr>
          <w:rFonts w:ascii="Arial" w:hAnsi="Arial" w:cs="Arial"/>
          <w:b/>
          <w:sz w:val="23"/>
          <w:szCs w:val="23"/>
        </w:rPr>
        <w:br/>
      </w: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A11063" w:rsidRPr="00A00C26" w:rsidRDefault="00A11063" w:rsidP="00BC3F27">
      <w:pPr>
        <w:jc w:val="center"/>
        <w:rPr>
          <w:rFonts w:ascii="Arial" w:hAnsi="Arial" w:cs="Arial"/>
          <w:b/>
          <w:sz w:val="23"/>
          <w:szCs w:val="23"/>
        </w:rPr>
      </w:pPr>
    </w:p>
    <w:p w:rsidR="00621975" w:rsidRPr="00A00C26" w:rsidRDefault="00A11063" w:rsidP="00A11063">
      <w:pPr>
        <w:rPr>
          <w:rFonts w:ascii="Arial" w:hAnsi="Arial" w:cs="Arial"/>
          <w:sz w:val="23"/>
          <w:szCs w:val="23"/>
        </w:rPr>
      </w:pPr>
      <w:r w:rsidRPr="00A00C26">
        <w:rPr>
          <w:rFonts w:ascii="Arial" w:hAnsi="Arial" w:cs="Arial"/>
          <w:b/>
          <w:sz w:val="23"/>
          <w:szCs w:val="23"/>
        </w:rPr>
        <w:t>*</w:t>
      </w:r>
      <w:r w:rsidR="00621975" w:rsidRPr="00A00C26">
        <w:rPr>
          <w:rFonts w:ascii="Arial" w:hAnsi="Arial" w:cs="Arial"/>
          <w:b/>
          <w:sz w:val="23"/>
          <w:szCs w:val="23"/>
        </w:rPr>
        <w:t xml:space="preserve"> </w:t>
      </w:r>
      <w:r w:rsidRPr="00A00C26">
        <w:rPr>
          <w:rFonts w:ascii="Arial" w:hAnsi="Arial" w:cs="Arial"/>
          <w:b/>
          <w:sz w:val="23"/>
          <w:szCs w:val="23"/>
        </w:rPr>
        <w:t>Milestone payments can only be issued for employment outcomes consistent with the IPE</w:t>
      </w:r>
      <w:r w:rsidRPr="00A00C26">
        <w:rPr>
          <w:rFonts w:ascii="Arial" w:hAnsi="Arial" w:cs="Arial"/>
          <w:sz w:val="23"/>
          <w:szCs w:val="23"/>
        </w:rPr>
        <w:t>.</w:t>
      </w:r>
    </w:p>
    <w:p w:rsidR="00A00C26" w:rsidRDefault="00621975" w:rsidP="00A11063">
      <w:pPr>
        <w:rPr>
          <w:rFonts w:ascii="Arial" w:hAnsi="Arial" w:cs="Arial"/>
          <w:b/>
          <w:sz w:val="22"/>
          <w:szCs w:val="22"/>
        </w:rPr>
      </w:pPr>
      <w:r w:rsidRPr="00A00C26">
        <w:rPr>
          <w:rFonts w:ascii="Arial" w:hAnsi="Arial" w:cs="Arial"/>
          <w:sz w:val="23"/>
          <w:szCs w:val="23"/>
        </w:rPr>
        <w:t>**As part of CRP contract, select agencies will be provided additional funding to reach underserved areas and populations.</w:t>
      </w:r>
      <w:r w:rsidR="00A11063" w:rsidRPr="00A00C26">
        <w:rPr>
          <w:rFonts w:ascii="Arial" w:hAnsi="Arial" w:cs="Arial"/>
          <w:sz w:val="23"/>
          <w:szCs w:val="23"/>
        </w:rPr>
        <w:br/>
      </w:r>
    </w:p>
    <w:p w:rsidR="002073AB" w:rsidRPr="00A00C26" w:rsidRDefault="00A11063" w:rsidP="00A11063">
      <w:pPr>
        <w:rPr>
          <w:rFonts w:ascii="Arial" w:hAnsi="Arial" w:cs="Arial"/>
          <w:sz w:val="22"/>
          <w:szCs w:val="22"/>
        </w:rPr>
      </w:pPr>
      <w:r w:rsidRPr="00A00C26">
        <w:rPr>
          <w:rFonts w:ascii="Arial" w:hAnsi="Arial" w:cs="Arial"/>
          <w:b/>
          <w:sz w:val="22"/>
          <w:szCs w:val="22"/>
        </w:rPr>
        <w:lastRenderedPageBreak/>
        <w:br/>
        <w:t xml:space="preserve">Job Coaching Services and Fees:  </w:t>
      </w:r>
      <w:r w:rsidRPr="00A00C26">
        <w:rPr>
          <w:rFonts w:ascii="Arial" w:hAnsi="Arial" w:cs="Arial"/>
          <w:sz w:val="22"/>
          <w:szCs w:val="22"/>
        </w:rPr>
        <w:t xml:space="preserve">Based upon individualized need, DVR will fund pre-authorized job </w:t>
      </w:r>
      <w:r w:rsidR="00264C1B" w:rsidRPr="00A00C26">
        <w:rPr>
          <w:rFonts w:ascii="Arial" w:hAnsi="Arial" w:cs="Arial"/>
          <w:sz w:val="22"/>
          <w:szCs w:val="22"/>
        </w:rPr>
        <w:t>c</w:t>
      </w:r>
      <w:r w:rsidRPr="00A00C26">
        <w:rPr>
          <w:rFonts w:ascii="Arial" w:hAnsi="Arial" w:cs="Arial"/>
          <w:sz w:val="22"/>
          <w:szCs w:val="22"/>
        </w:rPr>
        <w:t xml:space="preserve">oaching at an hourly rate of </w:t>
      </w:r>
      <w:r w:rsidRPr="00A00C26">
        <w:rPr>
          <w:rFonts w:ascii="Arial" w:hAnsi="Arial" w:cs="Arial"/>
          <w:b/>
          <w:sz w:val="22"/>
          <w:szCs w:val="22"/>
        </w:rPr>
        <w:t>$30 per hour</w:t>
      </w:r>
      <w:r w:rsidR="00264C1B" w:rsidRPr="00A00C26">
        <w:rPr>
          <w:rFonts w:ascii="Arial" w:hAnsi="Arial" w:cs="Arial"/>
          <w:sz w:val="22"/>
          <w:szCs w:val="22"/>
        </w:rPr>
        <w:t>.</w:t>
      </w:r>
      <w:r w:rsidR="00E00A58" w:rsidRPr="00A00C26">
        <w:rPr>
          <w:rFonts w:ascii="Arial" w:hAnsi="Arial" w:cs="Arial"/>
          <w:sz w:val="22"/>
          <w:szCs w:val="22"/>
        </w:rPr>
        <w:br/>
      </w:r>
      <w:r w:rsidR="00E00A58" w:rsidRPr="00A00C26">
        <w:rPr>
          <w:rFonts w:ascii="Arial" w:hAnsi="Arial" w:cs="Arial"/>
          <w:sz w:val="22"/>
          <w:szCs w:val="22"/>
        </w:rPr>
        <w:br/>
      </w:r>
      <w:r w:rsidR="00026AB7" w:rsidRPr="00A00C26">
        <w:rPr>
          <w:rFonts w:ascii="Arial" w:hAnsi="Arial" w:cs="Arial"/>
          <w:sz w:val="22"/>
          <w:szCs w:val="22"/>
        </w:rPr>
        <w:br/>
      </w:r>
      <w:r w:rsidR="00026AB7" w:rsidRPr="00A00C26">
        <w:rPr>
          <w:rFonts w:ascii="Arial" w:hAnsi="Arial" w:cs="Arial"/>
          <w:b/>
          <w:sz w:val="22"/>
          <w:szCs w:val="22"/>
        </w:rPr>
        <w:t>Stand</w:t>
      </w:r>
      <w:r w:rsidR="00264C1B" w:rsidRPr="00A00C26">
        <w:rPr>
          <w:rFonts w:ascii="Arial" w:hAnsi="Arial" w:cs="Arial"/>
          <w:b/>
          <w:sz w:val="22"/>
          <w:szCs w:val="22"/>
        </w:rPr>
        <w:t>-</w:t>
      </w:r>
      <w:r w:rsidR="00026AB7" w:rsidRPr="00A00C26">
        <w:rPr>
          <w:rFonts w:ascii="Arial" w:hAnsi="Arial" w:cs="Arial"/>
          <w:b/>
          <w:sz w:val="22"/>
          <w:szCs w:val="22"/>
        </w:rPr>
        <w:t>Alone Single Service</w:t>
      </w:r>
      <w:r w:rsidR="00264C1B" w:rsidRPr="00A00C26">
        <w:rPr>
          <w:rFonts w:ascii="Arial" w:hAnsi="Arial" w:cs="Arial"/>
          <w:b/>
          <w:sz w:val="22"/>
          <w:szCs w:val="22"/>
        </w:rPr>
        <w:t>s</w:t>
      </w:r>
      <w:r w:rsidR="00026AB7" w:rsidRPr="00A00C26">
        <w:rPr>
          <w:rFonts w:ascii="Arial" w:hAnsi="Arial" w:cs="Arial"/>
          <w:b/>
          <w:sz w:val="22"/>
          <w:szCs w:val="22"/>
        </w:rPr>
        <w:t>:</w:t>
      </w:r>
      <w:r w:rsidR="00264C1B" w:rsidRPr="00A00C26">
        <w:rPr>
          <w:rFonts w:ascii="Arial" w:hAnsi="Arial" w:cs="Arial"/>
          <w:b/>
          <w:sz w:val="22"/>
          <w:szCs w:val="22"/>
        </w:rPr>
        <w:t xml:space="preserve">  </w:t>
      </w:r>
      <w:r w:rsidR="00264C1B" w:rsidRPr="00A00C26">
        <w:rPr>
          <w:rFonts w:ascii="Arial" w:hAnsi="Arial" w:cs="Arial"/>
          <w:sz w:val="22"/>
          <w:szCs w:val="22"/>
        </w:rPr>
        <w:t>Based upon individualized need, DVR may engage a CRP</w:t>
      </w:r>
      <w:r w:rsidR="00E00A58" w:rsidRPr="00A00C26">
        <w:rPr>
          <w:rFonts w:ascii="Arial" w:hAnsi="Arial" w:cs="Arial"/>
          <w:sz w:val="22"/>
          <w:szCs w:val="22"/>
        </w:rPr>
        <w:t xml:space="preserve"> to </w:t>
      </w:r>
      <w:r w:rsidR="00264C1B" w:rsidRPr="00A00C26">
        <w:rPr>
          <w:rFonts w:ascii="Arial" w:hAnsi="Arial" w:cs="Arial"/>
          <w:sz w:val="22"/>
          <w:szCs w:val="22"/>
        </w:rPr>
        <w:t xml:space="preserve">provide a stand-alone single service at an hourly rate of </w:t>
      </w:r>
      <w:r w:rsidR="00264C1B" w:rsidRPr="00A00C26">
        <w:rPr>
          <w:rFonts w:ascii="Arial" w:hAnsi="Arial" w:cs="Arial"/>
          <w:b/>
          <w:sz w:val="22"/>
          <w:szCs w:val="22"/>
        </w:rPr>
        <w:t>$30 per hour</w:t>
      </w:r>
      <w:r w:rsidR="00264C1B" w:rsidRPr="00A00C26">
        <w:rPr>
          <w:rFonts w:ascii="Arial" w:hAnsi="Arial" w:cs="Arial"/>
          <w:sz w:val="22"/>
          <w:szCs w:val="22"/>
        </w:rPr>
        <w:t xml:space="preserve">.  </w:t>
      </w:r>
      <w:r w:rsidR="00E00A58" w:rsidRPr="00A00C26">
        <w:rPr>
          <w:rFonts w:ascii="Arial" w:hAnsi="Arial" w:cs="Arial"/>
          <w:sz w:val="22"/>
          <w:szCs w:val="22"/>
        </w:rPr>
        <w:t>These types of services would only be funded separately if the individual was not receiving employment placement services.  E</w:t>
      </w:r>
      <w:r w:rsidR="00264C1B" w:rsidRPr="00A00C26">
        <w:rPr>
          <w:rFonts w:ascii="Arial" w:hAnsi="Arial" w:cs="Arial"/>
          <w:sz w:val="22"/>
          <w:szCs w:val="22"/>
        </w:rPr>
        <w:t xml:space="preserve">xamples </w:t>
      </w:r>
      <w:r w:rsidR="00E00A58" w:rsidRPr="00A00C26">
        <w:rPr>
          <w:rFonts w:ascii="Arial" w:hAnsi="Arial" w:cs="Arial"/>
          <w:sz w:val="22"/>
          <w:szCs w:val="22"/>
        </w:rPr>
        <w:t>include trial work e</w:t>
      </w:r>
      <w:r w:rsidR="00264C1B" w:rsidRPr="00A00C26">
        <w:rPr>
          <w:rFonts w:ascii="Arial" w:hAnsi="Arial" w:cs="Arial"/>
          <w:sz w:val="22"/>
          <w:szCs w:val="22"/>
        </w:rPr>
        <w:t>xperiences to determine VR eligibility, situational assessments</w:t>
      </w:r>
      <w:r w:rsidR="00247CFB" w:rsidRPr="00A00C26">
        <w:rPr>
          <w:rFonts w:ascii="Arial" w:hAnsi="Arial" w:cs="Arial"/>
          <w:sz w:val="22"/>
          <w:szCs w:val="22"/>
        </w:rPr>
        <w:t xml:space="preserve"> for vocational goal development</w:t>
      </w:r>
      <w:r w:rsidR="00264C1B" w:rsidRPr="00A00C26">
        <w:rPr>
          <w:rFonts w:ascii="Arial" w:hAnsi="Arial" w:cs="Arial"/>
          <w:sz w:val="22"/>
          <w:szCs w:val="22"/>
        </w:rPr>
        <w:t xml:space="preserve">, </w:t>
      </w:r>
      <w:r w:rsidR="00E00A58" w:rsidRPr="00A00C26">
        <w:rPr>
          <w:rFonts w:ascii="Arial" w:hAnsi="Arial" w:cs="Arial"/>
          <w:sz w:val="22"/>
          <w:szCs w:val="22"/>
        </w:rPr>
        <w:t xml:space="preserve">and </w:t>
      </w:r>
      <w:r w:rsidR="00264C1B" w:rsidRPr="00A00C26">
        <w:rPr>
          <w:rFonts w:ascii="Arial" w:hAnsi="Arial" w:cs="Arial"/>
          <w:sz w:val="22"/>
          <w:szCs w:val="22"/>
        </w:rPr>
        <w:t xml:space="preserve">employment preparation activities, such as resume writing, job </w:t>
      </w:r>
      <w:r w:rsidR="00E00A58" w:rsidRPr="00A00C26">
        <w:rPr>
          <w:rFonts w:ascii="Arial" w:hAnsi="Arial" w:cs="Arial"/>
          <w:sz w:val="22"/>
          <w:szCs w:val="22"/>
        </w:rPr>
        <w:t xml:space="preserve">shadows/tours, job application assistance, interview preparation, and self-employment support, as well as post-employment services.  </w:t>
      </w:r>
      <w:r w:rsidR="00E00A58" w:rsidRPr="00A00C26">
        <w:rPr>
          <w:rFonts w:ascii="Arial" w:hAnsi="Arial" w:cs="Arial"/>
          <w:sz w:val="22"/>
          <w:szCs w:val="22"/>
        </w:rPr>
        <w:br/>
      </w:r>
      <w:r w:rsidR="00E00A58" w:rsidRPr="00A00C26">
        <w:rPr>
          <w:rFonts w:ascii="Arial" w:hAnsi="Arial" w:cs="Arial"/>
          <w:sz w:val="22"/>
          <w:szCs w:val="22"/>
        </w:rPr>
        <w:br/>
      </w:r>
      <w:r w:rsidR="00E00A58" w:rsidRPr="00A00C26">
        <w:rPr>
          <w:rFonts w:ascii="Arial" w:hAnsi="Arial" w:cs="Arial"/>
          <w:b/>
          <w:sz w:val="22"/>
          <w:szCs w:val="22"/>
        </w:rPr>
        <w:br/>
        <w:t>CRP Reporting and Payment Processing:</w:t>
      </w:r>
      <w:r w:rsidR="002073AB" w:rsidRPr="00A00C26">
        <w:rPr>
          <w:rFonts w:ascii="Arial" w:hAnsi="Arial" w:cs="Arial"/>
          <w:b/>
          <w:sz w:val="22"/>
          <w:szCs w:val="22"/>
        </w:rPr>
        <w:t xml:space="preserve">  </w:t>
      </w:r>
      <w:r w:rsidR="002073AB" w:rsidRPr="00A00C26">
        <w:rPr>
          <w:rFonts w:ascii="Arial" w:hAnsi="Arial" w:cs="Arial"/>
          <w:sz w:val="22"/>
          <w:szCs w:val="22"/>
        </w:rPr>
        <w:t xml:space="preserve">Utilizing the existing R-20 process, DVR will provide prior authorization of the individualized services to be provided by the CRP.  Once the authorized service has been completed or employment milestone achieved, the CRP will request payment by returning the R-20 with supporting documentation, utilizing the report formats that are available on the DVR web site: </w:t>
      </w:r>
      <w:hyperlink r:id="rId9" w:history="1">
        <w:r w:rsidR="002073AB" w:rsidRPr="00A00C26">
          <w:rPr>
            <w:rStyle w:val="Hyperlink"/>
            <w:rFonts w:ascii="Arial" w:hAnsi="Arial" w:cs="Arial"/>
            <w:sz w:val="22"/>
            <w:szCs w:val="22"/>
          </w:rPr>
          <w:t>http://www.maine.gov/rehab/crp/index.shtml</w:t>
        </w:r>
      </w:hyperlink>
    </w:p>
    <w:p w:rsidR="00A11063" w:rsidRPr="00A00C26" w:rsidRDefault="00E00A58" w:rsidP="00A11063">
      <w:pPr>
        <w:rPr>
          <w:rFonts w:ascii="Arial" w:hAnsi="Arial" w:cs="Arial"/>
          <w:sz w:val="22"/>
          <w:szCs w:val="22"/>
        </w:rPr>
      </w:pPr>
      <w:r w:rsidRPr="00A00C26">
        <w:rPr>
          <w:rFonts w:ascii="Arial" w:hAnsi="Arial" w:cs="Arial"/>
          <w:sz w:val="22"/>
          <w:szCs w:val="22"/>
        </w:rPr>
        <w:br/>
      </w:r>
      <w:r w:rsidRPr="00A00C26">
        <w:rPr>
          <w:rFonts w:ascii="Arial" w:hAnsi="Arial" w:cs="Arial"/>
          <w:sz w:val="22"/>
          <w:szCs w:val="22"/>
        </w:rPr>
        <w:br/>
      </w:r>
    </w:p>
    <w:p w:rsidR="00E00A58" w:rsidRPr="00A00C26" w:rsidRDefault="00E00A58" w:rsidP="00A11063">
      <w:pPr>
        <w:rPr>
          <w:rFonts w:ascii="Arial" w:hAnsi="Arial" w:cs="Arial"/>
          <w:sz w:val="22"/>
          <w:szCs w:val="22"/>
        </w:rPr>
      </w:pPr>
    </w:p>
    <w:sectPr w:rsidR="00E00A58" w:rsidRPr="00A00C26" w:rsidSect="00A00C26">
      <w:headerReference w:type="default" r:id="rId10"/>
      <w:footerReference w:type="default" r:id="rId11"/>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0E" w:rsidRDefault="006A2E0E" w:rsidP="00392978">
      <w:r>
        <w:separator/>
      </w:r>
    </w:p>
  </w:endnote>
  <w:endnote w:type="continuationSeparator" w:id="0">
    <w:p w:rsidR="006A2E0E" w:rsidRDefault="006A2E0E" w:rsidP="003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293366"/>
      <w:docPartObj>
        <w:docPartGallery w:val="Page Numbers (Bottom of Page)"/>
        <w:docPartUnique/>
      </w:docPartObj>
    </w:sdtPr>
    <w:sdtEndPr>
      <w:rPr>
        <w:noProof/>
        <w:sz w:val="20"/>
        <w:szCs w:val="20"/>
      </w:rPr>
    </w:sdtEndPr>
    <w:sdtContent>
      <w:p w:rsidR="00A00C26" w:rsidRPr="00A00C26" w:rsidRDefault="00BC3F27" w:rsidP="00A00C26">
        <w:pPr>
          <w:pStyle w:val="Footer"/>
          <w:jc w:val="center"/>
          <w:rPr>
            <w:noProof/>
            <w:sz w:val="20"/>
            <w:szCs w:val="20"/>
          </w:rPr>
        </w:pPr>
        <w:r w:rsidRPr="00A00C26">
          <w:rPr>
            <w:sz w:val="20"/>
            <w:szCs w:val="20"/>
          </w:rPr>
          <w:fldChar w:fldCharType="begin"/>
        </w:r>
        <w:r w:rsidRPr="00A00C26">
          <w:rPr>
            <w:sz w:val="20"/>
            <w:szCs w:val="20"/>
          </w:rPr>
          <w:instrText xml:space="preserve"> PAGE   \* MERGEFORMAT </w:instrText>
        </w:r>
        <w:r w:rsidRPr="00A00C26">
          <w:rPr>
            <w:sz w:val="20"/>
            <w:szCs w:val="20"/>
          </w:rPr>
          <w:fldChar w:fldCharType="separate"/>
        </w:r>
        <w:r w:rsidR="00106E51">
          <w:rPr>
            <w:noProof/>
            <w:sz w:val="20"/>
            <w:szCs w:val="20"/>
          </w:rPr>
          <w:t>1</w:t>
        </w:r>
        <w:r w:rsidRPr="00A00C26">
          <w:rPr>
            <w:noProof/>
            <w:sz w:val="20"/>
            <w:szCs w:val="20"/>
          </w:rPr>
          <w:fldChar w:fldCharType="end"/>
        </w:r>
      </w:p>
      <w:p w:rsidR="00A00C26" w:rsidRPr="00A00C26" w:rsidRDefault="00A00C26" w:rsidP="00A00C26">
        <w:pPr>
          <w:pStyle w:val="Footer"/>
          <w:jc w:val="center"/>
          <w:rPr>
            <w:noProof/>
            <w:sz w:val="20"/>
            <w:szCs w:val="20"/>
          </w:rPr>
        </w:pPr>
      </w:p>
      <w:p w:rsidR="00BC3F27" w:rsidRPr="00A00C26" w:rsidRDefault="00A00C26" w:rsidP="00A00C26">
        <w:pPr>
          <w:pStyle w:val="Footer"/>
          <w:rPr>
            <w:sz w:val="20"/>
            <w:szCs w:val="20"/>
          </w:rPr>
        </w:pPr>
        <w:r w:rsidRPr="00A00C26">
          <w:rPr>
            <w:noProof/>
            <w:sz w:val="20"/>
            <w:szCs w:val="20"/>
          </w:rPr>
          <w:t>September 2013</w:t>
        </w:r>
      </w:p>
    </w:sdtContent>
  </w:sdt>
  <w:p w:rsidR="00BC3F27" w:rsidRDefault="00BC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0E" w:rsidRDefault="006A2E0E" w:rsidP="00392978">
      <w:r>
        <w:separator/>
      </w:r>
    </w:p>
  </w:footnote>
  <w:footnote w:type="continuationSeparator" w:id="0">
    <w:p w:rsidR="006A2E0E" w:rsidRDefault="006A2E0E" w:rsidP="0039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78" w:rsidRPr="00392978" w:rsidRDefault="00392978" w:rsidP="00392978">
    <w:pPr>
      <w:jc w:val="center"/>
      <w:rPr>
        <w:rFonts w:ascii="Arial" w:hAnsi="Arial" w:cs="Arial"/>
      </w:rPr>
    </w:pPr>
    <w:r w:rsidRPr="00392978">
      <w:rPr>
        <w:rFonts w:ascii="Arial" w:hAnsi="Arial" w:cs="Arial"/>
      </w:rPr>
      <w:t>Maine Department of Labor</w:t>
    </w:r>
  </w:p>
  <w:p w:rsidR="00392978" w:rsidRPr="00392978" w:rsidRDefault="00392978" w:rsidP="00392978">
    <w:pPr>
      <w:jc w:val="center"/>
      <w:rPr>
        <w:rFonts w:ascii="Arial" w:hAnsi="Arial" w:cs="Arial"/>
      </w:rPr>
    </w:pPr>
    <w:r w:rsidRPr="00392978">
      <w:rPr>
        <w:rFonts w:ascii="Arial" w:hAnsi="Arial" w:cs="Arial"/>
      </w:rPr>
      <w:t>Bureau of Rehabilitation Services</w:t>
    </w:r>
  </w:p>
  <w:p w:rsidR="00392978" w:rsidRDefault="00392978" w:rsidP="00392978">
    <w:pPr>
      <w:pStyle w:val="Header"/>
      <w:jc w:val="center"/>
      <w:rPr>
        <w:rFonts w:ascii="Arial" w:hAnsi="Arial" w:cs="Arial"/>
      </w:rPr>
    </w:pPr>
    <w:r w:rsidRPr="00BC3F27">
      <w:rPr>
        <w:rFonts w:ascii="Arial" w:hAnsi="Arial" w:cs="Arial"/>
      </w:rPr>
      <w:t>Division of Vocational Rehabilitation</w:t>
    </w:r>
  </w:p>
  <w:p w:rsidR="00A00C26" w:rsidRPr="00A00C26" w:rsidRDefault="00A00C26" w:rsidP="00A00C26">
    <w:pPr>
      <w:jc w:val="center"/>
      <w:rPr>
        <w:rFonts w:ascii="Arial" w:hAnsi="Arial" w:cs="Arial"/>
        <w:b/>
      </w:rPr>
    </w:pPr>
    <w:r w:rsidRPr="00A00C26">
      <w:rPr>
        <w:rFonts w:ascii="Arial" w:hAnsi="Arial" w:cs="Arial"/>
        <w:b/>
      </w:rPr>
      <w:t xml:space="preserve">Community Rehabilitation Provider </w:t>
    </w:r>
  </w:p>
  <w:p w:rsidR="00A00C26" w:rsidRPr="00A00C26" w:rsidRDefault="00A00C26" w:rsidP="00A00C26">
    <w:pPr>
      <w:jc w:val="center"/>
      <w:rPr>
        <w:rFonts w:ascii="Arial" w:hAnsi="Arial" w:cs="Arial"/>
        <w:b/>
      </w:rPr>
    </w:pPr>
    <w:r w:rsidRPr="00A00C26">
      <w:rPr>
        <w:rFonts w:ascii="Arial" w:hAnsi="Arial" w:cs="Arial"/>
        <w:b/>
      </w:rPr>
      <w:t>Payment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7570"/>
    <w:multiLevelType w:val="hybridMultilevel"/>
    <w:tmpl w:val="234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208BF"/>
    <w:multiLevelType w:val="hybridMultilevel"/>
    <w:tmpl w:val="93C6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78"/>
    <w:rsid w:val="00026AB7"/>
    <w:rsid w:val="000869A7"/>
    <w:rsid w:val="000D6C11"/>
    <w:rsid w:val="00106E51"/>
    <w:rsid w:val="001D1653"/>
    <w:rsid w:val="002073AB"/>
    <w:rsid w:val="00247CFB"/>
    <w:rsid w:val="00264C1B"/>
    <w:rsid w:val="002759BC"/>
    <w:rsid w:val="002A5999"/>
    <w:rsid w:val="002B1C5D"/>
    <w:rsid w:val="0032646E"/>
    <w:rsid w:val="00355899"/>
    <w:rsid w:val="00392978"/>
    <w:rsid w:val="003A48C9"/>
    <w:rsid w:val="004D5EF7"/>
    <w:rsid w:val="004F45FB"/>
    <w:rsid w:val="005D2857"/>
    <w:rsid w:val="00621975"/>
    <w:rsid w:val="006A2E0E"/>
    <w:rsid w:val="0070151B"/>
    <w:rsid w:val="00900EF5"/>
    <w:rsid w:val="00A00C26"/>
    <w:rsid w:val="00A11063"/>
    <w:rsid w:val="00A231A7"/>
    <w:rsid w:val="00A94E62"/>
    <w:rsid w:val="00B5206C"/>
    <w:rsid w:val="00B64112"/>
    <w:rsid w:val="00BC00D2"/>
    <w:rsid w:val="00BC3F27"/>
    <w:rsid w:val="00C215FA"/>
    <w:rsid w:val="00C725BE"/>
    <w:rsid w:val="00E00A58"/>
    <w:rsid w:val="00F6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978"/>
    <w:pPr>
      <w:tabs>
        <w:tab w:val="center" w:pos="4680"/>
        <w:tab w:val="right" w:pos="9360"/>
      </w:tabs>
    </w:pPr>
  </w:style>
  <w:style w:type="character" w:customStyle="1" w:styleId="HeaderChar">
    <w:name w:val="Header Char"/>
    <w:basedOn w:val="DefaultParagraphFont"/>
    <w:link w:val="Header"/>
    <w:rsid w:val="00392978"/>
    <w:rPr>
      <w:sz w:val="24"/>
      <w:szCs w:val="24"/>
    </w:rPr>
  </w:style>
  <w:style w:type="paragraph" w:styleId="Footer">
    <w:name w:val="footer"/>
    <w:basedOn w:val="Normal"/>
    <w:link w:val="FooterChar"/>
    <w:uiPriority w:val="99"/>
    <w:rsid w:val="00392978"/>
    <w:pPr>
      <w:tabs>
        <w:tab w:val="center" w:pos="4680"/>
        <w:tab w:val="right" w:pos="9360"/>
      </w:tabs>
    </w:pPr>
  </w:style>
  <w:style w:type="character" w:customStyle="1" w:styleId="FooterChar">
    <w:name w:val="Footer Char"/>
    <w:basedOn w:val="DefaultParagraphFont"/>
    <w:link w:val="Footer"/>
    <w:uiPriority w:val="99"/>
    <w:rsid w:val="00392978"/>
    <w:rPr>
      <w:sz w:val="24"/>
      <w:szCs w:val="24"/>
    </w:rPr>
  </w:style>
  <w:style w:type="paragraph" w:styleId="ListParagraph">
    <w:name w:val="List Paragraph"/>
    <w:basedOn w:val="Normal"/>
    <w:uiPriority w:val="34"/>
    <w:qFormat/>
    <w:rsid w:val="00BC00D2"/>
    <w:pPr>
      <w:ind w:left="720"/>
      <w:contextualSpacing/>
    </w:pPr>
  </w:style>
  <w:style w:type="character" w:styleId="Hyperlink">
    <w:name w:val="Hyperlink"/>
    <w:basedOn w:val="DefaultParagraphFont"/>
    <w:rsid w:val="002073AB"/>
    <w:rPr>
      <w:color w:val="0000FF" w:themeColor="hyperlink"/>
      <w:u w:val="single"/>
    </w:rPr>
  </w:style>
  <w:style w:type="paragraph" w:styleId="BodyTextIndent2">
    <w:name w:val="Body Text Indent 2"/>
    <w:basedOn w:val="Normal"/>
    <w:link w:val="BodyTextIndent2Char"/>
    <w:uiPriority w:val="99"/>
    <w:unhideWhenUsed/>
    <w:rsid w:val="00355899"/>
    <w:pPr>
      <w:ind w:left="720"/>
    </w:pPr>
    <w:rPr>
      <w:rFonts w:ascii="Arial" w:eastAsiaTheme="minorHAnsi" w:hAnsi="Arial" w:cs="Arial"/>
    </w:rPr>
  </w:style>
  <w:style w:type="character" w:customStyle="1" w:styleId="BodyTextIndent2Char">
    <w:name w:val="Body Text Indent 2 Char"/>
    <w:basedOn w:val="DefaultParagraphFont"/>
    <w:link w:val="BodyTextIndent2"/>
    <w:uiPriority w:val="99"/>
    <w:rsid w:val="00355899"/>
    <w:rPr>
      <w:rFonts w:ascii="Arial" w:eastAsiaTheme="minorHAnsi" w:hAnsi="Arial" w:cs="Arial"/>
      <w:sz w:val="24"/>
      <w:szCs w:val="24"/>
    </w:rPr>
  </w:style>
  <w:style w:type="paragraph" w:styleId="BalloonText">
    <w:name w:val="Balloon Text"/>
    <w:basedOn w:val="Normal"/>
    <w:link w:val="BalloonTextChar"/>
    <w:rsid w:val="003A48C9"/>
    <w:rPr>
      <w:rFonts w:ascii="Tahoma" w:hAnsi="Tahoma" w:cs="Tahoma"/>
      <w:sz w:val="16"/>
      <w:szCs w:val="16"/>
    </w:rPr>
  </w:style>
  <w:style w:type="character" w:customStyle="1" w:styleId="BalloonTextChar">
    <w:name w:val="Balloon Text Char"/>
    <w:basedOn w:val="DefaultParagraphFont"/>
    <w:link w:val="BalloonText"/>
    <w:rsid w:val="003A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978"/>
    <w:pPr>
      <w:tabs>
        <w:tab w:val="center" w:pos="4680"/>
        <w:tab w:val="right" w:pos="9360"/>
      </w:tabs>
    </w:pPr>
  </w:style>
  <w:style w:type="character" w:customStyle="1" w:styleId="HeaderChar">
    <w:name w:val="Header Char"/>
    <w:basedOn w:val="DefaultParagraphFont"/>
    <w:link w:val="Header"/>
    <w:rsid w:val="00392978"/>
    <w:rPr>
      <w:sz w:val="24"/>
      <w:szCs w:val="24"/>
    </w:rPr>
  </w:style>
  <w:style w:type="paragraph" w:styleId="Footer">
    <w:name w:val="footer"/>
    <w:basedOn w:val="Normal"/>
    <w:link w:val="FooterChar"/>
    <w:uiPriority w:val="99"/>
    <w:rsid w:val="00392978"/>
    <w:pPr>
      <w:tabs>
        <w:tab w:val="center" w:pos="4680"/>
        <w:tab w:val="right" w:pos="9360"/>
      </w:tabs>
    </w:pPr>
  </w:style>
  <w:style w:type="character" w:customStyle="1" w:styleId="FooterChar">
    <w:name w:val="Footer Char"/>
    <w:basedOn w:val="DefaultParagraphFont"/>
    <w:link w:val="Footer"/>
    <w:uiPriority w:val="99"/>
    <w:rsid w:val="00392978"/>
    <w:rPr>
      <w:sz w:val="24"/>
      <w:szCs w:val="24"/>
    </w:rPr>
  </w:style>
  <w:style w:type="paragraph" w:styleId="ListParagraph">
    <w:name w:val="List Paragraph"/>
    <w:basedOn w:val="Normal"/>
    <w:uiPriority w:val="34"/>
    <w:qFormat/>
    <w:rsid w:val="00BC00D2"/>
    <w:pPr>
      <w:ind w:left="720"/>
      <w:contextualSpacing/>
    </w:pPr>
  </w:style>
  <w:style w:type="character" w:styleId="Hyperlink">
    <w:name w:val="Hyperlink"/>
    <w:basedOn w:val="DefaultParagraphFont"/>
    <w:rsid w:val="002073AB"/>
    <w:rPr>
      <w:color w:val="0000FF" w:themeColor="hyperlink"/>
      <w:u w:val="single"/>
    </w:rPr>
  </w:style>
  <w:style w:type="paragraph" w:styleId="BodyTextIndent2">
    <w:name w:val="Body Text Indent 2"/>
    <w:basedOn w:val="Normal"/>
    <w:link w:val="BodyTextIndent2Char"/>
    <w:uiPriority w:val="99"/>
    <w:unhideWhenUsed/>
    <w:rsid w:val="00355899"/>
    <w:pPr>
      <w:ind w:left="720"/>
    </w:pPr>
    <w:rPr>
      <w:rFonts w:ascii="Arial" w:eastAsiaTheme="minorHAnsi" w:hAnsi="Arial" w:cs="Arial"/>
    </w:rPr>
  </w:style>
  <w:style w:type="character" w:customStyle="1" w:styleId="BodyTextIndent2Char">
    <w:name w:val="Body Text Indent 2 Char"/>
    <w:basedOn w:val="DefaultParagraphFont"/>
    <w:link w:val="BodyTextIndent2"/>
    <w:uiPriority w:val="99"/>
    <w:rsid w:val="00355899"/>
    <w:rPr>
      <w:rFonts w:ascii="Arial" w:eastAsiaTheme="minorHAnsi" w:hAnsi="Arial" w:cs="Arial"/>
      <w:sz w:val="24"/>
      <w:szCs w:val="24"/>
    </w:rPr>
  </w:style>
  <w:style w:type="paragraph" w:styleId="BalloonText">
    <w:name w:val="Balloon Text"/>
    <w:basedOn w:val="Normal"/>
    <w:link w:val="BalloonTextChar"/>
    <w:rsid w:val="003A48C9"/>
    <w:rPr>
      <w:rFonts w:ascii="Tahoma" w:hAnsi="Tahoma" w:cs="Tahoma"/>
      <w:sz w:val="16"/>
      <w:szCs w:val="16"/>
    </w:rPr>
  </w:style>
  <w:style w:type="character" w:customStyle="1" w:styleId="BalloonTextChar">
    <w:name w:val="Balloon Text Char"/>
    <w:basedOn w:val="DefaultParagraphFont"/>
    <w:link w:val="BalloonText"/>
    <w:rsid w:val="003A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904">
      <w:bodyDiv w:val="1"/>
      <w:marLeft w:val="0"/>
      <w:marRight w:val="0"/>
      <w:marTop w:val="0"/>
      <w:marBottom w:val="0"/>
      <w:divBdr>
        <w:top w:val="none" w:sz="0" w:space="0" w:color="auto"/>
        <w:left w:val="none" w:sz="0" w:space="0" w:color="auto"/>
        <w:bottom w:val="none" w:sz="0" w:space="0" w:color="auto"/>
        <w:right w:val="none" w:sz="0" w:space="0" w:color="auto"/>
      </w:divBdr>
    </w:div>
    <w:div w:id="1640916165">
      <w:bodyDiv w:val="1"/>
      <w:marLeft w:val="0"/>
      <w:marRight w:val="0"/>
      <w:marTop w:val="0"/>
      <w:marBottom w:val="0"/>
      <w:divBdr>
        <w:top w:val="none" w:sz="0" w:space="0" w:color="auto"/>
        <w:left w:val="none" w:sz="0" w:space="0" w:color="auto"/>
        <w:bottom w:val="none" w:sz="0" w:space="0" w:color="auto"/>
        <w:right w:val="none" w:sz="0" w:space="0" w:color="auto"/>
      </w:divBdr>
    </w:div>
    <w:div w:id="1655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ine.gov/rehab/crp/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CB77-0400-4A67-B321-E8224B17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Howe, Joshua A.</cp:lastModifiedBy>
  <cp:revision>2</cp:revision>
  <cp:lastPrinted>2013-09-09T17:55:00Z</cp:lastPrinted>
  <dcterms:created xsi:type="dcterms:W3CDTF">2013-09-30T11:44:00Z</dcterms:created>
  <dcterms:modified xsi:type="dcterms:W3CDTF">2013-09-30T11:44:00Z</dcterms:modified>
</cp:coreProperties>
</file>