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rsidR="00675FA0" w:rsidRDefault="002B4D9D">
      <w:pPr>
        <w:pStyle w:val="Title"/>
        <w:pBdr>
          <w:top w:val="double" w:sz="4" w:space="1" w:color="auto"/>
          <w:left w:val="double" w:sz="4" w:space="4" w:color="auto"/>
          <w:bottom w:val="double" w:sz="4" w:space="1" w:color="auto"/>
          <w:right w:val="double" w:sz="4" w:space="4" w:color="auto"/>
        </w:pBdr>
        <w:rPr>
          <w:rFonts w:ascii="Arial" w:hAnsi="Arial"/>
          <w:sz w:val="40"/>
        </w:rPr>
      </w:pPr>
      <w:r>
        <w:rPr>
          <w:rFonts w:ascii="Arial" w:hAnsi="Arial"/>
          <w:sz w:val="40"/>
        </w:rPr>
        <w:t>Central Maine Power Company</w:t>
      </w:r>
      <w:r w:rsidR="00144661">
        <w:rPr>
          <w:rFonts w:ascii="Arial" w:hAnsi="Arial"/>
          <w:sz w:val="40"/>
        </w:rPr>
        <w:t xml:space="preserve"> Customers</w:t>
      </w:r>
      <w:r w:rsidR="00675FA0">
        <w:rPr>
          <w:rFonts w:ascii="Arial" w:hAnsi="Arial"/>
          <w:sz w:val="40"/>
        </w:rPr>
        <w:t xml:space="preserve"> </w:t>
      </w:r>
    </w:p>
    <w:p w:rsidR="00675FA0" w:rsidRDefault="00675FA0">
      <w:pPr>
        <w:pStyle w:val="Title"/>
        <w:pBdr>
          <w:top w:val="double" w:sz="4" w:space="1" w:color="auto"/>
          <w:left w:val="double" w:sz="4" w:space="4" w:color="auto"/>
          <w:bottom w:val="double" w:sz="4" w:space="1" w:color="auto"/>
          <w:right w:val="double" w:sz="4" w:space="4" w:color="auto"/>
        </w:pBdr>
        <w:rPr>
          <w:rFonts w:ascii="Arial" w:hAnsi="Arial"/>
          <w:sz w:val="40"/>
        </w:rPr>
      </w:pPr>
    </w:p>
    <w:p w:rsidR="00647DBD" w:rsidRDefault="00647DBD">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For t</w:t>
      </w:r>
      <w:r w:rsidR="00144661">
        <w:rPr>
          <w:rFonts w:ascii="Arial" w:hAnsi="Arial"/>
          <w:sz w:val="36"/>
        </w:rPr>
        <w:t>he</w:t>
      </w:r>
      <w:r>
        <w:rPr>
          <w:rFonts w:ascii="Arial" w:hAnsi="Arial"/>
          <w:sz w:val="36"/>
        </w:rPr>
        <w:t xml:space="preserve"> t</w:t>
      </w:r>
      <w:r w:rsidR="002B4D9D">
        <w:rPr>
          <w:rFonts w:ascii="Arial" w:hAnsi="Arial"/>
          <w:sz w:val="36"/>
        </w:rPr>
        <w:t>erm</w:t>
      </w:r>
      <w:r w:rsidR="00144661">
        <w:rPr>
          <w:rFonts w:ascii="Arial" w:hAnsi="Arial"/>
          <w:sz w:val="36"/>
        </w:rPr>
        <w:t xml:space="preserve"> </w:t>
      </w:r>
    </w:p>
    <w:p w:rsidR="00647DBD" w:rsidRDefault="00647DB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January 1, 2016</w:t>
      </w:r>
      <w:r w:rsidR="00144661">
        <w:rPr>
          <w:rFonts w:ascii="Arial" w:hAnsi="Arial"/>
          <w:sz w:val="36"/>
        </w:rPr>
        <w:t xml:space="preserve"> – December 31, 2016</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September 9, 2015</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rPr>
          <w:rFonts w:ascii="Arial" w:hAnsi="Arial"/>
          <w:sz w:val="28"/>
        </w:rPr>
      </w:pPr>
      <w:r>
        <w:rPr>
          <w:rFonts w:ascii="Arial" w:hAnsi="Arial"/>
          <w:sz w:val="28"/>
        </w:rPr>
        <w:br w:type="page"/>
      </w:r>
      <w:r>
        <w:rPr>
          <w:rFonts w:ascii="Arial" w:hAnsi="Arial"/>
          <w:sz w:val="28"/>
        </w:rPr>
        <w:lastRenderedPageBreak/>
        <w:t>Table of Contents</w:t>
      </w:r>
    </w:p>
    <w:p w:rsidR="002B4D9D" w:rsidRDefault="002B4D9D">
      <w:pPr>
        <w:pStyle w:val="Title"/>
        <w:rPr>
          <w:rFonts w:ascii="Arial" w:hAnsi="Arial"/>
          <w:sz w:val="24"/>
        </w:rPr>
      </w:pPr>
    </w:p>
    <w:p w:rsidR="002B4D9D" w:rsidRDefault="002B4D9D">
      <w:pPr>
        <w:pStyle w:val="Title"/>
        <w:rPr>
          <w:rFonts w:ascii="Arial" w:hAnsi="Arial"/>
          <w:sz w:val="24"/>
        </w:rPr>
      </w:pP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rsidR="002B4D9D" w:rsidRDefault="002B4D9D">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4.   PROVIDER REQUIREMENTS</w:t>
      </w:r>
      <w:r>
        <w:rPr>
          <w:rFonts w:ascii="Arial" w:hAnsi="Arial"/>
          <w:b w:val="0"/>
          <w:bCs/>
          <w:sz w:val="24"/>
        </w:rPr>
        <w:t xml:space="preserve"> </w:t>
      </w:r>
      <w:r>
        <w:rPr>
          <w:rFonts w:ascii="Arial" w:hAnsi="Arial"/>
          <w:b w:val="0"/>
          <w:bCs/>
          <w:sz w:val="24"/>
        </w:rPr>
        <w:tab/>
        <w:t>9</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15</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6.   PROVIDER LEGAL OBLIGATIONS</w:t>
      </w:r>
      <w:r>
        <w:rPr>
          <w:rFonts w:ascii="Arial" w:hAnsi="Arial"/>
          <w:b w:val="0"/>
          <w:bCs/>
          <w:sz w:val="24"/>
        </w:rPr>
        <w:t xml:space="preserve"> </w:t>
      </w:r>
      <w:r>
        <w:rPr>
          <w:rFonts w:ascii="Arial" w:hAnsi="Arial"/>
          <w:b w:val="0"/>
          <w:bCs/>
          <w:sz w:val="24"/>
        </w:rPr>
        <w:tab/>
        <w:t>16</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18</w:t>
      </w:r>
    </w:p>
    <w:p w:rsidR="002B4D9D" w:rsidRDefault="002B4D9D">
      <w:pPr>
        <w:pStyle w:val="Title"/>
        <w:rPr>
          <w:rFonts w:ascii="Arial" w:hAnsi="Arial"/>
          <w:sz w:val="24"/>
        </w:rPr>
      </w:pPr>
    </w:p>
    <w:p w:rsidR="002B4D9D" w:rsidRDefault="002B4D9D">
      <w:pPr>
        <w:pStyle w:val="Title"/>
        <w:spacing w:after="120" w:line="360" w:lineRule="auto"/>
        <w:jc w:val="both"/>
        <w:rPr>
          <w:rFonts w:ascii="Arial" w:hAnsi="Arial"/>
          <w:sz w:val="24"/>
        </w:rPr>
      </w:pPr>
    </w:p>
    <w:p w:rsidR="002B4D9D" w:rsidRDefault="002B4D9D">
      <w:pPr>
        <w:pStyle w:val="Title"/>
        <w:spacing w:after="120" w:line="360" w:lineRule="auto"/>
        <w:jc w:val="both"/>
        <w:rPr>
          <w:rFonts w:ascii="Arial" w:hAnsi="Arial"/>
          <w:sz w:val="24"/>
        </w:rPr>
      </w:pPr>
      <w:r>
        <w:rPr>
          <w:rFonts w:ascii="Arial" w:hAnsi="Arial"/>
          <w:sz w:val="24"/>
        </w:rPr>
        <w:t>APPENDICES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Customer and Usage Data</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Class Definitions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2B4D9D" w:rsidRDefault="002B4D9D">
      <w:pPr>
        <w:pStyle w:val="Title"/>
        <w:spacing w:after="120" w:line="360" w:lineRule="auto"/>
        <w:jc w:val="both"/>
        <w:rPr>
          <w:rFonts w:ascii="Arial" w:hAnsi="Arial"/>
          <w:b w:val="0"/>
          <w:sz w:val="24"/>
        </w:rPr>
      </w:pPr>
    </w:p>
    <w:p w:rsidR="002B4D9D" w:rsidRPr="00A1177B" w:rsidRDefault="002B4D9D" w:rsidP="00A1177B">
      <w:pPr>
        <w:pStyle w:val="BodyTextIndent2"/>
        <w:spacing w:after="0"/>
        <w:ind w:left="0"/>
        <w:jc w:val="left"/>
        <w:rPr>
          <w:b/>
        </w:rPr>
      </w:pPr>
      <w:r>
        <w:br w:type="page"/>
      </w:r>
      <w:r w:rsidRPr="00A1177B">
        <w:rPr>
          <w:b/>
        </w:rPr>
        <w:lastRenderedPageBreak/>
        <w:t>1.</w:t>
      </w:r>
      <w:r w:rsidRPr="00A1177B">
        <w:rPr>
          <w:b/>
        </w:rPr>
        <w:tab/>
        <w:t>OVERVIEW</w:t>
      </w:r>
    </w:p>
    <w:p w:rsidR="002B4D9D" w:rsidRDefault="002B4D9D">
      <w:pPr>
        <w:jc w:val="both"/>
      </w:pPr>
    </w:p>
    <w:p w:rsidR="002B4D9D" w:rsidRDefault="002B4D9D">
      <w:pPr>
        <w:pStyle w:val="Heading2"/>
        <w:numPr>
          <w:ilvl w:val="0"/>
          <w:numId w:val="0"/>
        </w:numPr>
        <w:ind w:firstLine="720"/>
        <w:jc w:val="left"/>
        <w:rPr>
          <w:sz w:val="24"/>
        </w:rPr>
      </w:pPr>
      <w:r>
        <w:rPr>
          <w:sz w:val="24"/>
        </w:rPr>
        <w:t>1.1.</w:t>
      </w:r>
      <w:r>
        <w:rPr>
          <w:sz w:val="24"/>
        </w:rPr>
        <w:tab/>
        <w:t>Request for Proposals</w:t>
      </w:r>
    </w:p>
    <w:p w:rsidR="002B4D9D" w:rsidRDefault="002B4D9D"/>
    <w:p w:rsidR="00647DBD" w:rsidRDefault="00647DBD">
      <w:pPr>
        <w:ind w:left="720" w:firstLine="720"/>
        <w:rPr>
          <w:rFonts w:ascii="Arial" w:hAnsi="Arial" w:cs="Arial"/>
          <w:b/>
          <w:bCs/>
          <w:sz w:val="24"/>
          <w:u w:val="single"/>
        </w:rPr>
      </w:pPr>
    </w:p>
    <w:p w:rsidR="002B4D9D" w:rsidRDefault="002B4D9D">
      <w:pPr>
        <w:ind w:left="720" w:firstLine="720"/>
        <w:rPr>
          <w:rFonts w:ascii="Arial" w:hAnsi="Arial" w:cs="Arial"/>
          <w:b/>
          <w:bCs/>
          <w:sz w:val="24"/>
          <w:u w:val="single"/>
        </w:rPr>
      </w:pPr>
      <w:r>
        <w:rPr>
          <w:rFonts w:ascii="Arial" w:hAnsi="Arial" w:cs="Arial"/>
          <w:b/>
          <w:bCs/>
          <w:sz w:val="24"/>
          <w:u w:val="single"/>
        </w:rPr>
        <w:t>General</w:t>
      </w:r>
    </w:p>
    <w:p w:rsidR="002B4D9D" w:rsidRDefault="002B4D9D"/>
    <w:p w:rsidR="00B11E9B" w:rsidRDefault="002B4D9D">
      <w:pPr>
        <w:pStyle w:val="BodyTextIndent3"/>
        <w:spacing w:after="0"/>
        <w:jc w:val="left"/>
        <w:rPr>
          <w:sz w:val="24"/>
        </w:rPr>
      </w:pPr>
      <w:r>
        <w:rPr>
          <w:sz w:val="24"/>
        </w:rPr>
        <w:t xml:space="preserve">The Maine Public Utilities Commission (Commission) is seeking proposals for retail standard offer service for customers of Central Maine Power Company (CMP) for </w:t>
      </w:r>
      <w:r w:rsidR="00CE61D8">
        <w:rPr>
          <w:sz w:val="24"/>
        </w:rPr>
        <w:t>a one-year</w:t>
      </w:r>
      <w:r w:rsidR="00B11E9B">
        <w:rPr>
          <w:sz w:val="24"/>
        </w:rPr>
        <w:t xml:space="preserve"> term beginning </w:t>
      </w:r>
      <w:r w:rsidR="00CE61D8">
        <w:rPr>
          <w:sz w:val="24"/>
        </w:rPr>
        <w:t>January 1, 2016</w:t>
      </w:r>
      <w:r>
        <w:rPr>
          <w:sz w:val="24"/>
        </w:rPr>
        <w:t xml:space="preserve">.  </w:t>
      </w:r>
      <w:r w:rsidR="003C3655">
        <w:rPr>
          <w:sz w:val="24"/>
        </w:rPr>
        <w:t xml:space="preserve">Proposals may be submitted for one or more of the standard offer customer classes: residential and small </w:t>
      </w:r>
      <w:r w:rsidR="00422CF8">
        <w:rPr>
          <w:sz w:val="24"/>
        </w:rPr>
        <w:t>non-residential (</w:t>
      </w:r>
      <w:r w:rsidR="003C3655">
        <w:rPr>
          <w:sz w:val="24"/>
        </w:rPr>
        <w:t>commercial</w:t>
      </w:r>
      <w:r w:rsidR="00422CF8">
        <w:rPr>
          <w:sz w:val="24"/>
        </w:rPr>
        <w:t>)</w:t>
      </w:r>
      <w:r w:rsidR="003C3655">
        <w:rPr>
          <w:sz w:val="24"/>
        </w:rPr>
        <w:t>; medium commercial/industrial; and large commercial/industrial.</w:t>
      </w:r>
      <w:r>
        <w:rPr>
          <w:sz w:val="24"/>
        </w:rPr>
        <w:t xml:space="preserve">   </w:t>
      </w:r>
      <w:r w:rsidR="00B11E9B">
        <w:rPr>
          <w:sz w:val="24"/>
        </w:rPr>
        <w:t>All p</w:t>
      </w:r>
      <w:r>
        <w:rPr>
          <w:sz w:val="24"/>
        </w:rPr>
        <w:t xml:space="preserve">roposals must be for requirements service.  </w:t>
      </w:r>
    </w:p>
    <w:p w:rsidR="00B11E9B" w:rsidRDefault="00B11E9B">
      <w:pPr>
        <w:pStyle w:val="BodyTextIndent3"/>
        <w:spacing w:after="0"/>
        <w:jc w:val="left"/>
        <w:rPr>
          <w:sz w:val="24"/>
        </w:rPr>
      </w:pPr>
    </w:p>
    <w:p w:rsidR="002B4D9D" w:rsidRDefault="004755EA">
      <w:pPr>
        <w:pStyle w:val="BodyTextIndent3"/>
        <w:spacing w:after="0"/>
        <w:jc w:val="left"/>
        <w:rPr>
          <w:sz w:val="24"/>
        </w:rPr>
      </w:pPr>
      <w:r>
        <w:rPr>
          <w:sz w:val="24"/>
        </w:rPr>
        <w:t xml:space="preserve">The Commission </w:t>
      </w:r>
      <w:r w:rsidR="002B4D9D">
        <w:rPr>
          <w:sz w:val="24"/>
        </w:rPr>
        <w:t>will select the winning bids based on its evaluation of the proposals.</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Initial proposals with indicative bid prices are due on</w:t>
      </w:r>
      <w:r w:rsidR="00CE61D8">
        <w:rPr>
          <w:sz w:val="24"/>
        </w:rPr>
        <w:t xml:space="preserve"> </w:t>
      </w:r>
      <w:r w:rsidR="001F74D0">
        <w:rPr>
          <w:sz w:val="24"/>
        </w:rPr>
        <w:t>October 6</w:t>
      </w:r>
      <w:r w:rsidR="00CE61D8">
        <w:rPr>
          <w:sz w:val="24"/>
        </w:rPr>
        <w:t>, 2015</w:t>
      </w:r>
      <w:r w:rsidR="00CC1F0E">
        <w:rPr>
          <w:sz w:val="24"/>
        </w:rPr>
        <w:t>.</w:t>
      </w:r>
      <w:r>
        <w:rPr>
          <w:sz w:val="24"/>
        </w:rPr>
        <w:t xml:space="preserve"> </w:t>
      </w:r>
    </w:p>
    <w:p w:rsidR="002B4D9D" w:rsidRDefault="002B4D9D">
      <w:pPr>
        <w:pStyle w:val="BodyTextIndent3"/>
        <w:spacing w:after="0"/>
        <w:jc w:val="left"/>
        <w:rPr>
          <w:sz w:val="24"/>
        </w:rPr>
      </w:pPr>
    </w:p>
    <w:p w:rsidR="00647DBD" w:rsidRDefault="00647DBD">
      <w:pPr>
        <w:pStyle w:val="Heading2"/>
        <w:numPr>
          <w:ilvl w:val="0"/>
          <w:numId w:val="0"/>
        </w:numPr>
        <w:ind w:left="720" w:firstLine="720"/>
        <w:jc w:val="left"/>
        <w:rPr>
          <w:sz w:val="24"/>
          <w:u w:val="single"/>
        </w:rPr>
      </w:pPr>
    </w:p>
    <w:p w:rsidR="002B4D9D" w:rsidRDefault="002B4D9D">
      <w:pPr>
        <w:pStyle w:val="Heading2"/>
        <w:numPr>
          <w:ilvl w:val="0"/>
          <w:numId w:val="0"/>
        </w:numPr>
        <w:ind w:left="720" w:firstLine="720"/>
        <w:jc w:val="left"/>
        <w:rPr>
          <w:sz w:val="24"/>
          <w:u w:val="single"/>
        </w:rPr>
      </w:pPr>
      <w:r>
        <w:rPr>
          <w:sz w:val="24"/>
          <w:u w:val="single"/>
        </w:rPr>
        <w:t>Contact Information</w:t>
      </w:r>
    </w:p>
    <w:p w:rsidR="002B4D9D" w:rsidRDefault="002B4D9D">
      <w:pPr>
        <w:rPr>
          <w:sz w:val="24"/>
          <w:u w:val="single"/>
        </w:rPr>
      </w:pPr>
    </w:p>
    <w:p w:rsidR="002B4D9D" w:rsidRDefault="002B4D9D">
      <w:pPr>
        <w:pStyle w:val="BodyTextIndent3"/>
        <w:spacing w:after="0"/>
        <w:jc w:val="left"/>
        <w:rPr>
          <w:sz w:val="24"/>
          <w:szCs w:val="24"/>
        </w:rPr>
      </w:pPr>
      <w:r>
        <w:rPr>
          <w:sz w:val="24"/>
          <w:szCs w:val="24"/>
        </w:rPr>
        <w:t>The RFP, related information and load data are available from the RFP web page at:</w:t>
      </w:r>
      <w:r w:rsidR="00AD1638" w:rsidRPr="00AD1638">
        <w:t xml:space="preserve"> </w:t>
      </w:r>
      <w:hyperlink r:id="rId9" w:history="1">
        <w:r w:rsidR="00AD1638" w:rsidRPr="009E724C">
          <w:rPr>
            <w:rStyle w:val="Hyperlink"/>
            <w:sz w:val="24"/>
            <w:szCs w:val="24"/>
          </w:rPr>
          <w:t>http://www.maine.gov/mpuc/electricity/rfps/so_solicitations.shtml</w:t>
        </w:r>
      </w:hyperlink>
      <w:r w:rsidR="00AD1638">
        <w:rPr>
          <w:sz w:val="24"/>
          <w:szCs w:val="24"/>
        </w:rPr>
        <w:t xml:space="preserve"> </w:t>
      </w:r>
    </w:p>
    <w:p w:rsidR="002B4D9D" w:rsidRDefault="002B4D9D">
      <w:pPr>
        <w:pStyle w:val="BodyTextIndent3"/>
        <w:spacing w:after="0"/>
        <w:jc w:val="left"/>
        <w:rPr>
          <w:color w:val="000080"/>
          <w:sz w:val="20"/>
        </w:rPr>
      </w:pPr>
    </w:p>
    <w:p w:rsidR="002B4D9D" w:rsidRDefault="002B4D9D">
      <w:pPr>
        <w:pStyle w:val="BodyTextIndent3"/>
        <w:spacing w:after="0"/>
        <w:jc w:val="left"/>
        <w:rPr>
          <w:sz w:val="24"/>
          <w:szCs w:val="24"/>
        </w:rPr>
      </w:pPr>
      <w:r>
        <w:rPr>
          <w:sz w:val="24"/>
          <w:szCs w:val="24"/>
        </w:rPr>
        <w:t xml:space="preserve">Any modifications, corrections or clarifications to the RFP will be posted at this same location.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Inquiries regarding this RFP should be directed to </w:t>
      </w:r>
      <w:smartTag w:uri="urn:schemas-microsoft-com:office:smarttags" w:element="PersonName">
        <w:r>
          <w:rPr>
            <w:sz w:val="24"/>
          </w:rPr>
          <w:t>Faith Huntington</w:t>
        </w:r>
      </w:smartTag>
      <w:r>
        <w:rPr>
          <w:sz w:val="24"/>
        </w:rPr>
        <w:t xml:space="preserve"> (at 207-287-1373 or </w:t>
      </w:r>
      <w:hyperlink r:id="rId10" w:history="1">
        <w:r>
          <w:rPr>
            <w:rStyle w:val="Hyperlink"/>
            <w:sz w:val="24"/>
          </w:rPr>
          <w:t>faith.huntington@maine.gov</w:t>
        </w:r>
      </w:hyperlink>
      <w:r>
        <w:rPr>
          <w:sz w:val="24"/>
        </w:rPr>
        <w:t xml:space="preserve">), or Mitch Tannenbaum (at 207-287-1391 or </w:t>
      </w:r>
      <w:hyperlink r:id="rId11" w:history="1">
        <w:r>
          <w:rPr>
            <w:rStyle w:val="Hyperlink"/>
            <w:sz w:val="24"/>
          </w:rPr>
          <w:t>mitchell.tannenbaum@maine.gov</w:t>
        </w:r>
      </w:hyperlink>
      <w:r>
        <w:rPr>
          <w:sz w:val="24"/>
        </w:rPr>
        <w:t xml:space="preserve">).  Inquiries specifically regarding load data should be directed to Angela Monroe at 207-287-1397 or </w:t>
      </w:r>
      <w:hyperlink r:id="rId12" w:history="1">
        <w:r>
          <w:rPr>
            <w:rStyle w:val="Hyperlink"/>
            <w:sz w:val="24"/>
          </w:rPr>
          <w:t>angela.monroe@maine.gov</w:t>
        </w:r>
      </w:hyperlink>
      <w:r>
        <w:rPr>
          <w:sz w:val="24"/>
        </w:rPr>
        <w:t xml:space="preserve"> .</w:t>
      </w:r>
    </w:p>
    <w:p w:rsidR="00647DBD" w:rsidRDefault="00647DBD">
      <w:pPr>
        <w:pStyle w:val="BodyTextIndent3"/>
        <w:spacing w:after="0"/>
        <w:jc w:val="left"/>
        <w:rPr>
          <w:sz w:val="24"/>
        </w:rPr>
      </w:pPr>
    </w:p>
    <w:p w:rsidR="002B4D9D" w:rsidRDefault="00475BD7">
      <w:pPr>
        <w:pStyle w:val="BodyTextIndent3"/>
        <w:spacing w:after="0"/>
        <w:jc w:val="left"/>
        <w:rPr>
          <w:sz w:val="24"/>
        </w:rPr>
      </w:pPr>
      <w:hyperlink r:id="rId13" w:history="1"/>
    </w:p>
    <w:p w:rsidR="00647DBD" w:rsidRDefault="002B4D9D">
      <w:pPr>
        <w:pStyle w:val="BodyTextIndent3"/>
        <w:spacing w:after="0"/>
        <w:ind w:left="0"/>
        <w:jc w:val="left"/>
        <w:rPr>
          <w:sz w:val="24"/>
        </w:rPr>
      </w:pPr>
      <w:r>
        <w:rPr>
          <w:sz w:val="24"/>
        </w:rPr>
        <w:tab/>
      </w:r>
      <w:r>
        <w:rPr>
          <w:sz w:val="24"/>
        </w:rPr>
        <w:tab/>
      </w:r>
    </w:p>
    <w:p w:rsidR="00647DBD" w:rsidRDefault="00647DBD">
      <w:pPr>
        <w:rPr>
          <w:rFonts w:ascii="Arial" w:hAnsi="Arial"/>
          <w:sz w:val="24"/>
        </w:rPr>
      </w:pPr>
      <w:r>
        <w:rPr>
          <w:sz w:val="24"/>
        </w:rPr>
        <w:br w:type="page"/>
      </w:r>
    </w:p>
    <w:p w:rsidR="002B4D9D" w:rsidRDefault="00647DBD">
      <w:pPr>
        <w:pStyle w:val="BodyTextIndent3"/>
        <w:spacing w:after="0"/>
        <w:ind w:left="0"/>
        <w:jc w:val="left"/>
        <w:rPr>
          <w:b/>
          <w:sz w:val="24"/>
          <w:u w:val="single"/>
        </w:rPr>
      </w:pPr>
      <w:r>
        <w:rPr>
          <w:b/>
          <w:sz w:val="24"/>
        </w:rPr>
        <w:lastRenderedPageBreak/>
        <w:tab/>
      </w:r>
      <w:r>
        <w:rPr>
          <w:b/>
          <w:sz w:val="24"/>
        </w:rPr>
        <w:tab/>
      </w:r>
      <w:r w:rsidR="002B4D9D">
        <w:rPr>
          <w:b/>
          <w:sz w:val="24"/>
          <w:u w:val="single"/>
        </w:rPr>
        <w:t>Description</w:t>
      </w:r>
    </w:p>
    <w:p w:rsidR="002B4D9D" w:rsidRDefault="002B4D9D">
      <w:pPr>
        <w:pStyle w:val="BodyTextIndent3"/>
        <w:spacing w:after="0"/>
        <w:jc w:val="left"/>
        <w:rPr>
          <w:sz w:val="24"/>
        </w:rPr>
      </w:pPr>
    </w:p>
    <w:p w:rsidR="00A0751B" w:rsidRDefault="007A28AE" w:rsidP="0063655C">
      <w:pPr>
        <w:pStyle w:val="BodyTextIndent3"/>
        <w:spacing w:after="0"/>
        <w:jc w:val="left"/>
        <w:rPr>
          <w:sz w:val="24"/>
        </w:rPr>
      </w:pPr>
      <w:r>
        <w:rPr>
          <w:sz w:val="24"/>
        </w:rPr>
        <w:t xml:space="preserve">1.  </w:t>
      </w:r>
      <w:r w:rsidR="002B4D9D">
        <w:rPr>
          <w:sz w:val="24"/>
          <w:u w:val="single"/>
        </w:rPr>
        <w:t>Residential and Small Non</w:t>
      </w:r>
      <w:r w:rsidR="002B4D9D">
        <w:rPr>
          <w:sz w:val="24"/>
          <w:u w:val="single"/>
        </w:rPr>
        <w:noBreakHyphen/>
        <w:t>Residential Standard Offer Service</w:t>
      </w:r>
      <w:r w:rsidR="002B4D9D">
        <w:rPr>
          <w:sz w:val="24"/>
        </w:rPr>
        <w:t xml:space="preserve"> </w:t>
      </w:r>
      <w:r w:rsidR="008B46CC">
        <w:rPr>
          <w:sz w:val="24"/>
        </w:rPr>
        <w:t>–</w:t>
      </w:r>
      <w:r w:rsidR="002B4D9D">
        <w:rPr>
          <w:sz w:val="24"/>
        </w:rPr>
        <w:t xml:space="preserve"> </w:t>
      </w:r>
      <w:r w:rsidR="008B46CC">
        <w:rPr>
          <w:sz w:val="24"/>
        </w:rPr>
        <w:t>By this RFP, the Commission will select one or more suppliers</w:t>
      </w:r>
      <w:r w:rsidR="00A867B1">
        <w:rPr>
          <w:sz w:val="24"/>
        </w:rPr>
        <w:t xml:space="preserve"> to serve this </w:t>
      </w:r>
      <w:r w:rsidR="00D11F2D">
        <w:rPr>
          <w:sz w:val="24"/>
        </w:rPr>
        <w:t xml:space="preserve">standard offer </w:t>
      </w:r>
      <w:r w:rsidR="00A867B1">
        <w:rPr>
          <w:sz w:val="24"/>
        </w:rPr>
        <w:t>load class for the term January 1, 2016-December 31, 2016.  The supplier(s) selected will serve:</w:t>
      </w:r>
    </w:p>
    <w:p w:rsidR="00A0751B" w:rsidRDefault="008B46CC" w:rsidP="0063655C">
      <w:pPr>
        <w:pStyle w:val="BodyTextIndent3"/>
        <w:numPr>
          <w:ilvl w:val="0"/>
          <w:numId w:val="18"/>
        </w:numPr>
        <w:spacing w:after="0"/>
        <w:jc w:val="left"/>
        <w:rPr>
          <w:sz w:val="24"/>
        </w:rPr>
      </w:pPr>
      <w:r>
        <w:rPr>
          <w:sz w:val="24"/>
        </w:rPr>
        <w:t xml:space="preserve">66% </w:t>
      </w:r>
      <w:r w:rsidR="00D11F2D">
        <w:rPr>
          <w:sz w:val="24"/>
        </w:rPr>
        <w:t xml:space="preserve">of the </w:t>
      </w:r>
      <w:r w:rsidR="00815AA7">
        <w:rPr>
          <w:sz w:val="24"/>
        </w:rPr>
        <w:t>load</w:t>
      </w:r>
      <w:r>
        <w:rPr>
          <w:sz w:val="24"/>
        </w:rPr>
        <w:t xml:space="preserve"> of this class</w:t>
      </w:r>
      <w:r w:rsidR="00A0751B">
        <w:rPr>
          <w:sz w:val="24"/>
        </w:rPr>
        <w:t xml:space="preserve"> from January 1, 2016 to February 29, 2016</w:t>
      </w:r>
      <w:r w:rsidR="00A0751B">
        <w:rPr>
          <w:rStyle w:val="FootnoteReference"/>
          <w:sz w:val="24"/>
        </w:rPr>
        <w:footnoteReference w:id="1"/>
      </w:r>
      <w:r w:rsidR="00A0751B">
        <w:rPr>
          <w:sz w:val="24"/>
        </w:rPr>
        <w:t>, and</w:t>
      </w:r>
    </w:p>
    <w:p w:rsidR="00CA4A45" w:rsidRPr="00A0751B" w:rsidRDefault="00A17C26" w:rsidP="0063655C">
      <w:pPr>
        <w:pStyle w:val="BodyTextIndent3"/>
        <w:numPr>
          <w:ilvl w:val="0"/>
          <w:numId w:val="18"/>
        </w:numPr>
        <w:spacing w:after="0"/>
        <w:jc w:val="left"/>
        <w:rPr>
          <w:sz w:val="24"/>
          <w:u w:val="single"/>
        </w:rPr>
      </w:pPr>
      <w:r w:rsidRPr="00A0751B">
        <w:rPr>
          <w:sz w:val="24"/>
        </w:rPr>
        <w:t xml:space="preserve">100% of the load of this </w:t>
      </w:r>
      <w:r w:rsidR="00A0751B" w:rsidRPr="00A0751B">
        <w:rPr>
          <w:sz w:val="24"/>
        </w:rPr>
        <w:t>class from</w:t>
      </w:r>
      <w:r w:rsidRPr="00A0751B">
        <w:rPr>
          <w:sz w:val="24"/>
        </w:rPr>
        <w:t xml:space="preserve"> March 1, 2016-December 31, 2016</w:t>
      </w:r>
      <w:r w:rsidR="008B46CC" w:rsidRPr="00A0751B">
        <w:rPr>
          <w:sz w:val="24"/>
        </w:rPr>
        <w:t>.</w:t>
      </w:r>
    </w:p>
    <w:p w:rsidR="00CA4A45" w:rsidRDefault="00CA4A45" w:rsidP="00436C0D">
      <w:pPr>
        <w:pStyle w:val="BodyTextIndent3"/>
        <w:spacing w:after="0"/>
        <w:ind w:left="1350" w:hanging="900"/>
        <w:jc w:val="left"/>
        <w:rPr>
          <w:sz w:val="24"/>
        </w:rPr>
      </w:pPr>
    </w:p>
    <w:p w:rsidR="00A0751B" w:rsidRDefault="00A0751B" w:rsidP="008F6940">
      <w:pPr>
        <w:pStyle w:val="BodyTextIndent3"/>
        <w:spacing w:after="0"/>
        <w:jc w:val="left"/>
        <w:rPr>
          <w:sz w:val="24"/>
        </w:rPr>
      </w:pPr>
      <w:r w:rsidRPr="00A0751B">
        <w:rPr>
          <w:sz w:val="24"/>
        </w:rPr>
        <w:t xml:space="preserve">Bids may be submitted for one-third, two-thirds or all of the tranche. </w:t>
      </w:r>
    </w:p>
    <w:p w:rsidR="00A0751B" w:rsidRDefault="00A0751B" w:rsidP="008F6940">
      <w:pPr>
        <w:pStyle w:val="BodyTextIndent3"/>
        <w:spacing w:after="0"/>
        <w:jc w:val="left"/>
        <w:rPr>
          <w:sz w:val="24"/>
        </w:rPr>
      </w:pPr>
    </w:p>
    <w:p w:rsidR="002B4D9D" w:rsidRDefault="002B4D9D" w:rsidP="008F6940">
      <w:pPr>
        <w:pStyle w:val="BodyTextIndent3"/>
        <w:spacing w:after="0"/>
        <w:jc w:val="left"/>
        <w:rPr>
          <w:sz w:val="24"/>
        </w:rPr>
      </w:pPr>
      <w:r>
        <w:rPr>
          <w:sz w:val="24"/>
        </w:rPr>
        <w:t xml:space="preserve">CMP’s residential and small non-residential standard offer customer class (also referred to as the “small standard offer class” or “small class”) includes all residential, small general service and lighting accounts that receive standard offer service, with small general service customers defined as those with a peak demand that generally has not exceeded 20kW.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2.  </w:t>
      </w:r>
      <w:r>
        <w:rPr>
          <w:sz w:val="24"/>
          <w:u w:val="single"/>
        </w:rPr>
        <w:t>Medium Standard Offer Service</w:t>
      </w:r>
      <w:r>
        <w:rPr>
          <w:sz w:val="24"/>
        </w:rPr>
        <w:t>- The winning bidder will provide requirements supply service for the loads of CMP’s medium standard offer customer</w:t>
      </w:r>
      <w:r w:rsidR="00436C0D">
        <w:rPr>
          <w:sz w:val="24"/>
        </w:rPr>
        <w:t>s</w:t>
      </w:r>
      <w:r>
        <w:rPr>
          <w:sz w:val="24"/>
        </w:rPr>
        <w:t xml:space="preserve">, based on the bidder’s proposal, for a one-year term beginning </w:t>
      </w:r>
      <w:r w:rsidR="00CE61D8">
        <w:rPr>
          <w:sz w:val="24"/>
        </w:rPr>
        <w:t>January 1, 2016</w:t>
      </w:r>
      <w:r>
        <w:rPr>
          <w:sz w:val="24"/>
        </w:rPr>
        <w:t>.  CMP’s medium class is comprised of general service customers with peak demands generally between 20 kW and 400 kW.</w:t>
      </w:r>
      <w:r w:rsidR="00CA4A45">
        <w:rPr>
          <w:sz w:val="24"/>
        </w:rPr>
        <w:t xml:space="preserve">  Bids may be submitted for 20%, 40%, 60%, 80% and/or 100% of this class.</w:t>
      </w:r>
    </w:p>
    <w:p w:rsidR="002B4D9D" w:rsidRDefault="002B4D9D">
      <w:pPr>
        <w:pStyle w:val="BodyTextIndent3"/>
        <w:spacing w:after="0"/>
        <w:jc w:val="left"/>
        <w:rPr>
          <w:sz w:val="24"/>
        </w:rPr>
      </w:pPr>
    </w:p>
    <w:p w:rsidR="002B4D9D" w:rsidRDefault="002B4D9D">
      <w:pPr>
        <w:pStyle w:val="BodyTextIndent2"/>
        <w:spacing w:after="0"/>
        <w:jc w:val="left"/>
      </w:pPr>
      <w:r>
        <w:t xml:space="preserve">4.  </w:t>
      </w:r>
      <w:r>
        <w:rPr>
          <w:u w:val="single"/>
        </w:rPr>
        <w:t>Large Standard Offer Service</w:t>
      </w:r>
      <w:r>
        <w:t>- The winning bidder will provide requirements supply service for 100% of the loads of CMP’s large standard offer customer</w:t>
      </w:r>
      <w:r w:rsidR="00436C0D">
        <w:t>s</w:t>
      </w:r>
      <w:r>
        <w:t xml:space="preserve"> for a one-year term beginning </w:t>
      </w:r>
      <w:r w:rsidR="00CE61D8">
        <w:t>January 1, 2016</w:t>
      </w:r>
      <w:r>
        <w:t>.  CMP’s large class is comprised of customers with peak demands generally greater than 400 kW.  Please note that the Commission is seeking an indexed pricing option for large non-residential customers.  See Section 3.7.</w:t>
      </w:r>
      <w:r w:rsidR="00A41CCF">
        <w:t>3</w:t>
      </w:r>
      <w:r w:rsidR="00CC1F0E">
        <w:t xml:space="preserve"> </w:t>
      </w:r>
      <w:r>
        <w:t xml:space="preserve">for a description of the structure of indexed bids. </w:t>
      </w:r>
    </w:p>
    <w:p w:rsidR="002B4D9D" w:rsidRDefault="002B4D9D">
      <w:pPr>
        <w:pStyle w:val="BodyTextIndent3"/>
        <w:spacing w:after="0"/>
        <w:jc w:val="left"/>
        <w:rPr>
          <w:sz w:val="24"/>
        </w:rPr>
      </w:pPr>
    </w:p>
    <w:p w:rsidR="002B4D9D" w:rsidRDefault="002B4D9D">
      <w:pPr>
        <w:pStyle w:val="BodyTextIndent3"/>
        <w:spacing w:after="0"/>
        <w:jc w:val="left"/>
        <w:rPr>
          <w:b/>
          <w:bCs/>
          <w:sz w:val="24"/>
          <w:u w:val="single"/>
        </w:rPr>
      </w:pPr>
      <w:r>
        <w:rPr>
          <w:b/>
          <w:bCs/>
          <w:sz w:val="24"/>
          <w:u w:val="single"/>
        </w:rPr>
        <w:t>Linked Proposals</w:t>
      </w:r>
    </w:p>
    <w:p w:rsidR="002B4D9D" w:rsidRDefault="002B4D9D">
      <w:pPr>
        <w:pStyle w:val="BodyTextIndent3"/>
        <w:spacing w:after="0"/>
        <w:jc w:val="left"/>
        <w:rPr>
          <w:b/>
          <w:bCs/>
          <w:sz w:val="24"/>
          <w:u w:val="single"/>
        </w:rPr>
      </w:pPr>
    </w:p>
    <w:p w:rsidR="002B4D9D" w:rsidRDefault="002B4D9D">
      <w:pPr>
        <w:pStyle w:val="BodyTextIndent3"/>
        <w:spacing w:after="0"/>
        <w:jc w:val="left"/>
        <w:rPr>
          <w:sz w:val="24"/>
        </w:rPr>
      </w:pPr>
      <w:r>
        <w:rPr>
          <w:sz w:val="24"/>
        </w:rPr>
        <w:t xml:space="preserve">Bidders may link residential and small non-residential standard offer proposals with </w:t>
      </w:r>
      <w:r w:rsidR="00F84772">
        <w:rPr>
          <w:sz w:val="24"/>
        </w:rPr>
        <w:t xml:space="preserve">entitlement </w:t>
      </w:r>
      <w:r>
        <w:rPr>
          <w:sz w:val="24"/>
        </w:rPr>
        <w:t xml:space="preserve">proposals for the capacity and energy from the purchased power contracts that CMP is selling in a concurrent solicitation process.  CMP’s RFP is available by contacting Susan Clary at:   </w:t>
      </w:r>
      <w:hyperlink r:id="rId14" w:history="1">
        <w:r>
          <w:rPr>
            <w:rStyle w:val="Hyperlink"/>
            <w:sz w:val="24"/>
          </w:rPr>
          <w:t>susan.clary@cmpco.com</w:t>
        </w:r>
      </w:hyperlink>
    </w:p>
    <w:p w:rsidR="002B4D9D" w:rsidRDefault="002B4D9D">
      <w:pPr>
        <w:pStyle w:val="BodyTextIndent3"/>
        <w:spacing w:after="0"/>
        <w:jc w:val="left"/>
        <w:rPr>
          <w:sz w:val="24"/>
        </w:rPr>
      </w:pPr>
    </w:p>
    <w:p w:rsidR="006229B9" w:rsidRDefault="00A0751B">
      <w:pPr>
        <w:pStyle w:val="BodyTextIndent3"/>
        <w:spacing w:after="0"/>
        <w:jc w:val="left"/>
        <w:rPr>
          <w:sz w:val="24"/>
        </w:rPr>
      </w:pPr>
      <w:r>
        <w:rPr>
          <w:sz w:val="24"/>
        </w:rPr>
        <w:lastRenderedPageBreak/>
        <w:t xml:space="preserve">Entitlement proposals that are </w:t>
      </w:r>
      <w:r w:rsidRPr="0063655C">
        <w:rPr>
          <w:sz w:val="24"/>
          <w:u w:val="single"/>
        </w:rPr>
        <w:t>linked</w:t>
      </w:r>
      <w:r>
        <w:rPr>
          <w:sz w:val="24"/>
        </w:rPr>
        <w:t xml:space="preserve"> to standard offer </w:t>
      </w:r>
      <w:r w:rsidR="006229B9">
        <w:rPr>
          <w:sz w:val="24"/>
        </w:rPr>
        <w:t>proposals</w:t>
      </w:r>
      <w:r>
        <w:rPr>
          <w:sz w:val="24"/>
        </w:rPr>
        <w:t xml:space="preserve"> must be for the entire </w:t>
      </w:r>
      <w:r w:rsidR="006229B9">
        <w:rPr>
          <w:sz w:val="24"/>
        </w:rPr>
        <w:t>package of Entitlements offered by CMP in the concurrent solicitation.  Bidders may submit different pricing for different entitlement categories as set forth in CMP’s Request for Bids, but must submit bids for all of the Entitlements offered.</w:t>
      </w:r>
    </w:p>
    <w:p w:rsidR="00647DBD" w:rsidRDefault="00647DBD">
      <w:pPr>
        <w:pStyle w:val="BodyTextIndent3"/>
        <w:spacing w:after="0"/>
        <w:jc w:val="left"/>
        <w:rPr>
          <w:sz w:val="24"/>
        </w:rPr>
      </w:pPr>
    </w:p>
    <w:p w:rsidR="002B4D9D" w:rsidRDefault="006229B9">
      <w:pPr>
        <w:pStyle w:val="BodyTextIndent3"/>
        <w:spacing w:after="0"/>
        <w:jc w:val="left"/>
        <w:rPr>
          <w:sz w:val="24"/>
        </w:rPr>
      </w:pPr>
      <w:r>
        <w:rPr>
          <w:sz w:val="24"/>
        </w:rPr>
        <w:t xml:space="preserve">Entitlement proposals that are </w:t>
      </w:r>
      <w:r w:rsidRPr="0063655C">
        <w:rPr>
          <w:sz w:val="24"/>
          <w:u w:val="single"/>
        </w:rPr>
        <w:t>not linked</w:t>
      </w:r>
      <w:r>
        <w:rPr>
          <w:sz w:val="24"/>
        </w:rPr>
        <w:t xml:space="preserve"> to standard offer proposals may be submitted for different Entitlement categories as specified in the CMP Request for Bids.  Bidders are not required to submit proposals for the entire Entitlement package in unlinked proposals</w:t>
      </w:r>
      <w:r w:rsidR="00144661">
        <w:rPr>
          <w:sz w:val="24"/>
        </w:rPr>
        <w:t>.</w:t>
      </w:r>
    </w:p>
    <w:p w:rsidR="002B4D9D" w:rsidRDefault="002B4D9D">
      <w:pPr>
        <w:pStyle w:val="BodyTextIndent3"/>
        <w:spacing w:after="0"/>
        <w:ind w:left="2160" w:firstLine="720"/>
        <w:jc w:val="left"/>
        <w:rPr>
          <w:sz w:val="24"/>
        </w:rPr>
      </w:pPr>
    </w:p>
    <w:p w:rsidR="002B4D9D" w:rsidRDefault="002B4D9D">
      <w:pPr>
        <w:pStyle w:val="BodyTextIndent3"/>
        <w:spacing w:after="0"/>
        <w:jc w:val="left"/>
        <w:rPr>
          <w:b/>
          <w:sz w:val="24"/>
          <w:u w:val="single"/>
        </w:rPr>
      </w:pPr>
      <w:r>
        <w:rPr>
          <w:b/>
          <w:sz w:val="24"/>
          <w:u w:val="single"/>
        </w:rPr>
        <w:t>Principal Evaluation Criteria</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Proposals will be evaluated on the basis of overall value to CMP customers.  In the context of Linked Standard Offer/Entitlement Proposals, this includes both the cost of standard offer service and the value from the entitlement sale.  </w:t>
      </w:r>
    </w:p>
    <w:p w:rsidR="002B4D9D" w:rsidRDefault="002B4D9D">
      <w:pPr>
        <w:pStyle w:val="BodyTextIndent3"/>
        <w:spacing w:after="0"/>
        <w:ind w:left="0"/>
        <w:jc w:val="left"/>
        <w:rPr>
          <w:sz w:val="24"/>
        </w:rPr>
      </w:pPr>
    </w:p>
    <w:p w:rsidR="002B4D9D" w:rsidRDefault="002B4D9D">
      <w:pPr>
        <w:pStyle w:val="BodyTextIndent2"/>
        <w:spacing w:after="0"/>
        <w:ind w:left="720"/>
        <w:jc w:val="left"/>
        <w:rPr>
          <w:b/>
        </w:rPr>
      </w:pPr>
      <w:r>
        <w:rPr>
          <w:b/>
        </w:rPr>
        <w:t>1.2</w:t>
      </w:r>
      <w:r>
        <w:rPr>
          <w:b/>
        </w:rPr>
        <w:tab/>
        <w:t>Description of Service Area and Customer Class</w:t>
      </w:r>
    </w:p>
    <w:p w:rsidR="002B4D9D" w:rsidRDefault="002B4D9D">
      <w:pPr>
        <w:pStyle w:val="BodyTextIndent2"/>
        <w:spacing w:after="0"/>
        <w:ind w:left="720"/>
        <w:jc w:val="left"/>
        <w:rPr>
          <w:b/>
        </w:rPr>
      </w:pPr>
    </w:p>
    <w:p w:rsidR="002B4D9D" w:rsidRDefault="002B4D9D">
      <w:pPr>
        <w:pStyle w:val="BodyTextIndent2"/>
        <w:spacing w:after="0"/>
        <w:jc w:val="left"/>
      </w:pPr>
      <w:r>
        <w:t xml:space="preserve">CMP’s service territory covers 11,000 square miles in central and southern </w:t>
      </w:r>
      <w:smartTag w:uri="urn:schemas-microsoft-com:office:smarttags" w:element="place">
        <w:smartTag w:uri="urn:schemas-microsoft-com:office:smarttags" w:element="State">
          <w:r>
            <w:t>Maine</w:t>
          </w:r>
        </w:smartTag>
      </w:smartTag>
      <w:r>
        <w:t xml:space="preserve"> and is within the New England Independent System Operator (ISO</w:t>
      </w:r>
      <w:r>
        <w:noBreakHyphen/>
        <w:t>NE) control area.</w:t>
      </w:r>
    </w:p>
    <w:p w:rsidR="002B4D9D" w:rsidRDefault="002B4D9D">
      <w:pPr>
        <w:pStyle w:val="BodyTextIndent2"/>
        <w:spacing w:after="0"/>
        <w:jc w:val="left"/>
        <w:rPr>
          <w:b/>
          <w:bCs/>
        </w:rPr>
      </w:pPr>
      <w:r>
        <w:rPr>
          <w:b/>
          <w:bCs/>
        </w:rPr>
        <w:t xml:space="preserve"> </w:t>
      </w:r>
    </w:p>
    <w:p w:rsidR="002B4D9D" w:rsidRPr="00164788" w:rsidRDefault="002B4D9D">
      <w:pPr>
        <w:pStyle w:val="BodyTextIndent2"/>
        <w:spacing w:after="0"/>
        <w:jc w:val="left"/>
        <w:rPr>
          <w:b/>
        </w:rPr>
      </w:pPr>
      <w:r w:rsidRPr="004755EA">
        <w:t xml:space="preserve">CMP currently serves about </w:t>
      </w:r>
      <w:r w:rsidR="00EA42C2" w:rsidRPr="00083D3B">
        <w:t>605,000</w:t>
      </w:r>
      <w:r w:rsidRPr="004755EA">
        <w:t xml:space="preserve"> residential</w:t>
      </w:r>
      <w:r w:rsidR="008F6940">
        <w:t xml:space="preserve"> and</w:t>
      </w:r>
      <w:r w:rsidRPr="004755EA">
        <w:t xml:space="preserve"> small non-residential</w:t>
      </w:r>
      <w:r w:rsidRPr="00372C55">
        <w:t xml:space="preserve"> accounts.  Retail sales to these customers in </w:t>
      </w:r>
      <w:r w:rsidRPr="00A378F9">
        <w:t xml:space="preserve">calendar year </w:t>
      </w:r>
      <w:r w:rsidR="00714265" w:rsidRPr="00164788">
        <w:t>201</w:t>
      </w:r>
      <w:r w:rsidR="00790520">
        <w:t>4</w:t>
      </w:r>
      <w:r w:rsidR="00714265" w:rsidRPr="00164788">
        <w:t xml:space="preserve"> </w:t>
      </w:r>
      <w:r w:rsidRPr="00164788">
        <w:t>were about</w:t>
      </w:r>
      <w:r w:rsidR="00083D3B">
        <w:t xml:space="preserve"> 4.3</w:t>
      </w:r>
      <w:r w:rsidRPr="00164788">
        <w:t xml:space="preserve"> million megawatt-hours of which about </w:t>
      </w:r>
      <w:r w:rsidR="00B555E6">
        <w:t>75</w:t>
      </w:r>
      <w:r w:rsidRPr="00164788">
        <w:t>% currently receives standard offer service</w:t>
      </w:r>
      <w:r w:rsidR="00FF0FD6">
        <w:t>; the remainder is supplied by competitive suppliers.</w:t>
      </w:r>
    </w:p>
    <w:p w:rsidR="002B4D9D" w:rsidRPr="00164788" w:rsidRDefault="002B4D9D">
      <w:pPr>
        <w:pStyle w:val="BodyTextIndent2"/>
        <w:spacing w:after="0"/>
        <w:jc w:val="left"/>
      </w:pPr>
    </w:p>
    <w:p w:rsidR="002B4D9D" w:rsidRPr="00164788" w:rsidRDefault="002B4D9D">
      <w:pPr>
        <w:pStyle w:val="BodyTextIndent2"/>
        <w:spacing w:after="0"/>
        <w:jc w:val="left"/>
      </w:pPr>
      <w:r w:rsidRPr="00164788">
        <w:t>CMP’s retail sales to medium non</w:t>
      </w:r>
      <w:r w:rsidRPr="00164788">
        <w:noBreakHyphen/>
        <w:t xml:space="preserve">residential customers in calendar year </w:t>
      </w:r>
      <w:r w:rsidR="00AB0690" w:rsidRPr="00164788">
        <w:t>201</w:t>
      </w:r>
      <w:r w:rsidR="00B555E6">
        <w:t>4</w:t>
      </w:r>
      <w:r w:rsidR="00AB0690" w:rsidRPr="00164788">
        <w:t xml:space="preserve"> </w:t>
      </w:r>
      <w:r w:rsidRPr="00164788">
        <w:t>were about</w:t>
      </w:r>
      <w:r w:rsidR="00083D3B">
        <w:t xml:space="preserve"> 2.5</w:t>
      </w:r>
      <w:r w:rsidRPr="00164788">
        <w:t xml:space="preserve"> million megawatt-hours.  Currently, about </w:t>
      </w:r>
      <w:r w:rsidR="00B555E6">
        <w:t>35</w:t>
      </w:r>
      <w:r w:rsidRPr="00164788">
        <w:t>% of the load of these customers receives standard offer service</w:t>
      </w:r>
      <w:r w:rsidR="00FF0FD6">
        <w:t>.</w:t>
      </w:r>
      <w:r w:rsidRPr="00164788">
        <w:t xml:space="preserve">  </w:t>
      </w:r>
    </w:p>
    <w:p w:rsidR="002B4D9D" w:rsidRPr="00164788" w:rsidRDefault="002B4D9D">
      <w:pPr>
        <w:pStyle w:val="BodyTextIndent2"/>
        <w:spacing w:after="0"/>
        <w:jc w:val="left"/>
      </w:pPr>
    </w:p>
    <w:p w:rsidR="002B4D9D" w:rsidRPr="00714265" w:rsidRDefault="002B4D9D">
      <w:pPr>
        <w:pStyle w:val="BodyTextIndent2"/>
        <w:spacing w:after="0"/>
        <w:jc w:val="left"/>
      </w:pPr>
      <w:r w:rsidRPr="00164788">
        <w:t xml:space="preserve">CMP’s retail sales to large non-residential customers in </w:t>
      </w:r>
      <w:r w:rsidR="00AB0690" w:rsidRPr="00164788">
        <w:t>201</w:t>
      </w:r>
      <w:r w:rsidR="00B555E6">
        <w:t>4</w:t>
      </w:r>
      <w:r w:rsidR="00AB0690" w:rsidRPr="00164788">
        <w:t xml:space="preserve"> </w:t>
      </w:r>
      <w:r w:rsidRPr="00164788">
        <w:t>were about</w:t>
      </w:r>
      <w:r w:rsidR="0085134C" w:rsidRPr="00164788">
        <w:t xml:space="preserve"> </w:t>
      </w:r>
      <w:r w:rsidR="00083D3B">
        <w:t>2.</w:t>
      </w:r>
      <w:r w:rsidR="00FB1B37">
        <w:t>9</w:t>
      </w:r>
      <w:r w:rsidRPr="00164788">
        <w:t xml:space="preserve"> million megawatt-hours.  About </w:t>
      </w:r>
      <w:r w:rsidR="00B555E6">
        <w:t>5</w:t>
      </w:r>
      <w:r w:rsidRPr="00164788">
        <w:t>% of the load of this group of customers currently receiv</w:t>
      </w:r>
      <w:r w:rsidRPr="00714265">
        <w:t>es standard offer service.</w:t>
      </w:r>
    </w:p>
    <w:p w:rsidR="002B4D9D" w:rsidRPr="00714265" w:rsidRDefault="002B4D9D">
      <w:pPr>
        <w:pStyle w:val="BodyTextIndent2"/>
        <w:spacing w:after="0"/>
        <w:jc w:val="left"/>
      </w:pPr>
    </w:p>
    <w:p w:rsidR="00AD1638" w:rsidRDefault="002B4D9D" w:rsidP="00AD1638">
      <w:pPr>
        <w:pStyle w:val="BodyTextIndent2"/>
      </w:pPr>
      <w:r w:rsidRPr="00714265">
        <w:t>Appendix E includes detailed electricity usage data for calendar year 201</w:t>
      </w:r>
      <w:r w:rsidR="00B555E6">
        <w:t>4</w:t>
      </w:r>
      <w:r w:rsidRPr="004755EA">
        <w:t xml:space="preserve"> and year-to date 201</w:t>
      </w:r>
      <w:r w:rsidR="00B555E6">
        <w:t>5</w:t>
      </w:r>
      <w:r w:rsidRPr="004755EA">
        <w:t>.</w:t>
      </w:r>
      <w:r>
        <w:t xml:space="preserve">   Additional and more current load data, including hourly loads, settlement loads, and ICAP tags is available at</w:t>
      </w:r>
      <w:r w:rsidR="00AD1638">
        <w:t xml:space="preserve">: </w:t>
      </w:r>
      <w:hyperlink r:id="rId15" w:history="1">
        <w:r w:rsidR="00AD1638" w:rsidRPr="009E724C">
          <w:rPr>
            <w:rStyle w:val="Hyperlink"/>
          </w:rPr>
          <w:t>http://www.maine.gov/mpuc/electricity/rfps/so_solicitations.shtml</w:t>
        </w:r>
      </w:hyperlink>
      <w:r w:rsidR="00AD1638">
        <w:t xml:space="preserve">  </w:t>
      </w:r>
    </w:p>
    <w:p w:rsidR="002B4D9D" w:rsidRDefault="002B4D9D">
      <w:pPr>
        <w:pStyle w:val="BodyTextIndent2"/>
        <w:spacing w:after="0"/>
        <w:ind w:left="0"/>
        <w:jc w:val="left"/>
      </w:pPr>
    </w:p>
    <w:p w:rsidR="002B4D9D" w:rsidRDefault="002B4D9D">
      <w:pPr>
        <w:ind w:left="720"/>
        <w:rPr>
          <w:rFonts w:ascii="Arial" w:hAnsi="Arial"/>
          <w:b/>
          <w:sz w:val="24"/>
        </w:rPr>
      </w:pPr>
      <w:r>
        <w:rPr>
          <w:rFonts w:ascii="Arial" w:hAnsi="Arial"/>
          <w:b/>
          <w:sz w:val="24"/>
        </w:rPr>
        <w:t>1.3</w:t>
      </w:r>
      <w:r>
        <w:rPr>
          <w:rFonts w:ascii="Arial" w:hAnsi="Arial"/>
          <w:b/>
          <w:sz w:val="24"/>
        </w:rPr>
        <w:tab/>
        <w:t xml:space="preserve">General Provisions </w:t>
      </w:r>
    </w:p>
    <w:p w:rsidR="002B4D9D" w:rsidRDefault="002B4D9D">
      <w:pPr>
        <w:pStyle w:val="BodyTextIndent2"/>
        <w:spacing w:after="0"/>
        <w:jc w:val="left"/>
      </w:pPr>
    </w:p>
    <w:p w:rsidR="002B4D9D" w:rsidRDefault="002B4D9D">
      <w:pPr>
        <w:pStyle w:val="BodyTextIndent2"/>
        <w:spacing w:after="0"/>
        <w:jc w:val="left"/>
      </w:pPr>
      <w:r>
        <w:t>1.3.1 Standard Offer Service</w:t>
      </w:r>
    </w:p>
    <w:p w:rsidR="002B4D9D" w:rsidRDefault="002B4D9D">
      <w:pPr>
        <w:pStyle w:val="BodyTextIndent2"/>
        <w:spacing w:after="0"/>
        <w:jc w:val="left"/>
      </w:pPr>
    </w:p>
    <w:p w:rsidR="002B4D9D" w:rsidRDefault="002B4D9D">
      <w:pPr>
        <w:pStyle w:val="BodyTextIndent2"/>
        <w:spacing w:after="0"/>
        <w:jc w:val="left"/>
      </w:pPr>
      <w:r>
        <w:lastRenderedPageBreak/>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6" w:history="1">
        <w:r>
          <w:rPr>
            <w:rStyle w:val="Hyperlink"/>
          </w:rPr>
          <w:t>www.maine.gov/mpuc</w:t>
        </w:r>
      </w:hyperlink>
      <w:r>
        <w:t xml:space="preserve"> </w:t>
      </w:r>
    </w:p>
    <w:p w:rsidR="002B4D9D" w:rsidRDefault="002B4D9D">
      <w:pPr>
        <w:pStyle w:val="BodyTextIndent2"/>
        <w:spacing w:after="0"/>
        <w:jc w:val="left"/>
      </w:pPr>
    </w:p>
    <w:p w:rsidR="002B4D9D" w:rsidRDefault="002B4D9D">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rsidR="002B4D9D" w:rsidRDefault="002B4D9D">
      <w:pPr>
        <w:pStyle w:val="BodyTextIndent2"/>
        <w:spacing w:after="0"/>
        <w:jc w:val="left"/>
      </w:pPr>
    </w:p>
    <w:p w:rsidR="002B4D9D" w:rsidRDefault="002B4D9D">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rsidR="002B4D9D" w:rsidRDefault="002B4D9D">
      <w:pPr>
        <w:pStyle w:val="BodyTextIndent2"/>
        <w:spacing w:after="0"/>
        <w:jc w:val="left"/>
      </w:pPr>
    </w:p>
    <w:p w:rsidR="00B555E6" w:rsidRDefault="002B4D9D" w:rsidP="00622B90">
      <w:pPr>
        <w:pStyle w:val="BodyTextIndent2"/>
        <w:spacing w:after="0"/>
        <w:jc w:val="left"/>
      </w:pPr>
      <w:r>
        <w:t xml:space="preserve">Retail standard offer prices are set equal to the bid prices of winning bidders.  If there are multiple providers, retail prices are the weighted average of the providers’ prices. </w:t>
      </w:r>
      <w:r w:rsidR="008937C5">
        <w:t xml:space="preserve"> </w:t>
      </w:r>
    </w:p>
    <w:p w:rsidR="00B555E6" w:rsidRDefault="00B555E6" w:rsidP="00622B90">
      <w:pPr>
        <w:pStyle w:val="BodyTextIndent2"/>
        <w:spacing w:after="0"/>
        <w:jc w:val="left"/>
      </w:pPr>
    </w:p>
    <w:p w:rsidR="002B4D9D" w:rsidRDefault="00622B90">
      <w:pPr>
        <w:pStyle w:val="BodyTextIndent2"/>
        <w:spacing w:after="0"/>
        <w:jc w:val="left"/>
      </w:pPr>
      <w:r>
        <w:t xml:space="preserve">Note that for the residential/small </w:t>
      </w:r>
      <w:r w:rsidR="00746C98">
        <w:t>non-</w:t>
      </w:r>
      <w:r>
        <w:t>residential class</w:t>
      </w:r>
      <w:r w:rsidR="00B555E6">
        <w:t>, for January and February, 2016</w:t>
      </w:r>
      <w:r>
        <w:t xml:space="preserve">, in setting the retail standard offer price, the winning bid(s) from this RFP will be blended with the existing 34% load tranche, which is priced at </w:t>
      </w:r>
      <w:r w:rsidRPr="00647DBD">
        <w:t>$0.06787/kWh.</w:t>
      </w:r>
      <w:r>
        <w:t xml:space="preserve"> This blending will not affect the amounts paid to winning bidders</w:t>
      </w:r>
      <w:r w:rsidR="00C738C0">
        <w:t>.</w:t>
      </w:r>
    </w:p>
    <w:p w:rsidR="00675FA0" w:rsidRDefault="00675FA0">
      <w:pPr>
        <w:pStyle w:val="BodyTextIndent2"/>
        <w:spacing w:after="0"/>
        <w:jc w:val="left"/>
      </w:pPr>
    </w:p>
    <w:p w:rsidR="002B4D9D" w:rsidRDefault="002B4D9D">
      <w:pPr>
        <w:pStyle w:val="BodyTextIndent2"/>
        <w:spacing w:after="0"/>
        <w:jc w:val="left"/>
        <w:rPr>
          <w:b/>
          <w:bCs/>
        </w:rPr>
      </w:pPr>
      <w:r>
        <w:t>The standard offer provider is paid its accepted bid price less the applicable fixed percentage amount for uncollectible revenue as specified in Exhibit A to Standard Offer Provider Agreement (Appendix C).</w:t>
      </w:r>
    </w:p>
    <w:p w:rsidR="002B4D9D" w:rsidRDefault="002B4D9D">
      <w:pPr>
        <w:pStyle w:val="BodyTextIndent3"/>
        <w:spacing w:after="0"/>
        <w:ind w:left="0"/>
        <w:jc w:val="left"/>
        <w:rPr>
          <w:sz w:val="24"/>
        </w:rPr>
      </w:pPr>
    </w:p>
    <w:p w:rsidR="002B4D9D" w:rsidRDefault="002B4D9D">
      <w:pPr>
        <w:pStyle w:val="BodyTextIndent3"/>
        <w:spacing w:after="0"/>
        <w:jc w:val="left"/>
        <w:rPr>
          <w:sz w:val="24"/>
        </w:rPr>
      </w:pPr>
      <w:r>
        <w:rPr>
          <w:sz w:val="24"/>
        </w:rPr>
        <w:t>CMP will bill and collect from customers on behalf of the standard offer provider.  The Standard Service Agreement that governs these billing arrangements and other matters between the provider and CMP is provided as Appendix C.  CMP charges for the services it provides in accordance with Commission-approved Terms &amp; Conditions.  (See Appendix D.)  Bidders may propose changes to the Standard Agreement and submit them for consideration.</w:t>
      </w:r>
    </w:p>
    <w:p w:rsidR="00C37565" w:rsidRDefault="00C37565">
      <w:pPr>
        <w:pStyle w:val="BodyTextIndent3"/>
        <w:spacing w:after="0"/>
        <w:jc w:val="left"/>
        <w:rPr>
          <w:sz w:val="24"/>
        </w:rPr>
      </w:pPr>
    </w:p>
    <w:p w:rsidR="00C37565" w:rsidRDefault="00C37565">
      <w:pPr>
        <w:pStyle w:val="BodyTextIndent3"/>
        <w:spacing w:after="0"/>
        <w:jc w:val="left"/>
        <w:rPr>
          <w:sz w:val="24"/>
        </w:rPr>
      </w:pPr>
    </w:p>
    <w:p w:rsidR="00C37565" w:rsidRDefault="00C37565">
      <w:pPr>
        <w:pStyle w:val="BodyTextIndent3"/>
        <w:spacing w:after="0"/>
        <w:jc w:val="left"/>
        <w:rPr>
          <w:sz w:val="24"/>
        </w:rPr>
      </w:pPr>
    </w:p>
    <w:p w:rsidR="00C37565" w:rsidRDefault="00C37565">
      <w:pPr>
        <w:pStyle w:val="BodyTextIndent3"/>
        <w:spacing w:after="0"/>
        <w:jc w:val="left"/>
        <w:rPr>
          <w:sz w:val="24"/>
        </w:rPr>
      </w:pPr>
    </w:p>
    <w:p w:rsidR="00C37565" w:rsidRDefault="00C37565">
      <w:pPr>
        <w:pStyle w:val="BodyTextIndent3"/>
        <w:spacing w:after="0"/>
        <w:jc w:val="left"/>
        <w:rPr>
          <w:sz w:val="24"/>
        </w:rPr>
      </w:pPr>
    </w:p>
    <w:p w:rsidR="00C37565" w:rsidRDefault="00C37565">
      <w:pPr>
        <w:pStyle w:val="BodyTextIndent3"/>
        <w:spacing w:after="0"/>
        <w:jc w:val="left"/>
        <w:rPr>
          <w:sz w:val="24"/>
        </w:rPr>
      </w:pPr>
    </w:p>
    <w:p w:rsidR="002B4D9D" w:rsidRDefault="002B4D9D">
      <w:pPr>
        <w:pStyle w:val="BodyTextIndent3"/>
        <w:numPr>
          <w:ilvl w:val="12"/>
          <w:numId w:val="0"/>
        </w:numPr>
        <w:spacing w:after="0"/>
        <w:rPr>
          <w:b/>
          <w:bCs/>
          <w:sz w:val="24"/>
        </w:rPr>
      </w:pPr>
    </w:p>
    <w:p w:rsidR="002B4D9D" w:rsidRDefault="002B4D9D">
      <w:pPr>
        <w:pStyle w:val="BodyTextIndent3"/>
        <w:numPr>
          <w:ilvl w:val="12"/>
          <w:numId w:val="0"/>
        </w:numPr>
        <w:spacing w:after="0"/>
        <w:rPr>
          <w:b/>
          <w:bCs/>
          <w:sz w:val="24"/>
        </w:rPr>
      </w:pPr>
      <w:r>
        <w:rPr>
          <w:b/>
          <w:bCs/>
          <w:sz w:val="24"/>
        </w:rPr>
        <w:lastRenderedPageBreak/>
        <w:t>2.</w:t>
      </w:r>
      <w:r>
        <w:rPr>
          <w:b/>
          <w:bCs/>
          <w:sz w:val="24"/>
        </w:rPr>
        <w:tab/>
        <w:t>PROCESS AND SCHEDULE</w:t>
      </w:r>
    </w:p>
    <w:p w:rsidR="002B4D9D" w:rsidRDefault="002B4D9D">
      <w:pPr>
        <w:pStyle w:val="BodyTextIndent3"/>
        <w:numPr>
          <w:ilvl w:val="12"/>
          <w:numId w:val="0"/>
        </w:numPr>
        <w:spacing w:after="0"/>
        <w:rPr>
          <w:b/>
          <w:bCs/>
          <w:sz w:val="24"/>
        </w:rPr>
      </w:pPr>
    </w:p>
    <w:p w:rsidR="002B4D9D" w:rsidRDefault="002B4D9D">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2B4D9D" w:rsidRDefault="002B4D9D">
      <w:pPr>
        <w:pStyle w:val="BodyTextIndent3"/>
        <w:spacing w:after="0"/>
        <w:ind w:left="720" w:firstLine="720"/>
        <w:rPr>
          <w:sz w:val="24"/>
        </w:rPr>
      </w:pPr>
    </w:p>
    <w:p w:rsidR="002B4D9D" w:rsidRDefault="002B4D9D">
      <w:pPr>
        <w:pStyle w:val="Heading5"/>
      </w:pPr>
      <w:r>
        <w:t xml:space="preserve">Initial proposals with indicative </w:t>
      </w:r>
      <w:r>
        <w:tab/>
      </w:r>
      <w:r>
        <w:tab/>
      </w:r>
      <w:r>
        <w:tab/>
      </w:r>
      <w:r w:rsidR="00B555E6">
        <w:t>October 6, 2015</w:t>
      </w:r>
    </w:p>
    <w:p w:rsidR="002B4D9D" w:rsidRPr="00C37565" w:rsidRDefault="002B4D9D" w:rsidP="00C37565">
      <w:pPr>
        <w:pStyle w:val="Heading5"/>
      </w:pPr>
      <w:proofErr w:type="gramStart"/>
      <w:r>
        <w:t>prices</w:t>
      </w:r>
      <w:proofErr w:type="gramEnd"/>
      <w:r>
        <w:t xml:space="preserve"> submitted</w:t>
      </w:r>
      <w:r>
        <w:tab/>
        <w:t xml:space="preserve"> </w:t>
      </w:r>
      <w:r>
        <w:tab/>
      </w:r>
      <w:r>
        <w:tab/>
      </w:r>
      <w:r>
        <w:tab/>
      </w:r>
      <w:r>
        <w:tab/>
      </w:r>
      <w:r w:rsidR="00C37565">
        <w:rPr>
          <w:rFonts w:cs="Arial"/>
        </w:rPr>
        <w:t>(by 4:00 p.m. EPT</w:t>
      </w:r>
      <w:r>
        <w:rPr>
          <w:rFonts w:cs="Arial"/>
        </w:rPr>
        <w:tab/>
      </w:r>
      <w:r>
        <w:rPr>
          <w:rFonts w:cs="Arial"/>
        </w:rPr>
        <w:tab/>
      </w:r>
      <w:r>
        <w:tab/>
      </w:r>
      <w:r>
        <w:tab/>
      </w:r>
    </w:p>
    <w:p w:rsidR="002B4D9D" w:rsidRDefault="002B4D9D">
      <w:pPr>
        <w:ind w:left="720" w:firstLine="720"/>
        <w:rPr>
          <w:rFonts w:ascii="Arial" w:hAnsi="Arial"/>
          <w:sz w:val="24"/>
        </w:rPr>
      </w:pPr>
      <w:r>
        <w:rPr>
          <w:rFonts w:ascii="Arial" w:hAnsi="Arial"/>
          <w:sz w:val="24"/>
        </w:rPr>
        <w:tab/>
      </w:r>
    </w:p>
    <w:p w:rsidR="002B4D9D" w:rsidRDefault="002B4D9D">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B555E6">
        <w:rPr>
          <w:rFonts w:ascii="Arial" w:hAnsi="Arial"/>
          <w:sz w:val="24"/>
        </w:rPr>
        <w:t>October 7, 2015</w:t>
      </w:r>
    </w:p>
    <w:p w:rsidR="002B4D9D" w:rsidRDefault="002B4D9D">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rsidR="002B4D9D" w:rsidRDefault="002B4D9D">
      <w:pPr>
        <w:ind w:left="1440" w:firstLine="720"/>
        <w:rPr>
          <w:rFonts w:ascii="Arial" w:hAnsi="Arial"/>
          <w:i/>
          <w:iCs/>
          <w:sz w:val="24"/>
        </w:rPr>
      </w:pPr>
      <w:r>
        <w:rPr>
          <w:rFonts w:ascii="Arial" w:hAnsi="Arial"/>
          <w:i/>
          <w:iCs/>
          <w:sz w:val="24"/>
        </w:rPr>
        <w:t>bidders as determined by</w:t>
      </w:r>
    </w:p>
    <w:p w:rsidR="002B4D9D" w:rsidRDefault="002B4D9D">
      <w:pPr>
        <w:ind w:left="1440" w:firstLine="720"/>
        <w:rPr>
          <w:rFonts w:ascii="Arial" w:hAnsi="Arial"/>
          <w:sz w:val="24"/>
        </w:rPr>
      </w:pPr>
      <w:r>
        <w:rPr>
          <w:rFonts w:ascii="Arial" w:hAnsi="Arial"/>
          <w:i/>
          <w:iCs/>
          <w:sz w:val="24"/>
        </w:rPr>
        <w:t xml:space="preserve"> indicative prices.)</w:t>
      </w:r>
    </w:p>
    <w:p w:rsidR="002B4D9D" w:rsidRDefault="002B4D9D">
      <w:pPr>
        <w:pStyle w:val="Heading5"/>
      </w:pPr>
    </w:p>
    <w:p w:rsidR="002B4D9D" w:rsidRDefault="002B4D9D">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rsidR="002B4D9D" w:rsidRDefault="002B4D9D">
      <w:pPr>
        <w:rPr>
          <w:rFonts w:ascii="Arial" w:hAnsi="Arial"/>
          <w:sz w:val="24"/>
        </w:rPr>
      </w:pPr>
      <w:r>
        <w:rPr>
          <w:rFonts w:ascii="Arial" w:hAnsi="Arial"/>
          <w:sz w:val="24"/>
        </w:rPr>
        <w:tab/>
      </w:r>
      <w:r>
        <w:rPr>
          <w:rFonts w:ascii="Arial" w:hAnsi="Arial"/>
          <w:sz w:val="24"/>
        </w:rPr>
        <w:tab/>
        <w:t xml:space="preserve">Commission Decision </w:t>
      </w:r>
    </w:p>
    <w:p w:rsidR="002B4D9D" w:rsidRDefault="002B4D9D">
      <w:pPr>
        <w:rPr>
          <w:rFonts w:ascii="Arial" w:hAnsi="Arial"/>
          <w:sz w:val="24"/>
        </w:rPr>
      </w:pPr>
    </w:p>
    <w:p w:rsidR="002B4D9D" w:rsidRDefault="002B4D9D">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rsidR="002B4D9D" w:rsidRDefault="002B4D9D">
      <w:pPr>
        <w:ind w:left="6480" w:hanging="5040"/>
        <w:rPr>
          <w:rFonts w:ascii="Arial" w:hAnsi="Arial"/>
          <w:sz w:val="24"/>
        </w:rPr>
      </w:pPr>
    </w:p>
    <w:p w:rsidR="002B4D9D" w:rsidRDefault="002B4D9D">
      <w:pPr>
        <w:pStyle w:val="Heading8"/>
        <w:jc w:val="left"/>
      </w:pPr>
      <w:r>
        <w:t>Execution of Standard</w:t>
      </w:r>
      <w:r>
        <w:tab/>
      </w:r>
      <w:r>
        <w:tab/>
      </w:r>
      <w:r>
        <w:tab/>
      </w:r>
      <w:r>
        <w:tab/>
        <w:t xml:space="preserve">Within 24 hours of </w:t>
      </w:r>
    </w:p>
    <w:p w:rsidR="002B4D9D" w:rsidRDefault="002B4D9D">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2B4D9D" w:rsidRDefault="002B4D9D">
      <w:pPr>
        <w:ind w:left="720" w:firstLine="720"/>
        <w:rPr>
          <w:rFonts w:ascii="Arial" w:hAnsi="Arial"/>
          <w:sz w:val="24"/>
        </w:rPr>
      </w:pPr>
    </w:p>
    <w:p w:rsidR="002B4D9D" w:rsidRDefault="002B4D9D">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rsidR="002B4D9D" w:rsidRDefault="002B4D9D">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2B4D9D" w:rsidRDefault="002B4D9D">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2B4D9D" w:rsidRDefault="002B4D9D">
      <w:pPr>
        <w:ind w:left="720" w:firstLine="720"/>
        <w:rPr>
          <w:rFonts w:ascii="Arial" w:hAnsi="Arial"/>
          <w:sz w:val="24"/>
        </w:rPr>
      </w:pPr>
      <w:r>
        <w:rPr>
          <w:rFonts w:ascii="Arial" w:hAnsi="Arial"/>
          <w:sz w:val="24"/>
        </w:rPr>
        <w:t>Public Release of Winning /</w:t>
      </w:r>
      <w:r>
        <w:rPr>
          <w:rFonts w:ascii="Arial" w:hAnsi="Arial"/>
          <w:sz w:val="24"/>
        </w:rPr>
        <w:tab/>
      </w:r>
      <w:r>
        <w:rPr>
          <w:rFonts w:ascii="Arial" w:hAnsi="Arial"/>
          <w:sz w:val="24"/>
        </w:rPr>
        <w:tab/>
      </w:r>
      <w:r>
        <w:rPr>
          <w:rFonts w:ascii="Arial" w:hAnsi="Arial"/>
          <w:sz w:val="24"/>
        </w:rPr>
        <w:tab/>
        <w:t xml:space="preserve">May be kept confidential </w:t>
      </w:r>
    </w:p>
    <w:p w:rsidR="002B4D9D" w:rsidRDefault="002B4D9D">
      <w:pPr>
        <w:ind w:left="6480" w:hanging="5040"/>
        <w:rPr>
          <w:rFonts w:ascii="Arial" w:hAnsi="Arial"/>
          <w:sz w:val="24"/>
        </w:rPr>
      </w:pPr>
      <w:r>
        <w:rPr>
          <w:rFonts w:ascii="Arial" w:hAnsi="Arial"/>
          <w:sz w:val="24"/>
        </w:rPr>
        <w:t>Provider(s) Identity(s)</w:t>
      </w:r>
      <w:r>
        <w:rPr>
          <w:rFonts w:ascii="Arial" w:hAnsi="Arial"/>
          <w:sz w:val="24"/>
        </w:rPr>
        <w:tab/>
        <w:t xml:space="preserve">for up to 2 weeks after </w:t>
      </w:r>
    </w:p>
    <w:p w:rsidR="002B4D9D" w:rsidRDefault="002B4D9D">
      <w:pPr>
        <w:ind w:left="5760" w:firstLine="720"/>
        <w:rPr>
          <w:rFonts w:ascii="Arial" w:hAnsi="Arial"/>
          <w:sz w:val="24"/>
        </w:rPr>
      </w:pPr>
      <w:r>
        <w:rPr>
          <w:rFonts w:ascii="Arial" w:hAnsi="Arial"/>
          <w:sz w:val="24"/>
        </w:rPr>
        <w:t xml:space="preserve">Commission Decision (at </w:t>
      </w:r>
    </w:p>
    <w:p w:rsidR="002B4D9D" w:rsidRDefault="002B4D9D">
      <w:pPr>
        <w:ind w:left="5760" w:firstLine="720"/>
        <w:rPr>
          <w:rFonts w:ascii="Arial" w:hAnsi="Arial"/>
          <w:sz w:val="24"/>
        </w:rPr>
      </w:pPr>
      <w:r>
        <w:rPr>
          <w:rFonts w:ascii="Arial" w:hAnsi="Arial"/>
          <w:sz w:val="24"/>
        </w:rPr>
        <w:t>provider’s request)</w:t>
      </w:r>
    </w:p>
    <w:p w:rsidR="002B4D9D" w:rsidRDefault="002B4D9D">
      <w:pPr>
        <w:rPr>
          <w:rFonts w:ascii="Arial" w:hAnsi="Arial"/>
          <w:sz w:val="24"/>
        </w:rPr>
      </w:pPr>
    </w:p>
    <w:p w:rsidR="002B4D9D" w:rsidRDefault="002B4D9D">
      <w:pPr>
        <w:rPr>
          <w:rFonts w:ascii="Arial" w:hAnsi="Arial"/>
          <w:sz w:val="24"/>
        </w:rPr>
      </w:pPr>
      <w:r>
        <w:rPr>
          <w:rFonts w:ascii="Arial" w:hAnsi="Arial"/>
          <w:sz w:val="24"/>
        </w:rPr>
        <w:tab/>
      </w:r>
      <w:r>
        <w:rPr>
          <w:rFonts w:ascii="Arial" w:hAnsi="Arial"/>
          <w:sz w:val="24"/>
        </w:rPr>
        <w:tab/>
        <w:t>Service Terms Begin</w:t>
      </w:r>
      <w:r>
        <w:rPr>
          <w:rFonts w:ascii="Arial" w:hAnsi="Arial"/>
          <w:sz w:val="24"/>
        </w:rPr>
        <w:tab/>
      </w:r>
      <w:r>
        <w:rPr>
          <w:rFonts w:ascii="Arial" w:hAnsi="Arial"/>
          <w:sz w:val="24"/>
        </w:rPr>
        <w:tab/>
      </w:r>
      <w:r>
        <w:rPr>
          <w:rFonts w:ascii="Arial" w:hAnsi="Arial"/>
          <w:sz w:val="24"/>
        </w:rPr>
        <w:tab/>
      </w:r>
      <w:r>
        <w:rPr>
          <w:rFonts w:ascii="Arial" w:hAnsi="Arial"/>
          <w:sz w:val="24"/>
        </w:rPr>
        <w:tab/>
      </w:r>
      <w:r w:rsidR="00CE61D8">
        <w:rPr>
          <w:rFonts w:ascii="Arial" w:hAnsi="Arial"/>
          <w:sz w:val="24"/>
        </w:rPr>
        <w:t>January 1, 2016</w:t>
      </w:r>
      <w:r>
        <w:rPr>
          <w:rFonts w:ascii="Arial" w:hAnsi="Arial"/>
          <w:sz w:val="24"/>
        </w:rPr>
        <w:tab/>
      </w:r>
    </w:p>
    <w:p w:rsidR="002B4D9D" w:rsidRDefault="002B4D9D">
      <w:pPr>
        <w:rPr>
          <w:rFonts w:ascii="Arial" w:hAnsi="Arial"/>
          <w:sz w:val="24"/>
        </w:rPr>
      </w:pPr>
    </w:p>
    <w:p w:rsidR="002B4D9D" w:rsidRDefault="002B4D9D">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rsidR="002B4D9D" w:rsidRDefault="002B4D9D">
      <w:pPr>
        <w:jc w:val="both"/>
        <w:rPr>
          <w:rFonts w:ascii="Arial" w:hAnsi="Arial"/>
          <w:sz w:val="24"/>
        </w:rPr>
      </w:pPr>
    </w:p>
    <w:p w:rsidR="002B4D9D" w:rsidRDefault="002B4D9D">
      <w:pPr>
        <w:pStyle w:val="BodyText2"/>
        <w:ind w:left="720"/>
      </w:pPr>
      <w:r>
        <w:rPr>
          <w:b/>
        </w:rPr>
        <w:t>2.1</w:t>
      </w:r>
      <w:r>
        <w:rPr>
          <w:b/>
        </w:rPr>
        <w:tab/>
        <w:t>Submission of Proposals</w:t>
      </w:r>
    </w:p>
    <w:p w:rsidR="002B4D9D" w:rsidRDefault="002B4D9D">
      <w:pPr>
        <w:pStyle w:val="BodyText2"/>
        <w:ind w:left="720" w:firstLine="720"/>
      </w:pPr>
    </w:p>
    <w:p w:rsidR="002B4D9D" w:rsidRDefault="002B4D9D">
      <w:pPr>
        <w:pStyle w:val="BodyText2"/>
        <w:ind w:left="1440"/>
        <w:jc w:val="left"/>
      </w:pPr>
      <w:r>
        <w:t xml:space="preserve">Proposals must be received at the Maine PUC by the times and dates indicated.  Instructions for submitting proposals will be posted on the Commission’s website at </w:t>
      </w:r>
      <w:hyperlink r:id="rId17" w:history="1">
        <w:r w:rsidR="00AD1638" w:rsidRPr="009E724C">
          <w:rPr>
            <w:rStyle w:val="Hyperlink"/>
          </w:rPr>
          <w:t>http://www.maine.gov/mpuc/electricity/rfps/so_solicitations.shtml</w:t>
        </w:r>
      </w:hyperlink>
      <w:r w:rsidR="00AD1638">
        <w:t xml:space="preserve"> </w:t>
      </w:r>
      <w:r>
        <w:t>or otherwise communicated to bidders.</w:t>
      </w:r>
    </w:p>
    <w:p w:rsidR="002B4D9D" w:rsidRDefault="002B4D9D">
      <w:pPr>
        <w:pStyle w:val="BodyText2"/>
        <w:ind w:left="1440"/>
        <w:jc w:val="left"/>
      </w:pPr>
    </w:p>
    <w:p w:rsidR="002B4D9D" w:rsidRDefault="002B4D9D">
      <w:pPr>
        <w:pStyle w:val="Heading1"/>
        <w:jc w:val="left"/>
        <w:rPr>
          <w:rFonts w:ascii="Arial" w:hAnsi="Arial"/>
          <w:sz w:val="24"/>
        </w:rPr>
      </w:pPr>
      <w:r>
        <w:rPr>
          <w:rFonts w:ascii="Arial" w:hAnsi="Arial"/>
          <w:sz w:val="24"/>
        </w:rPr>
        <w:t>3.</w:t>
      </w:r>
      <w:r>
        <w:rPr>
          <w:rFonts w:ascii="Arial" w:hAnsi="Arial"/>
          <w:sz w:val="24"/>
        </w:rPr>
        <w:tab/>
        <w:t>PROPOSAL REQUIREMENTS</w:t>
      </w:r>
    </w:p>
    <w:p w:rsidR="002B4D9D" w:rsidRDefault="002B4D9D"/>
    <w:p w:rsidR="002B4D9D" w:rsidRDefault="002B4D9D">
      <w:pPr>
        <w:pStyle w:val="BodyTextIndent3"/>
        <w:spacing w:after="0"/>
        <w:ind w:left="810"/>
        <w:jc w:val="left"/>
        <w:rPr>
          <w:sz w:val="24"/>
        </w:rPr>
      </w:pPr>
      <w:r>
        <w:rPr>
          <w:sz w:val="24"/>
        </w:rPr>
        <w:t>The following items should be included in the Initial proposals.</w:t>
      </w:r>
    </w:p>
    <w:p w:rsidR="002B4D9D" w:rsidRDefault="002B4D9D">
      <w:pPr>
        <w:pStyle w:val="BodyTextIndent3"/>
        <w:spacing w:after="0"/>
        <w:ind w:left="810"/>
        <w:jc w:val="left"/>
        <w:rPr>
          <w:sz w:val="24"/>
        </w:rPr>
      </w:pPr>
    </w:p>
    <w:p w:rsidR="002B4D9D" w:rsidRDefault="002B4D9D">
      <w:pPr>
        <w:ind w:left="1440" w:hanging="720"/>
        <w:rPr>
          <w:rFonts w:ascii="Arial" w:hAnsi="Arial"/>
          <w:b/>
          <w:bCs/>
          <w:sz w:val="24"/>
        </w:rPr>
      </w:pPr>
      <w:r>
        <w:rPr>
          <w:rFonts w:ascii="Arial" w:hAnsi="Arial"/>
          <w:b/>
          <w:bCs/>
          <w:sz w:val="24"/>
        </w:rPr>
        <w:lastRenderedPageBreak/>
        <w:t>3.1</w:t>
      </w:r>
      <w:r>
        <w:rPr>
          <w:rFonts w:ascii="Arial" w:hAnsi="Arial"/>
          <w:b/>
          <w:bCs/>
          <w:sz w:val="24"/>
        </w:rPr>
        <w:tab/>
        <w:t>License</w:t>
      </w:r>
    </w:p>
    <w:p w:rsidR="002B4D9D" w:rsidRDefault="002B4D9D">
      <w:pPr>
        <w:ind w:left="1440" w:hanging="720"/>
        <w:rPr>
          <w:rFonts w:ascii="Arial" w:hAnsi="Arial"/>
          <w:b/>
          <w:bCs/>
          <w:sz w:val="24"/>
        </w:rPr>
      </w:pPr>
    </w:p>
    <w:p w:rsidR="002B4D9D" w:rsidRDefault="002B4D9D">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rsidR="002B4D9D" w:rsidRDefault="002B4D9D">
      <w:pPr>
        <w:rPr>
          <w:rFonts w:ascii="Arial" w:hAnsi="Arial"/>
          <w:sz w:val="24"/>
        </w:rPr>
      </w:pPr>
    </w:p>
    <w:p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rsidR="002B4D9D" w:rsidRDefault="002B4D9D">
      <w:pPr>
        <w:rPr>
          <w:rFonts w:ascii="Arial" w:hAnsi="Arial"/>
          <w:b/>
          <w:bCs/>
          <w:sz w:val="24"/>
        </w:rPr>
      </w:pPr>
    </w:p>
    <w:p w:rsidR="002B4D9D" w:rsidRDefault="002B4D9D">
      <w:pPr>
        <w:tabs>
          <w:tab w:val="left" w:pos="450"/>
        </w:tabs>
        <w:ind w:left="1440"/>
        <w:rPr>
          <w:rFonts w:ascii="Arial" w:hAnsi="Arial"/>
          <w:sz w:val="24"/>
        </w:rPr>
      </w:pPr>
      <w:r>
        <w:rPr>
          <w:rFonts w:ascii="Arial" w:hAnsi="Arial"/>
          <w:sz w:val="24"/>
        </w:rPr>
        <w:t>1) 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rsidR="002B4D9D" w:rsidRDefault="002B4D9D">
      <w:pPr>
        <w:tabs>
          <w:tab w:val="left" w:pos="450"/>
        </w:tabs>
        <w:ind w:left="1440"/>
        <w:rPr>
          <w:rFonts w:ascii="Arial" w:hAnsi="Arial"/>
          <w:sz w:val="24"/>
        </w:rPr>
      </w:pPr>
    </w:p>
    <w:p w:rsidR="002B4D9D" w:rsidRDefault="002B4D9D">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rsidR="002B4D9D" w:rsidRDefault="002B4D9D">
      <w:pPr>
        <w:pStyle w:val="BodyText"/>
        <w:ind w:left="1440"/>
        <w:jc w:val="left"/>
      </w:pPr>
    </w:p>
    <w:p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rsidR="002B4D9D" w:rsidRDefault="002B4D9D">
      <w:pPr>
        <w:ind w:left="1440"/>
        <w:rPr>
          <w:rFonts w:ascii="Arial" w:hAnsi="Arial"/>
          <w:sz w:val="24"/>
        </w:rPr>
      </w:pPr>
    </w:p>
    <w:p w:rsidR="002B4D9D" w:rsidRDefault="002B4D9D">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2B4D9D" w:rsidRDefault="002B4D9D">
      <w:pPr>
        <w:ind w:left="1440"/>
        <w:rPr>
          <w:rFonts w:ascii="Arial" w:hAnsi="Arial"/>
          <w:sz w:val="24"/>
        </w:rPr>
      </w:pPr>
    </w:p>
    <w:p w:rsidR="002B4D9D" w:rsidRDefault="002B4D9D">
      <w:pPr>
        <w:pStyle w:val="BodyText"/>
        <w:tabs>
          <w:tab w:val="left" w:pos="-900"/>
          <w:tab w:val="left" w:pos="90"/>
        </w:tabs>
        <w:jc w:val="left"/>
        <w:rPr>
          <w:b/>
          <w:bCs/>
          <w:sz w:val="24"/>
        </w:rPr>
      </w:pPr>
      <w:r>
        <w:rPr>
          <w:b/>
          <w:bCs/>
          <w:sz w:val="24"/>
        </w:rPr>
        <w:tab/>
      </w:r>
      <w:r>
        <w:rPr>
          <w:b/>
          <w:bCs/>
          <w:sz w:val="24"/>
        </w:rPr>
        <w:tab/>
        <w:t>3.4</w:t>
      </w:r>
      <w:r>
        <w:rPr>
          <w:b/>
          <w:bCs/>
          <w:sz w:val="24"/>
        </w:rPr>
        <w:tab/>
        <w:t>EBT</w:t>
      </w:r>
    </w:p>
    <w:p w:rsidR="002B4D9D" w:rsidRDefault="002B4D9D">
      <w:pPr>
        <w:pStyle w:val="BodyText"/>
        <w:tabs>
          <w:tab w:val="left" w:pos="-900"/>
          <w:tab w:val="left" w:pos="90"/>
        </w:tabs>
        <w:jc w:val="left"/>
        <w:rPr>
          <w:b/>
          <w:bCs/>
          <w:sz w:val="24"/>
        </w:rPr>
      </w:pPr>
    </w:p>
    <w:p w:rsidR="002B4D9D" w:rsidRDefault="002B4D9D">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’s EBT standards and training schedules are available from the Commission’s web site or from CMP.</w:t>
      </w:r>
    </w:p>
    <w:p w:rsidR="002B4D9D" w:rsidRDefault="002B4D9D">
      <w:pPr>
        <w:pStyle w:val="BodyTextIndent3"/>
        <w:spacing w:after="0"/>
        <w:jc w:val="left"/>
        <w:rPr>
          <w:sz w:val="24"/>
        </w:rPr>
      </w:pPr>
    </w:p>
    <w:p w:rsidR="002B4D9D" w:rsidRDefault="002B4D9D">
      <w:pPr>
        <w:pStyle w:val="BodyText"/>
        <w:ind w:left="1440" w:hanging="720"/>
        <w:jc w:val="left"/>
        <w:rPr>
          <w:b/>
          <w:bCs/>
          <w:sz w:val="24"/>
        </w:rPr>
      </w:pPr>
      <w:r>
        <w:rPr>
          <w:b/>
          <w:bCs/>
          <w:sz w:val="24"/>
        </w:rPr>
        <w:t>3.5</w:t>
      </w:r>
      <w:r>
        <w:rPr>
          <w:b/>
          <w:bCs/>
          <w:sz w:val="24"/>
        </w:rPr>
        <w:tab/>
        <w:t>Contingencies</w:t>
      </w:r>
    </w:p>
    <w:p w:rsidR="002B4D9D" w:rsidRDefault="002B4D9D">
      <w:pPr>
        <w:pStyle w:val="BodyText"/>
        <w:ind w:left="1440" w:hanging="720"/>
        <w:jc w:val="left"/>
        <w:rPr>
          <w:b/>
          <w:bCs/>
          <w:sz w:val="24"/>
        </w:rPr>
      </w:pPr>
    </w:p>
    <w:p w:rsidR="002B4D9D" w:rsidRDefault="002B4D9D">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rsidR="002B4D9D" w:rsidRDefault="002B4D9D">
      <w:pPr>
        <w:pStyle w:val="BodyText"/>
        <w:tabs>
          <w:tab w:val="left" w:pos="-900"/>
        </w:tabs>
        <w:ind w:left="1440" w:hanging="1440"/>
        <w:jc w:val="left"/>
        <w:rPr>
          <w:bCs/>
          <w:sz w:val="24"/>
        </w:rPr>
      </w:pPr>
    </w:p>
    <w:p w:rsidR="002B4D9D" w:rsidRDefault="002B4D9D">
      <w:pPr>
        <w:pStyle w:val="BodyText"/>
        <w:tabs>
          <w:tab w:val="left" w:pos="-900"/>
        </w:tabs>
        <w:ind w:left="1440" w:hanging="1440"/>
        <w:jc w:val="left"/>
        <w:rPr>
          <w:bCs/>
          <w:sz w:val="24"/>
        </w:rPr>
      </w:pPr>
      <w:r>
        <w:rPr>
          <w:bCs/>
          <w:sz w:val="24"/>
        </w:rPr>
        <w:tab/>
      </w:r>
    </w:p>
    <w:p w:rsidR="002B4D9D" w:rsidRDefault="002B4D9D">
      <w:pPr>
        <w:pStyle w:val="BodyText"/>
        <w:ind w:left="1440" w:hanging="720"/>
        <w:jc w:val="left"/>
        <w:rPr>
          <w:b/>
          <w:bCs/>
          <w:sz w:val="24"/>
        </w:rPr>
      </w:pPr>
      <w:r>
        <w:rPr>
          <w:b/>
          <w:bCs/>
          <w:sz w:val="24"/>
        </w:rPr>
        <w:t>3.6</w:t>
      </w:r>
      <w:r>
        <w:rPr>
          <w:b/>
          <w:bCs/>
          <w:sz w:val="24"/>
        </w:rPr>
        <w:tab/>
        <w:t xml:space="preserve">Alternative Terms, Language </w:t>
      </w:r>
    </w:p>
    <w:p w:rsidR="002B4D9D" w:rsidRDefault="002B4D9D">
      <w:pPr>
        <w:pStyle w:val="BodyText"/>
        <w:ind w:left="1440" w:hanging="720"/>
        <w:jc w:val="left"/>
        <w:rPr>
          <w:b/>
          <w:bCs/>
          <w:sz w:val="24"/>
        </w:rPr>
      </w:pPr>
    </w:p>
    <w:p w:rsidR="002B4D9D" w:rsidRDefault="002B4D9D">
      <w:pPr>
        <w:pStyle w:val="BodyText"/>
        <w:ind w:left="1440"/>
        <w:jc w:val="left"/>
        <w:rPr>
          <w:sz w:val="24"/>
        </w:rPr>
      </w:pPr>
      <w:r>
        <w:rPr>
          <w:sz w:val="24"/>
        </w:rPr>
        <w:lastRenderedPageBreak/>
        <w:t>Bidder should provide any proposed alternative language to the Standard Agreement, (in the form of a red-line to the Standard Agreement), the Statement of Commitment, or the standard form corporate guaranty.</w:t>
      </w:r>
    </w:p>
    <w:p w:rsidR="002B4D9D" w:rsidRDefault="002B4D9D">
      <w:pPr>
        <w:pStyle w:val="BodyText"/>
        <w:tabs>
          <w:tab w:val="left" w:pos="1440"/>
        </w:tabs>
        <w:ind w:left="1440"/>
        <w:jc w:val="left"/>
        <w:rPr>
          <w:sz w:val="24"/>
        </w:rPr>
      </w:pPr>
    </w:p>
    <w:p w:rsidR="002B4D9D" w:rsidRDefault="002B4D9D">
      <w:pPr>
        <w:pStyle w:val="BodyText"/>
        <w:tabs>
          <w:tab w:val="left" w:pos="-900"/>
        </w:tabs>
        <w:jc w:val="left"/>
        <w:rPr>
          <w:b/>
          <w:sz w:val="24"/>
        </w:rPr>
      </w:pPr>
      <w:r>
        <w:rPr>
          <w:bCs/>
          <w:sz w:val="24"/>
        </w:rPr>
        <w:tab/>
      </w:r>
      <w:r>
        <w:rPr>
          <w:b/>
          <w:bCs/>
          <w:sz w:val="24"/>
        </w:rPr>
        <w:t>3</w:t>
      </w:r>
      <w:r>
        <w:rPr>
          <w:b/>
          <w:sz w:val="24"/>
        </w:rPr>
        <w:t>.7</w:t>
      </w:r>
      <w:r>
        <w:rPr>
          <w:b/>
          <w:sz w:val="24"/>
        </w:rPr>
        <w:tab/>
        <w:t>Pricing</w:t>
      </w:r>
    </w:p>
    <w:p w:rsidR="002B4D9D" w:rsidRDefault="002B4D9D">
      <w:pPr>
        <w:pStyle w:val="BodyText"/>
        <w:tabs>
          <w:tab w:val="left" w:pos="2160"/>
        </w:tabs>
        <w:ind w:left="1440"/>
        <w:jc w:val="left"/>
        <w:rPr>
          <w:bCs/>
          <w:sz w:val="24"/>
        </w:rPr>
      </w:pPr>
    </w:p>
    <w:p w:rsidR="002B4D9D" w:rsidRDefault="002B4D9D">
      <w:pPr>
        <w:pStyle w:val="BodyText"/>
        <w:tabs>
          <w:tab w:val="left" w:pos="2160"/>
        </w:tabs>
        <w:ind w:left="1440"/>
        <w:jc w:val="left"/>
        <w:outlineLvl w:val="1"/>
        <w:rPr>
          <w:sz w:val="24"/>
        </w:rPr>
      </w:pPr>
      <w:r>
        <w:rPr>
          <w:sz w:val="24"/>
        </w:rPr>
        <w:t>3.7.1 Residential and Small Non</w:t>
      </w:r>
      <w:r>
        <w:rPr>
          <w:sz w:val="24"/>
        </w:rPr>
        <w:noBreakHyphen/>
        <w:t>Residential Standard Offer Service</w:t>
      </w:r>
    </w:p>
    <w:p w:rsidR="002B4D9D" w:rsidRDefault="002B4D9D">
      <w:pPr>
        <w:pStyle w:val="BodyText"/>
        <w:tabs>
          <w:tab w:val="left" w:pos="2160"/>
        </w:tabs>
        <w:ind w:left="1440"/>
        <w:jc w:val="left"/>
        <w:outlineLvl w:val="1"/>
        <w:rPr>
          <w:sz w:val="24"/>
        </w:rPr>
      </w:pPr>
    </w:p>
    <w:p w:rsidR="002B4D9D" w:rsidRDefault="002B4D9D">
      <w:pPr>
        <w:pStyle w:val="BodyText"/>
        <w:tabs>
          <w:tab w:val="left" w:pos="2160"/>
        </w:tabs>
        <w:ind w:left="1440"/>
        <w:jc w:val="left"/>
        <w:outlineLvl w:val="1"/>
        <w:rPr>
          <w:sz w:val="24"/>
        </w:rPr>
      </w:pPr>
      <w:r>
        <w:rPr>
          <w:sz w:val="24"/>
        </w:rPr>
        <w:t xml:space="preserve">Proposals must specify </w:t>
      </w:r>
      <w:r w:rsidR="007D6591">
        <w:rPr>
          <w:sz w:val="24"/>
        </w:rPr>
        <w:t xml:space="preserve">a </w:t>
      </w:r>
      <w:r>
        <w:rPr>
          <w:sz w:val="24"/>
        </w:rPr>
        <w:t xml:space="preserve">price for the entire bid period; prices may not be defined by a formula or reference to market or economic indices.  </w:t>
      </w:r>
    </w:p>
    <w:p w:rsidR="007D6591" w:rsidRDefault="002B4D9D">
      <w:pPr>
        <w:pStyle w:val="BodyText"/>
        <w:tabs>
          <w:tab w:val="left" w:pos="-900"/>
        </w:tabs>
        <w:ind w:left="1440"/>
        <w:jc w:val="left"/>
        <w:outlineLvl w:val="1"/>
        <w:rPr>
          <w:rFonts w:ascii="Times New Roman" w:hAnsi="Times New Roman"/>
          <w:snapToGrid w:val="0"/>
          <w:sz w:val="24"/>
        </w:rPr>
      </w:pPr>
      <w:r>
        <w:rPr>
          <w:sz w:val="24"/>
        </w:rPr>
        <w:t xml:space="preserve">Standard offer prices </w:t>
      </w:r>
      <w:r w:rsidR="007D6591">
        <w:rPr>
          <w:sz w:val="24"/>
        </w:rPr>
        <w:t xml:space="preserve">for this class </w:t>
      </w:r>
      <w:r>
        <w:rPr>
          <w:sz w:val="24"/>
        </w:rPr>
        <w:t>must be an amount per kWh that does not vary by a customer’s usage level, or by month or time of day.  Prices may not include any amounts charged on a per-kW, per-customer or fixed-charge basis.</w:t>
      </w:r>
      <w:r w:rsidR="00164788" w:rsidRPr="00164788">
        <w:rPr>
          <w:rFonts w:ascii="Times New Roman" w:hAnsi="Times New Roman"/>
          <w:snapToGrid w:val="0"/>
          <w:sz w:val="24"/>
        </w:rPr>
        <w:t xml:space="preserve"> </w:t>
      </w:r>
    </w:p>
    <w:p w:rsidR="007D6591" w:rsidRDefault="007D6591">
      <w:pPr>
        <w:pStyle w:val="BodyText"/>
        <w:tabs>
          <w:tab w:val="left" w:pos="-900"/>
        </w:tabs>
        <w:ind w:left="1440"/>
        <w:jc w:val="left"/>
        <w:outlineLvl w:val="1"/>
        <w:rPr>
          <w:rFonts w:ascii="Times New Roman" w:hAnsi="Times New Roman"/>
          <w:snapToGrid w:val="0"/>
          <w:sz w:val="24"/>
        </w:rPr>
      </w:pPr>
    </w:p>
    <w:p w:rsidR="002B4D9D" w:rsidRDefault="00577963">
      <w:pPr>
        <w:pStyle w:val="BodyText"/>
        <w:tabs>
          <w:tab w:val="left" w:pos="-900"/>
        </w:tabs>
        <w:ind w:left="1440"/>
        <w:jc w:val="left"/>
        <w:outlineLvl w:val="1"/>
        <w:rPr>
          <w:sz w:val="24"/>
        </w:rPr>
      </w:pPr>
      <w:r>
        <w:rPr>
          <w:sz w:val="24"/>
        </w:rPr>
        <w:t>The service requirement</w:t>
      </w:r>
      <w:r w:rsidR="007D6591">
        <w:rPr>
          <w:sz w:val="24"/>
        </w:rPr>
        <w:t xml:space="preserve"> for this class pursuant to this RFP</w:t>
      </w:r>
      <w:r>
        <w:rPr>
          <w:sz w:val="24"/>
        </w:rPr>
        <w:t xml:space="preserve"> is </w:t>
      </w:r>
      <w:r w:rsidR="00CA2368">
        <w:rPr>
          <w:sz w:val="24"/>
        </w:rPr>
        <w:t>for</w:t>
      </w:r>
      <w:r w:rsidR="007D6591">
        <w:rPr>
          <w:sz w:val="24"/>
        </w:rPr>
        <w:t xml:space="preserve"> </w:t>
      </w:r>
      <w:r>
        <w:rPr>
          <w:sz w:val="24"/>
        </w:rPr>
        <w:t xml:space="preserve">66% </w:t>
      </w:r>
      <w:r w:rsidR="00CA2368">
        <w:rPr>
          <w:sz w:val="24"/>
        </w:rPr>
        <w:t xml:space="preserve">of the class standard offer </w:t>
      </w:r>
      <w:r>
        <w:rPr>
          <w:sz w:val="24"/>
        </w:rPr>
        <w:t xml:space="preserve">load </w:t>
      </w:r>
      <w:r w:rsidR="00CA2368">
        <w:rPr>
          <w:sz w:val="24"/>
        </w:rPr>
        <w:t xml:space="preserve">for the months of January and February of 2016, and for 100% of the class standard offer load for the months of March through December of 2016. </w:t>
      </w:r>
      <w:r>
        <w:rPr>
          <w:sz w:val="24"/>
        </w:rPr>
        <w:t xml:space="preserve">  </w:t>
      </w:r>
      <w:r w:rsidR="00164788" w:rsidRPr="00164788">
        <w:rPr>
          <w:sz w:val="24"/>
        </w:rPr>
        <w:t xml:space="preserve">Bidders may submit price proposals for all or a portion of the service requirement.  A bid for a portion of the service must be </w:t>
      </w:r>
      <w:r>
        <w:rPr>
          <w:sz w:val="24"/>
        </w:rPr>
        <w:t xml:space="preserve">in increments of one-third of the service requirement (i.e. one-third or two-thirds). </w:t>
      </w:r>
    </w:p>
    <w:p w:rsidR="002B4D9D" w:rsidRDefault="002B4D9D">
      <w:pPr>
        <w:pStyle w:val="BodyText"/>
        <w:tabs>
          <w:tab w:val="left" w:pos="-900"/>
        </w:tabs>
        <w:ind w:left="1440"/>
        <w:jc w:val="left"/>
        <w:outlineLvl w:val="1"/>
        <w:rPr>
          <w:sz w:val="24"/>
        </w:rPr>
      </w:pPr>
    </w:p>
    <w:p w:rsidR="002B4D9D" w:rsidRDefault="002B4D9D">
      <w:pPr>
        <w:pStyle w:val="BodyText"/>
        <w:tabs>
          <w:tab w:val="left" w:pos="-900"/>
        </w:tabs>
        <w:ind w:left="1440"/>
        <w:jc w:val="left"/>
        <w:outlineLvl w:val="1"/>
        <w:rPr>
          <w:sz w:val="24"/>
        </w:rPr>
      </w:pPr>
      <w:r>
        <w:rPr>
          <w:sz w:val="24"/>
        </w:rPr>
        <w:t>3.7.</w:t>
      </w:r>
      <w:r w:rsidR="00B555E6">
        <w:rPr>
          <w:sz w:val="24"/>
        </w:rPr>
        <w:t>2</w:t>
      </w:r>
      <w:r>
        <w:rPr>
          <w:sz w:val="24"/>
        </w:rPr>
        <w:t xml:space="preserve"> Medium Standard Offer Service</w:t>
      </w:r>
    </w:p>
    <w:p w:rsidR="002B4D9D" w:rsidRDefault="002B4D9D">
      <w:pPr>
        <w:pStyle w:val="BodyText"/>
        <w:tabs>
          <w:tab w:val="left" w:pos="-900"/>
        </w:tabs>
        <w:ind w:left="1440"/>
        <w:jc w:val="left"/>
        <w:outlineLvl w:val="1"/>
        <w:rPr>
          <w:sz w:val="24"/>
        </w:rPr>
      </w:pPr>
    </w:p>
    <w:p w:rsidR="002B4D9D" w:rsidRDefault="002B4D9D">
      <w:pPr>
        <w:pStyle w:val="BodyText"/>
        <w:tabs>
          <w:tab w:val="left" w:pos="2160"/>
        </w:tabs>
        <w:ind w:left="1440"/>
        <w:jc w:val="left"/>
        <w:rPr>
          <w:sz w:val="24"/>
        </w:rPr>
      </w:pPr>
      <w:r>
        <w:rPr>
          <w:bCs/>
          <w:sz w:val="24"/>
        </w:rPr>
        <w:t xml:space="preserve">Proposals may include prices per kW and prices per kWh, or prices per kWh only.  Any prices per kW will be billed on the same basis (i.e., billing units) as CMP uses to bill for distribution service.  Prices may not vary by time of day and cannot include any amounts charged on a per-customer or fixed-charge basis. Bids for the medium class must be in the form of fixed prices.  </w:t>
      </w:r>
      <w:r>
        <w:rPr>
          <w:snapToGrid w:val="0"/>
          <w:sz w:val="24"/>
        </w:rPr>
        <w:t>Bidders may submit price proposals for</w:t>
      </w:r>
      <w:r>
        <w:rPr>
          <w:sz w:val="24"/>
        </w:rPr>
        <w:t xml:space="preserve"> all or a portion of the service requirement.  A bid for a portion of the service must be as a multiple of 20% (i.e., 20%, 40%, 60%, 80%).</w:t>
      </w:r>
    </w:p>
    <w:p w:rsidR="002B4D9D" w:rsidRDefault="002B4D9D">
      <w:pPr>
        <w:pStyle w:val="BodyText"/>
        <w:tabs>
          <w:tab w:val="left" w:pos="2160"/>
        </w:tabs>
        <w:ind w:left="1440"/>
        <w:jc w:val="left"/>
        <w:rPr>
          <w:sz w:val="24"/>
        </w:rPr>
      </w:pPr>
    </w:p>
    <w:p w:rsidR="002B4D9D" w:rsidRDefault="002B4D9D">
      <w:pPr>
        <w:pStyle w:val="BodyText"/>
        <w:tabs>
          <w:tab w:val="left" w:pos="2160"/>
        </w:tabs>
        <w:ind w:left="1440"/>
        <w:jc w:val="left"/>
        <w:rPr>
          <w:sz w:val="24"/>
        </w:rPr>
      </w:pPr>
      <w:r>
        <w:rPr>
          <w:sz w:val="24"/>
        </w:rPr>
        <w:t>3.7.</w:t>
      </w:r>
      <w:r w:rsidR="00B555E6">
        <w:rPr>
          <w:sz w:val="24"/>
        </w:rPr>
        <w:t>3</w:t>
      </w:r>
      <w:r>
        <w:rPr>
          <w:sz w:val="24"/>
        </w:rPr>
        <w:t xml:space="preserve"> Large Standard Offer Service</w:t>
      </w:r>
    </w:p>
    <w:p w:rsidR="002B4D9D" w:rsidRDefault="002B4D9D">
      <w:pPr>
        <w:pStyle w:val="BodyText"/>
        <w:tabs>
          <w:tab w:val="left" w:pos="2160"/>
        </w:tabs>
        <w:ind w:left="1440"/>
        <w:jc w:val="left"/>
        <w:rPr>
          <w:sz w:val="24"/>
        </w:rPr>
      </w:pPr>
    </w:p>
    <w:p w:rsidR="00647DBD" w:rsidRDefault="00647DBD">
      <w:pPr>
        <w:pStyle w:val="BodyText"/>
        <w:tabs>
          <w:tab w:val="left" w:pos="2160"/>
        </w:tabs>
        <w:ind w:left="1440"/>
        <w:jc w:val="left"/>
        <w:rPr>
          <w:sz w:val="24"/>
        </w:rPr>
      </w:pPr>
      <w:r w:rsidRPr="00647DBD">
        <w:rPr>
          <w:sz w:val="24"/>
        </w:rPr>
        <w:t xml:space="preserve">Bidders may only submit price proposals for 100% of the service requirement.  </w:t>
      </w:r>
    </w:p>
    <w:p w:rsidR="00647DBD" w:rsidRDefault="00647DBD">
      <w:pPr>
        <w:pStyle w:val="BodyText"/>
        <w:tabs>
          <w:tab w:val="left" w:pos="2160"/>
        </w:tabs>
        <w:ind w:left="1440"/>
        <w:jc w:val="left"/>
        <w:rPr>
          <w:sz w:val="24"/>
        </w:rPr>
      </w:pPr>
    </w:p>
    <w:p w:rsidR="002B4D9D" w:rsidRDefault="002B4D9D">
      <w:pPr>
        <w:pStyle w:val="BodyText"/>
        <w:tabs>
          <w:tab w:val="left" w:pos="2160"/>
        </w:tabs>
        <w:ind w:left="1440"/>
        <w:jc w:val="left"/>
        <w:rPr>
          <w:bCs/>
          <w:sz w:val="24"/>
        </w:rPr>
      </w:pPr>
      <w:r>
        <w:rPr>
          <w:sz w:val="24"/>
        </w:rPr>
        <w:t xml:space="preserve">Proposals </w:t>
      </w:r>
      <w:r>
        <w:rPr>
          <w:bCs/>
          <w:sz w:val="24"/>
        </w:rPr>
        <w:t>may be in the form of fixed or indexed prices.</w:t>
      </w:r>
    </w:p>
    <w:p w:rsidR="002B4D9D" w:rsidRDefault="002B4D9D">
      <w:pPr>
        <w:pStyle w:val="BodyText"/>
        <w:tabs>
          <w:tab w:val="left" w:pos="2160"/>
        </w:tabs>
        <w:ind w:left="1440"/>
        <w:jc w:val="left"/>
        <w:rPr>
          <w:bCs/>
          <w:sz w:val="24"/>
        </w:rPr>
      </w:pPr>
    </w:p>
    <w:p w:rsidR="002B4D9D" w:rsidRDefault="002B4D9D">
      <w:pPr>
        <w:pStyle w:val="BodyText"/>
        <w:numPr>
          <w:ilvl w:val="0"/>
          <w:numId w:val="14"/>
        </w:numPr>
        <w:jc w:val="left"/>
        <w:rPr>
          <w:bCs/>
          <w:sz w:val="24"/>
        </w:rPr>
      </w:pPr>
      <w:r>
        <w:rPr>
          <w:bCs/>
          <w:sz w:val="24"/>
        </w:rPr>
        <w:t xml:space="preserve">Fixed pricing bids may include prices per kW and prices per kWh, or prices per kWh only.  Any prices per kW will be billed on the same basis (i.e., billing units), as CMP uses to bill for distribution service.  Fixed pricing bids for the large standard offer class may </w:t>
      </w:r>
      <w:r>
        <w:rPr>
          <w:bCs/>
          <w:sz w:val="24"/>
        </w:rPr>
        <w:lastRenderedPageBreak/>
        <w:t>vary by time of day; the time of day periods must correspond to, or be compatible with, CMP’s time</w:t>
      </w:r>
      <w:r>
        <w:rPr>
          <w:bCs/>
          <w:sz w:val="24"/>
        </w:rPr>
        <w:noBreakHyphen/>
        <w:t>of</w:t>
      </w:r>
      <w:r>
        <w:rPr>
          <w:bCs/>
          <w:sz w:val="24"/>
        </w:rPr>
        <w:noBreakHyphen/>
        <w:t>use rate structure.</w:t>
      </w:r>
    </w:p>
    <w:p w:rsidR="002B4D9D" w:rsidRDefault="002B4D9D">
      <w:pPr>
        <w:pStyle w:val="BodyText"/>
        <w:ind w:left="2160"/>
        <w:jc w:val="left"/>
        <w:rPr>
          <w:bCs/>
          <w:sz w:val="24"/>
        </w:rPr>
      </w:pPr>
    </w:p>
    <w:p w:rsidR="00647DBD" w:rsidRDefault="002B4D9D">
      <w:pPr>
        <w:pStyle w:val="BodyText"/>
        <w:numPr>
          <w:ilvl w:val="0"/>
          <w:numId w:val="14"/>
        </w:numPr>
        <w:tabs>
          <w:tab w:val="left" w:pos="2160"/>
        </w:tabs>
        <w:jc w:val="left"/>
        <w:rPr>
          <w:sz w:val="24"/>
        </w:rPr>
      </w:pPr>
      <w:r>
        <w:rPr>
          <w:sz w:val="24"/>
        </w:rPr>
        <w:t>Indexed pricing bids should include (1) a fixed adder component in $ per kWh and (2) a capacity component in $ per kW.  The standard offer provider will be paid (1) an energy component based on the ISO-NE settlement quantities for the load asset and the applicable hourly Maine LMP, (i.e., on a pass-through basis); (2) a fixed adder component based on the provider’s bid and the billed kWh of large class standard offer service customers, net of the uncollectible adder; and (3) a capacity component based on the provider’s bid and the capacity tag of the load asset, net of the uncollectible adder.  (The uncollectible adder for the large class is specified in Exhibit A of the Standard Form Contract.)  Retail prices charged to large standard offer customers will be set by the Commission in advance of each month during the term based on (1) the fixed adder and capacity component bids of the winning bidder and (2) a retail energy component set by reference to the forward market price for electricity for the applicable month, in particular, the  ISO New England Mass Hub Day-Ahead Peak Calendar-Month 2.5 MW Futures and ISO New England Mass Hub Off-Peak LMP Futures, as settled through CME Group</w:t>
      </w:r>
      <w:r>
        <w:rPr>
          <w:rStyle w:val="FootnoteReference"/>
          <w:sz w:val="24"/>
        </w:rPr>
        <w:footnoteReference w:id="2"/>
      </w:r>
      <w:r>
        <w:rPr>
          <w:sz w:val="24"/>
        </w:rPr>
        <w:t xml:space="preserve"> on the 15th day</w:t>
      </w:r>
      <w:r>
        <w:rPr>
          <w:rStyle w:val="FootnoteReference"/>
          <w:sz w:val="24"/>
        </w:rPr>
        <w:footnoteReference w:id="3"/>
      </w:r>
      <w:r>
        <w:rPr>
          <w:sz w:val="24"/>
        </w:rPr>
        <w:t xml:space="preserve"> of each month prior to the effective date of the standard offer service price.  Energy charges will be billed to customers on a monthly $ per-kWh basis.   Capacity charges will be billed to customers on a monthly 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w:t>
      </w:r>
      <w:proofErr w:type="gramStart"/>
      <w:r>
        <w:rPr>
          <w:sz w:val="24"/>
        </w:rPr>
        <w:t>Attachment</w:t>
      </w:r>
      <w:proofErr w:type="gramEnd"/>
      <w:r>
        <w:rPr>
          <w:sz w:val="24"/>
        </w:rPr>
        <w:t xml:space="preserve"> C.  </w:t>
      </w:r>
    </w:p>
    <w:p w:rsidR="002B4D9D" w:rsidRDefault="002B4D9D">
      <w:pPr>
        <w:pStyle w:val="BodyText"/>
        <w:tabs>
          <w:tab w:val="left" w:pos="2160"/>
        </w:tabs>
        <w:ind w:left="720"/>
        <w:jc w:val="left"/>
        <w:rPr>
          <w:sz w:val="24"/>
        </w:rPr>
      </w:pPr>
    </w:p>
    <w:p w:rsidR="00164788" w:rsidRDefault="00164788" w:rsidP="00164788">
      <w:pPr>
        <w:pStyle w:val="BodyText"/>
        <w:tabs>
          <w:tab w:val="left" w:pos="-900"/>
        </w:tabs>
        <w:ind w:left="1440"/>
        <w:jc w:val="left"/>
        <w:outlineLvl w:val="1"/>
        <w:rPr>
          <w:sz w:val="24"/>
        </w:rPr>
      </w:pPr>
      <w:r>
        <w:rPr>
          <w:sz w:val="24"/>
        </w:rPr>
        <w:t>3.7.</w:t>
      </w:r>
      <w:r w:rsidR="00B555E6">
        <w:rPr>
          <w:sz w:val="24"/>
        </w:rPr>
        <w:t>4</w:t>
      </w:r>
      <w:r>
        <w:rPr>
          <w:sz w:val="24"/>
        </w:rPr>
        <w:t xml:space="preserve"> Term of Service</w:t>
      </w:r>
    </w:p>
    <w:p w:rsidR="00164788" w:rsidRDefault="00164788" w:rsidP="00164788">
      <w:pPr>
        <w:pStyle w:val="BodyText"/>
        <w:tabs>
          <w:tab w:val="left" w:pos="-900"/>
        </w:tabs>
        <w:ind w:left="1440"/>
        <w:jc w:val="left"/>
        <w:outlineLvl w:val="1"/>
        <w:rPr>
          <w:sz w:val="24"/>
        </w:rPr>
      </w:pPr>
    </w:p>
    <w:p w:rsidR="00164788" w:rsidRDefault="00164788" w:rsidP="00164788">
      <w:pPr>
        <w:pStyle w:val="BodyText"/>
        <w:tabs>
          <w:tab w:val="left" w:pos="2160"/>
        </w:tabs>
        <w:ind w:left="1440"/>
        <w:jc w:val="left"/>
        <w:rPr>
          <w:sz w:val="24"/>
        </w:rPr>
      </w:pPr>
      <w:r>
        <w:rPr>
          <w:bCs/>
          <w:sz w:val="24"/>
        </w:rPr>
        <w:t xml:space="preserve">The Commission is </w:t>
      </w:r>
      <w:r w:rsidR="00C67EF2">
        <w:rPr>
          <w:bCs/>
          <w:sz w:val="24"/>
        </w:rPr>
        <w:t>seeking</w:t>
      </w:r>
      <w:r w:rsidR="00DF3D9E">
        <w:rPr>
          <w:bCs/>
          <w:sz w:val="24"/>
        </w:rPr>
        <w:t xml:space="preserve"> </w:t>
      </w:r>
      <w:r w:rsidR="009B4DB9">
        <w:rPr>
          <w:bCs/>
          <w:sz w:val="24"/>
        </w:rPr>
        <w:t>proposals</w:t>
      </w:r>
      <w:r w:rsidR="00C67EF2">
        <w:rPr>
          <w:bCs/>
          <w:sz w:val="24"/>
        </w:rPr>
        <w:t xml:space="preserve"> </w:t>
      </w:r>
      <w:r w:rsidR="00647DBD" w:rsidRPr="00164788">
        <w:rPr>
          <w:bCs/>
          <w:sz w:val="24"/>
        </w:rPr>
        <w:t>for a</w:t>
      </w:r>
      <w:r w:rsidR="00C67EF2" w:rsidRPr="00164788">
        <w:rPr>
          <w:bCs/>
          <w:sz w:val="24"/>
        </w:rPr>
        <w:t xml:space="preserve"> </w:t>
      </w:r>
      <w:r w:rsidR="006F1EFD">
        <w:rPr>
          <w:bCs/>
          <w:sz w:val="24"/>
        </w:rPr>
        <w:t>one-year</w:t>
      </w:r>
      <w:r w:rsidR="00C67EF2" w:rsidRPr="00164788">
        <w:rPr>
          <w:bCs/>
          <w:sz w:val="24"/>
        </w:rPr>
        <w:t xml:space="preserve"> term </w:t>
      </w:r>
      <w:r w:rsidR="00B41AEE">
        <w:rPr>
          <w:bCs/>
          <w:sz w:val="24"/>
        </w:rPr>
        <w:t>beginning January</w:t>
      </w:r>
      <w:r w:rsidR="00CE61D8">
        <w:rPr>
          <w:bCs/>
          <w:sz w:val="24"/>
        </w:rPr>
        <w:t xml:space="preserve"> 1, 2016</w:t>
      </w:r>
      <w:r w:rsidR="00245143">
        <w:rPr>
          <w:bCs/>
          <w:sz w:val="24"/>
        </w:rPr>
        <w:t>.</w:t>
      </w:r>
    </w:p>
    <w:p w:rsidR="002B4D9D" w:rsidRDefault="002B4D9D">
      <w:pPr>
        <w:pStyle w:val="BodyText"/>
        <w:tabs>
          <w:tab w:val="left" w:pos="2160"/>
        </w:tabs>
        <w:ind w:left="720"/>
        <w:jc w:val="left"/>
        <w:rPr>
          <w:sz w:val="24"/>
        </w:rPr>
      </w:pPr>
    </w:p>
    <w:p w:rsidR="002B4D9D" w:rsidRDefault="002B4D9D">
      <w:pPr>
        <w:pStyle w:val="BodyText"/>
        <w:tabs>
          <w:tab w:val="left" w:pos="2160"/>
        </w:tabs>
        <w:jc w:val="left"/>
        <w:rPr>
          <w:bCs/>
          <w:sz w:val="24"/>
        </w:rPr>
      </w:pPr>
    </w:p>
    <w:p w:rsidR="002B4D9D" w:rsidRDefault="002B4D9D">
      <w:pPr>
        <w:pStyle w:val="BodyText"/>
        <w:numPr>
          <w:ilvl w:val="1"/>
          <w:numId w:val="13"/>
        </w:numPr>
        <w:jc w:val="left"/>
        <w:rPr>
          <w:b/>
          <w:sz w:val="24"/>
        </w:rPr>
      </w:pPr>
      <w:r>
        <w:rPr>
          <w:b/>
          <w:sz w:val="24"/>
        </w:rPr>
        <w:lastRenderedPageBreak/>
        <w:t xml:space="preserve"> </w:t>
      </w:r>
      <w:r>
        <w:rPr>
          <w:b/>
          <w:sz w:val="24"/>
        </w:rPr>
        <w:tab/>
        <w:t>Bidder Conditions</w:t>
      </w:r>
    </w:p>
    <w:p w:rsidR="002B4D9D" w:rsidRDefault="002B4D9D">
      <w:pPr>
        <w:pStyle w:val="BodyText"/>
        <w:tabs>
          <w:tab w:val="left" w:pos="2160"/>
        </w:tabs>
        <w:ind w:left="1440"/>
        <w:jc w:val="left"/>
        <w:rPr>
          <w:sz w:val="24"/>
        </w:rPr>
      </w:pPr>
      <w:r>
        <w:rPr>
          <w:sz w:val="24"/>
        </w:rPr>
        <w:t xml:space="preserve"> </w:t>
      </w:r>
    </w:p>
    <w:p w:rsidR="002B4D9D" w:rsidRDefault="002B4D9D">
      <w:pPr>
        <w:pStyle w:val="BodyText"/>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rsidR="002B4D9D" w:rsidRDefault="002B4D9D">
      <w:pPr>
        <w:pStyle w:val="BodyText"/>
        <w:tabs>
          <w:tab w:val="left" w:pos="2160"/>
        </w:tabs>
        <w:ind w:left="1440"/>
        <w:jc w:val="left"/>
        <w:rPr>
          <w:bCs/>
          <w:sz w:val="24"/>
        </w:rPr>
      </w:pPr>
    </w:p>
    <w:p w:rsidR="002B4D9D" w:rsidRDefault="002B4D9D">
      <w:pPr>
        <w:pStyle w:val="BodyText"/>
        <w:tabs>
          <w:tab w:val="left" w:pos="-900"/>
          <w:tab w:val="left" w:pos="720"/>
        </w:tabs>
        <w:jc w:val="left"/>
        <w:rPr>
          <w:b/>
          <w:caps/>
          <w:sz w:val="24"/>
        </w:rPr>
      </w:pPr>
      <w:r>
        <w:rPr>
          <w:b/>
          <w:sz w:val="24"/>
        </w:rPr>
        <w:t xml:space="preserve">4. </w:t>
      </w:r>
      <w:r>
        <w:rPr>
          <w:b/>
          <w:sz w:val="24"/>
        </w:rPr>
        <w:tab/>
      </w:r>
      <w:r>
        <w:rPr>
          <w:b/>
          <w:caps/>
          <w:sz w:val="24"/>
        </w:rPr>
        <w:t>Provider Requirements</w:t>
      </w:r>
    </w:p>
    <w:p w:rsidR="002B4D9D" w:rsidRDefault="002B4D9D">
      <w:pPr>
        <w:ind w:left="2160" w:hanging="720"/>
        <w:rPr>
          <w:rFonts w:ascii="Arial" w:hAnsi="Arial"/>
          <w:sz w:val="24"/>
        </w:rPr>
      </w:pPr>
    </w:p>
    <w:p w:rsidR="002B4D9D" w:rsidRDefault="002B4D9D">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w:t>
      </w:r>
    </w:p>
    <w:p w:rsidR="002B4D9D" w:rsidRDefault="002B4D9D">
      <w:pPr>
        <w:tabs>
          <w:tab w:val="left" w:pos="540"/>
        </w:tabs>
        <w:rPr>
          <w:rFonts w:ascii="Arial" w:hAnsi="Arial"/>
          <w:b/>
          <w:bCs/>
          <w:sz w:val="24"/>
        </w:rPr>
      </w:pPr>
    </w:p>
    <w:p w:rsidR="002B4D9D" w:rsidRDefault="002B4D9D">
      <w:pPr>
        <w:tabs>
          <w:tab w:val="left" w:pos="540"/>
        </w:tabs>
        <w:ind w:left="1440"/>
        <w:rPr>
          <w:rFonts w:ascii="Arial" w:hAnsi="Arial"/>
          <w:sz w:val="24"/>
        </w:rPr>
      </w:pPr>
      <w:r>
        <w:rPr>
          <w:rFonts w:ascii="Arial" w:hAnsi="Arial"/>
          <w:sz w:val="24"/>
        </w:rPr>
        <w:t>Standard offer provider must provide service in a manner that complies with applicable Maine law, Commission rules</w:t>
      </w:r>
      <w:r w:rsidR="006F1EFD">
        <w:rPr>
          <w:rFonts w:ascii="Arial" w:hAnsi="Arial"/>
          <w:sz w:val="24"/>
        </w:rPr>
        <w:t xml:space="preserve"> and</w:t>
      </w:r>
      <w:r>
        <w:rPr>
          <w:rFonts w:ascii="Arial" w:hAnsi="Arial"/>
          <w:sz w:val="24"/>
        </w:rPr>
        <w:t xml:space="preserve"> this </w:t>
      </w:r>
      <w:r w:rsidR="00647DBD">
        <w:rPr>
          <w:rFonts w:ascii="Arial" w:hAnsi="Arial"/>
          <w:sz w:val="24"/>
        </w:rPr>
        <w:t>RFP at</w:t>
      </w:r>
      <w:r>
        <w:rPr>
          <w:rFonts w:ascii="Arial" w:hAnsi="Arial"/>
          <w:sz w:val="24"/>
        </w:rPr>
        <w:t xml:space="preserve"> the prices and terms it proposed and which were accepted by the Commission.  Standard offer provider </w:t>
      </w:r>
      <w:r w:rsidR="006F1EFD">
        <w:rPr>
          <w:rFonts w:ascii="Arial" w:hAnsi="Arial"/>
          <w:sz w:val="24"/>
        </w:rPr>
        <w:t>is</w:t>
      </w:r>
      <w:r>
        <w:rPr>
          <w:rFonts w:ascii="Arial" w:hAnsi="Arial"/>
          <w:sz w:val="24"/>
        </w:rPr>
        <w:t xml:space="preserve"> responsible for all costs necessary to fulfill these obligations.</w:t>
      </w:r>
    </w:p>
    <w:p w:rsidR="002B4D9D" w:rsidRDefault="002B4D9D">
      <w:pPr>
        <w:tabs>
          <w:tab w:val="left" w:pos="540"/>
        </w:tabs>
        <w:ind w:left="1440"/>
        <w:rPr>
          <w:rFonts w:ascii="Arial" w:hAnsi="Arial"/>
          <w:sz w:val="24"/>
        </w:rPr>
      </w:pPr>
      <w:r>
        <w:rPr>
          <w:rFonts w:ascii="Arial" w:hAnsi="Arial"/>
          <w:sz w:val="24"/>
        </w:rPr>
        <w:t xml:space="preserve"> </w:t>
      </w:r>
    </w:p>
    <w:p w:rsidR="002B4D9D" w:rsidRDefault="002B4D9D">
      <w:pPr>
        <w:pStyle w:val="BodyTextIndent2"/>
        <w:spacing w:after="0"/>
        <w:jc w:val="left"/>
      </w:pPr>
      <w:r>
        <w:t xml:space="preserve">Standard offer provider </w:t>
      </w:r>
      <w:r w:rsidR="006F1EFD">
        <w:t>is</w:t>
      </w:r>
      <w:r>
        <w:t xml:space="preserve"> responsible for all requirements and costs (and will receive any benefits) pursuant to wholesale market rules that apply to its standard offer load obligation. </w:t>
      </w:r>
      <w:r>
        <w:rPr>
          <w:b/>
          <w:bCs/>
        </w:rPr>
        <w:t xml:space="preserve"> </w:t>
      </w:r>
    </w:p>
    <w:p w:rsidR="002B4D9D" w:rsidRDefault="002B4D9D">
      <w:pPr>
        <w:pStyle w:val="BodyTextIndent2"/>
        <w:spacing w:after="0"/>
        <w:jc w:val="left"/>
      </w:pPr>
    </w:p>
    <w:p w:rsidR="002B4D9D" w:rsidRDefault="002B4D9D">
      <w:pPr>
        <w:pStyle w:val="Heading2"/>
        <w:numPr>
          <w:ilvl w:val="0"/>
          <w:numId w:val="0"/>
        </w:numPr>
        <w:tabs>
          <w:tab w:val="left" w:pos="0"/>
        </w:tabs>
        <w:ind w:left="720"/>
        <w:jc w:val="left"/>
        <w:rPr>
          <w:sz w:val="24"/>
        </w:rPr>
      </w:pPr>
      <w:r>
        <w:rPr>
          <w:sz w:val="24"/>
        </w:rPr>
        <w:t>4.2</w:t>
      </w:r>
      <w:r>
        <w:rPr>
          <w:sz w:val="24"/>
        </w:rPr>
        <w:tab/>
        <w:t>Form of Service</w:t>
      </w:r>
    </w:p>
    <w:p w:rsidR="002B4D9D" w:rsidRDefault="002B4D9D"/>
    <w:p w:rsidR="002B4D9D" w:rsidRDefault="002B4D9D">
      <w:pPr>
        <w:pStyle w:val="BodyTextIndent3"/>
        <w:spacing w:after="0"/>
        <w:jc w:val="left"/>
        <w:rPr>
          <w:sz w:val="24"/>
        </w:rPr>
      </w:pPr>
      <w:r>
        <w:rPr>
          <w:sz w:val="24"/>
        </w:rPr>
        <w:t xml:space="preserve">Standard offer service </w:t>
      </w:r>
      <w:r w:rsidR="006F1EFD">
        <w:rPr>
          <w:sz w:val="24"/>
        </w:rPr>
        <w:t>is</w:t>
      </w:r>
      <w:r>
        <w:rPr>
          <w:sz w:val="24"/>
        </w:rPr>
        <w:t xml:space="preserve"> retail all requirements service.  Standard offer service include</w:t>
      </w:r>
      <w:r w:rsidR="006F1EFD">
        <w:rPr>
          <w:sz w:val="24"/>
        </w:rPr>
        <w:t>s</w:t>
      </w:r>
      <w:r>
        <w:rPr>
          <w:sz w:val="24"/>
        </w:rPr>
        <w:t xml:space="preserve"> all obligations and charges that would be assessed to the load serving entity for the applicable load, including all Locational Marginal Pricing (energy, loss and congestion components), all costs and obligations that arise from nodal settlements for load, all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rsidR="002B4D9D" w:rsidRDefault="002B4D9D">
      <w:pPr>
        <w:pStyle w:val="BodyTextIndent3"/>
        <w:spacing w:after="0"/>
        <w:jc w:val="left"/>
        <w:rPr>
          <w:b/>
          <w:bCs/>
          <w:sz w:val="24"/>
        </w:rPr>
      </w:pPr>
    </w:p>
    <w:p w:rsidR="002B4D9D" w:rsidRDefault="002B4D9D">
      <w:pPr>
        <w:pStyle w:val="BodyTextIndent3"/>
        <w:spacing w:after="0"/>
        <w:ind w:left="720"/>
        <w:jc w:val="left"/>
        <w:rPr>
          <w:b/>
          <w:sz w:val="24"/>
        </w:rPr>
      </w:pPr>
      <w:r>
        <w:rPr>
          <w:b/>
          <w:sz w:val="24"/>
        </w:rPr>
        <w:t>4.3</w:t>
      </w:r>
      <w:r>
        <w:rPr>
          <w:b/>
          <w:sz w:val="24"/>
        </w:rPr>
        <w:tab/>
        <w:t>Losses</w:t>
      </w:r>
    </w:p>
    <w:p w:rsidR="002B4D9D" w:rsidRDefault="002B4D9D">
      <w:pPr>
        <w:pStyle w:val="BodyTextIndent3"/>
        <w:spacing w:after="0"/>
        <w:ind w:left="720"/>
        <w:jc w:val="left"/>
        <w:rPr>
          <w:b/>
          <w:sz w:val="24"/>
        </w:rPr>
      </w:pPr>
    </w:p>
    <w:p w:rsidR="002B4D9D" w:rsidRDefault="002B4D9D">
      <w:pPr>
        <w:numPr>
          <w:ilvl w:val="12"/>
          <w:numId w:val="0"/>
        </w:numPr>
        <w:ind w:left="1440"/>
        <w:rPr>
          <w:rFonts w:ascii="Arial" w:hAnsi="Arial"/>
          <w:b/>
          <w:bCs/>
          <w:sz w:val="24"/>
        </w:rPr>
      </w:pPr>
      <w:r>
        <w:rPr>
          <w:rFonts w:ascii="Arial" w:hAnsi="Arial"/>
          <w:sz w:val="24"/>
        </w:rPr>
        <w:t xml:space="preserve">Standard offer </w:t>
      </w:r>
      <w:r w:rsidR="009D20C4">
        <w:rPr>
          <w:rFonts w:ascii="Arial" w:hAnsi="Arial"/>
          <w:sz w:val="24"/>
        </w:rPr>
        <w:t>service includes</w:t>
      </w:r>
      <w:r>
        <w:rPr>
          <w:rFonts w:ascii="Arial" w:hAnsi="Arial"/>
          <w:sz w:val="24"/>
        </w:rPr>
        <w:t xml:space="preserve"> all transmission and distribution line and transformer losses associated with providing service from the point of supply to the customers’ meters.  Standard offer provider must provide sufficient quantities of electric capacity, energy, </w:t>
      </w:r>
      <w:proofErr w:type="gramStart"/>
      <w:r>
        <w:rPr>
          <w:rFonts w:ascii="Arial" w:hAnsi="Arial"/>
          <w:sz w:val="24"/>
        </w:rPr>
        <w:t>ancillary</w:t>
      </w:r>
      <w:proofErr w:type="gramEnd"/>
      <w:r>
        <w:rPr>
          <w:rFonts w:ascii="Arial" w:hAnsi="Arial"/>
          <w:sz w:val="24"/>
        </w:rPr>
        <w:t xml:space="preserve"> and all other required products and services to cover all such losses for the loads they are obligated to serve.  The factors that are currently used to determine line and transformer losses on CMP’s system</w:t>
      </w:r>
      <w:r>
        <w:rPr>
          <w:rFonts w:ascii="Arial" w:hAnsi="Arial"/>
          <w:b/>
          <w:sz w:val="24"/>
        </w:rPr>
        <w:t xml:space="preserve"> </w:t>
      </w:r>
      <w:r>
        <w:rPr>
          <w:rFonts w:ascii="Arial" w:hAnsi="Arial"/>
          <w:sz w:val="24"/>
        </w:rPr>
        <w:t>are contained in Appendix G.</w:t>
      </w:r>
    </w:p>
    <w:p w:rsidR="002B4D9D" w:rsidRDefault="002B4D9D">
      <w:pPr>
        <w:tabs>
          <w:tab w:val="left" w:pos="0"/>
        </w:tabs>
        <w:spacing w:before="240"/>
        <w:ind w:left="720"/>
        <w:rPr>
          <w:rFonts w:ascii="Arial" w:hAnsi="Arial"/>
          <w:b/>
          <w:bCs/>
          <w:sz w:val="24"/>
        </w:rPr>
      </w:pPr>
      <w:r>
        <w:rPr>
          <w:rFonts w:ascii="Arial" w:hAnsi="Arial"/>
          <w:b/>
          <w:bCs/>
          <w:sz w:val="24"/>
        </w:rPr>
        <w:lastRenderedPageBreak/>
        <w:t>4.4</w:t>
      </w:r>
      <w:r>
        <w:rPr>
          <w:rFonts w:ascii="Arial" w:hAnsi="Arial"/>
          <w:b/>
          <w:bCs/>
          <w:sz w:val="24"/>
        </w:rPr>
        <w:tab/>
        <w:t>Load Zone</w:t>
      </w:r>
    </w:p>
    <w:p w:rsidR="002B4D9D" w:rsidRDefault="002B4D9D">
      <w:pPr>
        <w:tabs>
          <w:tab w:val="left" w:pos="-360"/>
        </w:tabs>
        <w:spacing w:before="240"/>
        <w:ind w:left="1440"/>
        <w:rPr>
          <w:rFonts w:ascii="Arial" w:hAnsi="Arial"/>
          <w:sz w:val="24"/>
        </w:rPr>
      </w:pPr>
      <w:r>
        <w:rPr>
          <w:rFonts w:ascii="Arial" w:hAnsi="Arial"/>
          <w:sz w:val="24"/>
        </w:rPr>
        <w:t xml:space="preserve">CMP’s service territory is in the Maine Load Zone as defined by ISO-NE Standard Market Design (SMD) and standard offer </w:t>
      </w:r>
      <w:proofErr w:type="gramStart"/>
      <w:r>
        <w:rPr>
          <w:rFonts w:ascii="Arial" w:hAnsi="Arial"/>
          <w:sz w:val="24"/>
        </w:rPr>
        <w:t>provider  is</w:t>
      </w:r>
      <w:proofErr w:type="gramEnd"/>
      <w:r>
        <w:rPr>
          <w:rFonts w:ascii="Arial" w:hAnsi="Arial"/>
          <w:sz w:val="24"/>
        </w:rPr>
        <w:t xml:space="preserve"> responsible for all obligations for the applicable standard offer load related to this locational definition and any subsequent redefinition, including nodal settlement for load. </w:t>
      </w:r>
    </w:p>
    <w:p w:rsidR="002B4D9D" w:rsidRDefault="002B4D9D">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rsidR="002B4D9D" w:rsidRDefault="002B4D9D">
      <w:pPr>
        <w:tabs>
          <w:tab w:val="left" w:pos="-360"/>
        </w:tabs>
        <w:spacing w:before="240"/>
        <w:ind w:left="1440" w:hanging="720"/>
        <w:rPr>
          <w:rFonts w:ascii="Arial" w:hAnsi="Arial"/>
          <w:sz w:val="24"/>
        </w:rPr>
      </w:pPr>
      <w:r>
        <w:rPr>
          <w:rFonts w:ascii="Arial" w:hAnsi="Arial"/>
          <w:sz w:val="24"/>
        </w:rPr>
        <w:tab/>
        <w:t xml:space="preserve">CMP local transmission and distribution charges and Regional Network Service charges for standard </w:t>
      </w:r>
      <w:r w:rsidR="009D20C4">
        <w:rPr>
          <w:rFonts w:ascii="Arial" w:hAnsi="Arial"/>
          <w:sz w:val="24"/>
        </w:rPr>
        <w:t>offer service</w:t>
      </w:r>
      <w:r>
        <w:rPr>
          <w:rFonts w:ascii="Arial" w:hAnsi="Arial"/>
          <w:sz w:val="24"/>
        </w:rPr>
        <w:t xml:space="preserve"> are paid by customers through their CMP retail rates and are not the responsibility of the standard </w:t>
      </w:r>
      <w:proofErr w:type="gramStart"/>
      <w:r>
        <w:rPr>
          <w:rFonts w:ascii="Arial" w:hAnsi="Arial"/>
          <w:sz w:val="24"/>
        </w:rPr>
        <w:t>offer  provider</w:t>
      </w:r>
      <w:proofErr w:type="gramEnd"/>
      <w:r>
        <w:rPr>
          <w:rFonts w:ascii="Arial" w:hAnsi="Arial"/>
          <w:sz w:val="24"/>
        </w:rPr>
        <w:t>.</w:t>
      </w:r>
    </w:p>
    <w:p w:rsidR="002B4D9D" w:rsidRDefault="002B4D9D">
      <w:pPr>
        <w:rPr>
          <w:rFonts w:ascii="Arial" w:hAnsi="Arial"/>
          <w:sz w:val="24"/>
        </w:rPr>
      </w:pPr>
    </w:p>
    <w:p w:rsidR="002B4D9D" w:rsidRDefault="002B4D9D">
      <w:pPr>
        <w:ind w:left="720"/>
        <w:rPr>
          <w:rFonts w:ascii="Arial" w:hAnsi="Arial"/>
          <w:b/>
          <w:bCs/>
          <w:sz w:val="24"/>
        </w:rPr>
      </w:pPr>
      <w:r>
        <w:rPr>
          <w:rFonts w:ascii="Arial" w:hAnsi="Arial"/>
          <w:b/>
          <w:bCs/>
          <w:sz w:val="24"/>
        </w:rPr>
        <w:t>4.6</w:t>
      </w:r>
      <w:r>
        <w:rPr>
          <w:rFonts w:ascii="Arial" w:hAnsi="Arial"/>
          <w:b/>
          <w:bCs/>
          <w:sz w:val="24"/>
        </w:rPr>
        <w:tab/>
        <w:t>Financial Security</w:t>
      </w:r>
    </w:p>
    <w:p w:rsidR="002B4D9D" w:rsidRDefault="002B4D9D">
      <w:pPr>
        <w:ind w:left="720"/>
        <w:rPr>
          <w:rFonts w:ascii="Arial" w:hAnsi="Arial"/>
          <w:b/>
          <w:bCs/>
          <w:sz w:val="24"/>
        </w:rPr>
      </w:pPr>
    </w:p>
    <w:p w:rsidR="002B4D9D" w:rsidRDefault="002B4D9D">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rsidR="002B4D9D" w:rsidRDefault="002B4D9D">
      <w:pPr>
        <w:ind w:left="1440"/>
        <w:rPr>
          <w:rFonts w:ascii="Arial" w:hAnsi="Arial"/>
          <w:sz w:val="24"/>
        </w:rPr>
      </w:pPr>
    </w:p>
    <w:p w:rsidR="002B4D9D" w:rsidRPr="00A378F9" w:rsidRDefault="002B4D9D">
      <w:pPr>
        <w:ind w:left="1440"/>
        <w:rPr>
          <w:rFonts w:ascii="Arial" w:hAnsi="Arial"/>
          <w:b/>
          <w:i/>
          <w:sz w:val="24"/>
          <w:szCs w:val="24"/>
        </w:rPr>
      </w:pPr>
      <w:r w:rsidRPr="00A378F9">
        <w:rPr>
          <w:rFonts w:ascii="Arial" w:hAnsi="Arial"/>
          <w:b/>
          <w:i/>
          <w:sz w:val="24"/>
          <w:szCs w:val="24"/>
        </w:rPr>
        <w:t>1) Base Security Amount:</w:t>
      </w:r>
    </w:p>
    <w:p w:rsidR="002B4D9D" w:rsidRPr="00A378F9" w:rsidRDefault="002B4D9D">
      <w:pPr>
        <w:ind w:left="1440"/>
        <w:rPr>
          <w:rFonts w:ascii="Arial" w:hAnsi="Arial"/>
          <w:sz w:val="24"/>
        </w:rPr>
      </w:pPr>
    </w:p>
    <w:p w:rsidR="002B4D9D" w:rsidRPr="00C37565" w:rsidRDefault="00647DBD" w:rsidP="00C37565">
      <w:pPr>
        <w:numPr>
          <w:ilvl w:val="0"/>
          <w:numId w:val="5"/>
        </w:numPr>
        <w:rPr>
          <w:rFonts w:ascii="Arial" w:hAnsi="Arial"/>
          <w:b/>
          <w:sz w:val="24"/>
        </w:rPr>
      </w:pPr>
      <w:r>
        <w:rPr>
          <w:rFonts w:ascii="Arial" w:hAnsi="Arial"/>
          <w:b/>
          <w:sz w:val="24"/>
        </w:rPr>
        <w:t>Residential and Small Non-</w:t>
      </w:r>
      <w:r w:rsidR="002B4D9D" w:rsidRPr="00372C55">
        <w:rPr>
          <w:rFonts w:ascii="Arial" w:hAnsi="Arial"/>
          <w:b/>
          <w:sz w:val="24"/>
        </w:rPr>
        <w:t xml:space="preserve">Residential Standard Offer </w:t>
      </w:r>
    </w:p>
    <w:p w:rsidR="002B4D9D" w:rsidRPr="00A378F9" w:rsidRDefault="002B4D9D" w:rsidP="00C37565">
      <w:pPr>
        <w:numPr>
          <w:ilvl w:val="1"/>
          <w:numId w:val="5"/>
        </w:numPr>
        <w:rPr>
          <w:rFonts w:ascii="Arial" w:hAnsi="Arial"/>
          <w:sz w:val="24"/>
        </w:rPr>
      </w:pPr>
      <w:r w:rsidRPr="00372C55">
        <w:rPr>
          <w:rFonts w:ascii="Arial" w:hAnsi="Arial"/>
          <w:sz w:val="24"/>
        </w:rPr>
        <w:t xml:space="preserve">$ </w:t>
      </w:r>
      <w:r w:rsidR="006F1EFD">
        <w:rPr>
          <w:rFonts w:ascii="Arial" w:hAnsi="Arial"/>
          <w:sz w:val="24"/>
        </w:rPr>
        <w:t>36</w:t>
      </w:r>
      <w:r w:rsidRPr="00A378F9">
        <w:rPr>
          <w:rFonts w:ascii="Arial" w:hAnsi="Arial"/>
          <w:sz w:val="24"/>
        </w:rPr>
        <w:t>.0 million</w:t>
      </w:r>
    </w:p>
    <w:p w:rsidR="002B4D9D" w:rsidRPr="00A378F9" w:rsidRDefault="002B4D9D" w:rsidP="00C37565">
      <w:pPr>
        <w:ind w:left="3240"/>
        <w:rPr>
          <w:rFonts w:ascii="Arial" w:hAnsi="Arial"/>
          <w:sz w:val="24"/>
        </w:rPr>
      </w:pPr>
    </w:p>
    <w:p w:rsidR="002B4D9D" w:rsidRPr="00C37565" w:rsidRDefault="002B4D9D" w:rsidP="00C37565">
      <w:pPr>
        <w:numPr>
          <w:ilvl w:val="0"/>
          <w:numId w:val="5"/>
        </w:numPr>
        <w:rPr>
          <w:rFonts w:ascii="Arial" w:hAnsi="Arial"/>
          <w:b/>
          <w:sz w:val="24"/>
        </w:rPr>
      </w:pPr>
      <w:r w:rsidRPr="00372C55">
        <w:rPr>
          <w:rFonts w:ascii="Arial" w:hAnsi="Arial"/>
          <w:b/>
          <w:sz w:val="24"/>
        </w:rPr>
        <w:t>Medium Standard Offer</w:t>
      </w:r>
    </w:p>
    <w:p w:rsidR="002B4D9D" w:rsidRPr="00372C55" w:rsidRDefault="002B4D9D" w:rsidP="00C37565">
      <w:pPr>
        <w:numPr>
          <w:ilvl w:val="1"/>
          <w:numId w:val="5"/>
        </w:numPr>
        <w:rPr>
          <w:rFonts w:ascii="Arial" w:hAnsi="Arial"/>
          <w:sz w:val="24"/>
        </w:rPr>
      </w:pPr>
      <w:r w:rsidRPr="00372C55">
        <w:rPr>
          <w:rFonts w:ascii="Arial" w:hAnsi="Arial"/>
          <w:sz w:val="24"/>
        </w:rPr>
        <w:t>$ 14.0 million</w:t>
      </w:r>
    </w:p>
    <w:p w:rsidR="002B4D9D" w:rsidRPr="00372C55" w:rsidRDefault="002B4D9D" w:rsidP="00C37565">
      <w:pPr>
        <w:ind w:left="3240"/>
        <w:rPr>
          <w:rFonts w:ascii="Arial" w:hAnsi="Arial"/>
          <w:sz w:val="24"/>
        </w:rPr>
      </w:pPr>
    </w:p>
    <w:p w:rsidR="002B4D9D" w:rsidRPr="00C37565" w:rsidRDefault="002B4D9D" w:rsidP="00C37565">
      <w:pPr>
        <w:numPr>
          <w:ilvl w:val="0"/>
          <w:numId w:val="5"/>
        </w:numPr>
        <w:rPr>
          <w:rFonts w:ascii="Arial" w:hAnsi="Arial"/>
          <w:b/>
          <w:sz w:val="24"/>
        </w:rPr>
      </w:pPr>
      <w:r w:rsidRPr="00372C55">
        <w:rPr>
          <w:rFonts w:ascii="Arial" w:hAnsi="Arial"/>
          <w:b/>
          <w:sz w:val="24"/>
        </w:rPr>
        <w:t>Large Standard Offer</w:t>
      </w:r>
    </w:p>
    <w:p w:rsidR="002B4D9D" w:rsidRPr="00372C55" w:rsidRDefault="002B4D9D" w:rsidP="00C37565">
      <w:pPr>
        <w:numPr>
          <w:ilvl w:val="1"/>
          <w:numId w:val="5"/>
        </w:numPr>
        <w:rPr>
          <w:rFonts w:ascii="Arial" w:hAnsi="Arial"/>
          <w:sz w:val="24"/>
        </w:rPr>
      </w:pPr>
      <w:r w:rsidRPr="00372C55">
        <w:rPr>
          <w:rFonts w:ascii="Arial" w:hAnsi="Arial"/>
          <w:sz w:val="24"/>
        </w:rPr>
        <w:t>$ 5.0 million</w:t>
      </w:r>
      <w:r w:rsidR="00EB1A7D">
        <w:rPr>
          <w:rFonts w:ascii="Arial" w:hAnsi="Arial"/>
          <w:sz w:val="24"/>
        </w:rPr>
        <w:t xml:space="preserve"> (for</w:t>
      </w:r>
      <w:r w:rsidRPr="00372C55">
        <w:rPr>
          <w:rFonts w:ascii="Arial" w:hAnsi="Arial"/>
          <w:sz w:val="24"/>
        </w:rPr>
        <w:t xml:space="preserve"> fixed price</w:t>
      </w:r>
      <w:r w:rsidR="009B4DB9">
        <w:rPr>
          <w:rFonts w:ascii="Arial" w:hAnsi="Arial"/>
          <w:sz w:val="24"/>
        </w:rPr>
        <w:t xml:space="preserve"> proposal</w:t>
      </w:r>
      <w:r w:rsidR="00EB1A7D">
        <w:rPr>
          <w:rFonts w:ascii="Arial" w:hAnsi="Arial"/>
          <w:sz w:val="24"/>
        </w:rPr>
        <w:t>) or</w:t>
      </w:r>
    </w:p>
    <w:p w:rsidR="002B4D9D" w:rsidRPr="00372C55" w:rsidRDefault="002B4D9D" w:rsidP="00C37565">
      <w:pPr>
        <w:numPr>
          <w:ilvl w:val="1"/>
          <w:numId w:val="5"/>
        </w:numPr>
        <w:rPr>
          <w:rFonts w:ascii="Arial" w:hAnsi="Arial"/>
          <w:sz w:val="24"/>
        </w:rPr>
      </w:pPr>
      <w:r w:rsidRPr="00372C55">
        <w:rPr>
          <w:rFonts w:ascii="Arial" w:hAnsi="Arial"/>
          <w:sz w:val="24"/>
        </w:rPr>
        <w:t>$ 250,000</w:t>
      </w:r>
      <w:r w:rsidR="00EB1A7D">
        <w:rPr>
          <w:rFonts w:ascii="Arial" w:hAnsi="Arial"/>
          <w:sz w:val="24"/>
        </w:rPr>
        <w:t xml:space="preserve"> (for </w:t>
      </w:r>
      <w:r w:rsidRPr="00372C55">
        <w:rPr>
          <w:rFonts w:ascii="Arial" w:hAnsi="Arial"/>
          <w:sz w:val="24"/>
        </w:rPr>
        <w:t>indexed</w:t>
      </w:r>
      <w:r w:rsidR="009B4DB9">
        <w:rPr>
          <w:rFonts w:ascii="Arial" w:hAnsi="Arial"/>
          <w:sz w:val="24"/>
        </w:rPr>
        <w:t xml:space="preserve"> proposal</w:t>
      </w:r>
      <w:r w:rsidR="00EB1A7D">
        <w:rPr>
          <w:rFonts w:ascii="Arial" w:hAnsi="Arial"/>
          <w:sz w:val="24"/>
        </w:rPr>
        <w:t>)</w:t>
      </w:r>
    </w:p>
    <w:p w:rsidR="002B4D9D" w:rsidRPr="00372C55" w:rsidRDefault="002B4D9D">
      <w:pPr>
        <w:ind w:left="2520"/>
        <w:rPr>
          <w:rFonts w:ascii="Arial" w:hAnsi="Arial"/>
          <w:sz w:val="24"/>
        </w:rPr>
      </w:pPr>
    </w:p>
    <w:p w:rsidR="00B45379" w:rsidRDefault="00B45379" w:rsidP="00B45379">
      <w:pPr>
        <w:ind w:left="1440"/>
        <w:rPr>
          <w:rFonts w:ascii="Arial" w:hAnsi="Arial"/>
          <w:sz w:val="24"/>
        </w:rPr>
      </w:pPr>
      <w:r w:rsidRPr="00357775">
        <w:rPr>
          <w:rFonts w:ascii="Arial" w:hAnsi="Arial"/>
          <w:sz w:val="24"/>
        </w:rPr>
        <w:t xml:space="preserve">If a provider is designated for less than 100% of the load, the </w:t>
      </w:r>
      <w:r>
        <w:rPr>
          <w:rFonts w:ascii="Arial" w:hAnsi="Arial"/>
          <w:sz w:val="24"/>
        </w:rPr>
        <w:t>above amounts</w:t>
      </w:r>
      <w:r w:rsidRPr="00357775">
        <w:rPr>
          <w:rFonts w:ascii="Arial" w:hAnsi="Arial"/>
          <w:sz w:val="24"/>
        </w:rPr>
        <w:t xml:space="preserve"> shall be adjusted to reflect the provider’s % share.</w:t>
      </w:r>
    </w:p>
    <w:p w:rsidR="00B45379" w:rsidRDefault="00B45379" w:rsidP="00B45379">
      <w:pPr>
        <w:ind w:left="1440"/>
        <w:rPr>
          <w:rFonts w:ascii="Arial" w:hAnsi="Arial"/>
          <w:sz w:val="24"/>
        </w:rPr>
      </w:pPr>
    </w:p>
    <w:p w:rsidR="00C37565" w:rsidRDefault="002B4D9D" w:rsidP="00C37565">
      <w:pPr>
        <w:ind w:left="1440"/>
        <w:rPr>
          <w:rFonts w:ascii="Arial" w:hAnsi="Arial"/>
          <w:sz w:val="24"/>
        </w:rPr>
      </w:pPr>
      <w:r w:rsidRPr="00357775">
        <w:rPr>
          <w:rFonts w:ascii="Arial" w:hAnsi="Arial"/>
          <w:sz w:val="24"/>
        </w:rPr>
        <w:t>The Base Security amount for a Large Class Indexed bid shall not decline during the term of service. The base security amounts</w:t>
      </w:r>
      <w:r w:rsidR="00B45379">
        <w:rPr>
          <w:rFonts w:ascii="Arial" w:hAnsi="Arial"/>
          <w:sz w:val="24"/>
        </w:rPr>
        <w:t xml:space="preserve"> for the other classes</w:t>
      </w:r>
      <w:r w:rsidRPr="00357775">
        <w:rPr>
          <w:rFonts w:ascii="Arial" w:hAnsi="Arial"/>
          <w:sz w:val="24"/>
        </w:rPr>
        <w:t xml:space="preserve"> may decline, pro rata, during the term of service</w:t>
      </w:r>
      <w:r w:rsidR="00357775">
        <w:rPr>
          <w:rFonts w:ascii="Arial" w:hAnsi="Arial"/>
          <w:sz w:val="24"/>
        </w:rPr>
        <w:t xml:space="preserve">.  </w:t>
      </w:r>
      <w:r w:rsidR="00574B44" w:rsidRPr="00357775">
        <w:rPr>
          <w:rFonts w:ascii="Arial" w:hAnsi="Arial"/>
          <w:sz w:val="24"/>
        </w:rPr>
        <w:t xml:space="preserve">If at any time the </w:t>
      </w:r>
      <w:r w:rsidR="00357775">
        <w:rPr>
          <w:rFonts w:ascii="Arial" w:hAnsi="Arial"/>
          <w:sz w:val="24"/>
        </w:rPr>
        <w:t xml:space="preserve">total amount of </w:t>
      </w:r>
      <w:r w:rsidR="00574B44" w:rsidRPr="00357775">
        <w:rPr>
          <w:rFonts w:ascii="Arial" w:hAnsi="Arial"/>
          <w:sz w:val="24"/>
        </w:rPr>
        <w:t>security falls below the</w:t>
      </w:r>
      <w:r w:rsidR="00357775">
        <w:rPr>
          <w:rFonts w:ascii="Arial" w:hAnsi="Arial"/>
          <w:sz w:val="24"/>
        </w:rPr>
        <w:t xml:space="preserve"> amount required by the mark-to-</w:t>
      </w:r>
      <w:r w:rsidR="00574B44" w:rsidRPr="00357775">
        <w:rPr>
          <w:rFonts w:ascii="Arial" w:hAnsi="Arial"/>
          <w:sz w:val="24"/>
        </w:rPr>
        <w:t xml:space="preserve">market </w:t>
      </w:r>
      <w:r w:rsidR="00357775">
        <w:rPr>
          <w:rFonts w:ascii="Arial" w:hAnsi="Arial"/>
          <w:sz w:val="24"/>
        </w:rPr>
        <w:t>calculation as provided in the Excess Market Exposure Security section below</w:t>
      </w:r>
      <w:r w:rsidR="00574B44" w:rsidRPr="00357775">
        <w:rPr>
          <w:rFonts w:ascii="Arial" w:hAnsi="Arial"/>
          <w:sz w:val="24"/>
        </w:rPr>
        <w:t xml:space="preserve">, the utility will request additional security and provider will be required to increase the security as provided under the Agreement.  </w:t>
      </w:r>
    </w:p>
    <w:p w:rsidR="00C37565" w:rsidRDefault="00C37565" w:rsidP="00C37565">
      <w:pPr>
        <w:ind w:left="1440"/>
        <w:rPr>
          <w:rFonts w:ascii="Arial" w:hAnsi="Arial"/>
          <w:sz w:val="24"/>
        </w:rPr>
      </w:pPr>
    </w:p>
    <w:p w:rsidR="002B4D9D" w:rsidRPr="00C37565" w:rsidRDefault="002B4D9D" w:rsidP="00C37565">
      <w:pPr>
        <w:ind w:left="1440"/>
        <w:rPr>
          <w:rFonts w:ascii="Arial" w:hAnsi="Arial"/>
          <w:b/>
          <w:sz w:val="24"/>
        </w:rPr>
      </w:pPr>
      <w:r>
        <w:rPr>
          <w:rFonts w:ascii="Arial" w:hAnsi="Arial"/>
          <w:b/>
          <w:sz w:val="24"/>
        </w:rPr>
        <w:t>Excess Market Exposure Security</w:t>
      </w:r>
      <w:r w:rsidR="00C37565">
        <w:rPr>
          <w:rFonts w:ascii="Arial" w:hAnsi="Arial"/>
          <w:b/>
          <w:sz w:val="24"/>
        </w:rPr>
        <w:t xml:space="preserve">:  </w:t>
      </w:r>
      <w:r>
        <w:rPr>
          <w:rFonts w:ascii="Arial" w:hAnsi="Arial"/>
          <w:sz w:val="24"/>
        </w:rPr>
        <w:t xml:space="preserve">The incremental replacement cost </w:t>
      </w:r>
      <w:r w:rsidR="009B4DB9">
        <w:rPr>
          <w:rFonts w:ascii="Arial" w:hAnsi="Arial"/>
          <w:sz w:val="24"/>
        </w:rPr>
        <w:t>of standard</w:t>
      </w:r>
      <w:r>
        <w:rPr>
          <w:rFonts w:ascii="Arial" w:hAnsi="Arial"/>
          <w:sz w:val="24"/>
        </w:rPr>
        <w:t xml:space="preserve"> </w:t>
      </w:r>
      <w:r w:rsidR="00C37565">
        <w:rPr>
          <w:rFonts w:ascii="Arial" w:hAnsi="Arial"/>
          <w:sz w:val="24"/>
        </w:rPr>
        <w:t>offer supply</w:t>
      </w:r>
      <w:r>
        <w:rPr>
          <w:rFonts w:ascii="Arial" w:hAnsi="Arial"/>
          <w:sz w:val="24"/>
        </w:rPr>
        <w:t xml:space="preserve"> during the remaining term of service in excess of the Base Security for the class, as determined from time to time using commercially reasonable practices</w:t>
      </w:r>
      <w:r w:rsidR="00552329">
        <w:rPr>
          <w:rFonts w:ascii="Arial" w:hAnsi="Arial"/>
          <w:sz w:val="24"/>
        </w:rPr>
        <w:t>.</w:t>
      </w:r>
      <w:r>
        <w:rPr>
          <w:rFonts w:ascii="Arial" w:hAnsi="Arial"/>
          <w:sz w:val="24"/>
        </w:rPr>
        <w:t xml:space="preserve">   </w:t>
      </w:r>
    </w:p>
    <w:p w:rsidR="002B4D9D" w:rsidRDefault="002B4D9D">
      <w:pPr>
        <w:ind w:left="1440"/>
        <w:rPr>
          <w:rFonts w:ascii="Arial" w:hAnsi="Arial"/>
          <w:sz w:val="24"/>
        </w:rPr>
      </w:pPr>
      <w:r>
        <w:rPr>
          <w:rFonts w:ascii="Arial" w:hAnsi="Arial"/>
          <w:sz w:val="24"/>
        </w:rPr>
        <w:lastRenderedPageBreak/>
        <w:t>The Base Security must be furnished to CMP with a copy to the Commission no later than three business days after the date the Commission designates the provider such that CMP can access the full amount of the financial security on that date.  Any Excess Market Exposure Security required during the term of the obligation must be furnished to CMP no later than three business days after CMP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provider, and final acceptance shall be at the sole discretion of the Commission.</w:t>
      </w:r>
    </w:p>
    <w:p w:rsidR="002B4D9D" w:rsidRDefault="002B4D9D">
      <w:pPr>
        <w:ind w:left="1440"/>
        <w:rPr>
          <w:rFonts w:ascii="Arial" w:hAnsi="Arial"/>
          <w:sz w:val="24"/>
        </w:rPr>
      </w:pPr>
      <w:r>
        <w:rPr>
          <w:rFonts w:ascii="Arial" w:hAnsi="Arial"/>
          <w:sz w:val="24"/>
        </w:rPr>
        <w:t xml:space="preserve"> </w:t>
      </w:r>
    </w:p>
    <w:p w:rsidR="002B4D9D" w:rsidRDefault="002B4D9D">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rsidR="002B4D9D" w:rsidRDefault="002B4D9D">
      <w:pPr>
        <w:tabs>
          <w:tab w:val="left" w:pos="1440"/>
        </w:tabs>
        <w:ind w:left="1440"/>
        <w:rPr>
          <w:rFonts w:ascii="Arial" w:hAnsi="Arial"/>
          <w:sz w:val="24"/>
        </w:rPr>
      </w:pPr>
      <w:r>
        <w:rPr>
          <w:rFonts w:ascii="Arial" w:hAnsi="Arial"/>
          <w:sz w:val="24"/>
        </w:rPr>
        <w:t xml:space="preserve">A </w:t>
      </w:r>
      <w:r>
        <w:rPr>
          <w:rFonts w:ascii="Arial" w:hAnsi="Arial"/>
          <w:b/>
          <w:bCs/>
          <w:i/>
          <w:sz w:val="24"/>
          <w:szCs w:val="24"/>
        </w:rPr>
        <w:t>corporate guarantee</w:t>
      </w:r>
      <w:r>
        <w:rPr>
          <w:rFonts w:ascii="Arial" w:hAnsi="Arial"/>
          <w:sz w:val="24"/>
        </w:rPr>
        <w:t xml:space="preserve"> must (</w:t>
      </w:r>
      <w:proofErr w:type="spellStart"/>
      <w:r>
        <w:rPr>
          <w:rFonts w:ascii="Arial" w:hAnsi="Arial"/>
          <w:sz w:val="24"/>
        </w:rPr>
        <w:t>i</w:t>
      </w:r>
      <w:proofErr w:type="spellEnd"/>
      <w:r>
        <w:rPr>
          <w:rFonts w:ascii="Arial" w:hAnsi="Arial"/>
          <w:sz w:val="24"/>
        </w:rPr>
        <w:t>) unconditionally obligate the guarantor to pay all obligations of the provider for the costs of replacement service, up to the applicable cap; (ii) be executed by a corporation meeting the applicable credit rating and net worth criteria set forth in the table below; and (iii) conform with the Standard Form Guaranty provided in Appendix K or an accepted alternative.</w:t>
      </w:r>
    </w:p>
    <w:p w:rsidR="002B4D9D" w:rsidRDefault="002B4D9D">
      <w:pPr>
        <w:ind w:left="2160"/>
        <w:rPr>
          <w:rFonts w:ascii="Arial" w:hAnsi="Arial"/>
          <w:sz w:val="24"/>
        </w:rPr>
      </w:pPr>
    </w:p>
    <w:p w:rsidR="002B4D9D" w:rsidRDefault="002B4D9D">
      <w:pPr>
        <w:ind w:left="1440"/>
        <w:rPr>
          <w:rFonts w:ascii="Arial" w:hAnsi="Arial" w:cs="Arial"/>
          <w:color w:val="000000"/>
          <w:sz w:val="24"/>
          <w:szCs w:val="28"/>
        </w:rPr>
      </w:pPr>
      <w:r>
        <w:rPr>
          <w:rFonts w:ascii="Arial" w:hAnsi="Arial"/>
          <w:sz w:val="24"/>
        </w:rPr>
        <w:t xml:space="preserve">The amount of any corporate guarantee for any class may not exceed the applicable Guarantee Cap set forth below:  </w:t>
      </w:r>
      <w:r>
        <w:rPr>
          <w:rStyle w:val="FootnoteReference"/>
          <w:rFonts w:ascii="Arial" w:hAnsi="Arial" w:cs="Arial"/>
          <w:color w:val="000000"/>
          <w:sz w:val="24"/>
          <w:szCs w:val="28"/>
        </w:rPr>
        <w:footnoteReference w:id="4"/>
      </w:r>
      <w:r>
        <w:rPr>
          <w:rFonts w:ascii="Arial" w:hAnsi="Arial"/>
          <w:sz w:val="24"/>
        </w:rPr>
        <w:t xml:space="preserve"> </w:t>
      </w:r>
      <w:r>
        <w:rPr>
          <w:rStyle w:val="FootnoteReference"/>
          <w:rFonts w:ascii="Arial" w:hAnsi="Arial" w:cs="Arial"/>
          <w:color w:val="000000"/>
          <w:sz w:val="24"/>
          <w:szCs w:val="28"/>
        </w:rPr>
        <w:footnoteReference w:id="5"/>
      </w:r>
      <w:r>
        <w:rPr>
          <w:rFonts w:ascii="Arial" w:hAnsi="Arial" w:cs="Arial"/>
          <w:color w:val="000000"/>
          <w:sz w:val="24"/>
          <w:szCs w:val="28"/>
        </w:rPr>
        <w:t xml:space="preserve"> </w:t>
      </w:r>
      <w:r>
        <w:rPr>
          <w:rStyle w:val="FootnoteReference"/>
          <w:rFonts w:ascii="Arial" w:hAnsi="Arial" w:cs="Arial"/>
          <w:bCs/>
          <w:color w:val="000000"/>
          <w:sz w:val="24"/>
          <w:szCs w:val="24"/>
        </w:rPr>
        <w:footnoteReference w:id="6"/>
      </w:r>
      <w:r>
        <w:rPr>
          <w:rFonts w:ascii="Arial" w:hAnsi="Arial" w:cs="Arial"/>
          <w:color w:val="000000"/>
          <w:sz w:val="24"/>
          <w:szCs w:val="28"/>
        </w:rPr>
        <w:t xml:space="preserve"> If a provider is selected to serve more than one class of standard offer customer, the Guarantor may provide a combined guarantee document for all classes served so long as the Guarantee Caps set forth below are met.  </w:t>
      </w:r>
      <w:bookmarkStart w:id="0" w:name="_GoBack"/>
    </w:p>
    <w:bookmarkEnd w:id="0"/>
    <w:p w:rsidR="00AB32DA" w:rsidRDefault="00AB32DA">
      <w:pPr>
        <w:ind w:left="1440"/>
        <w:rPr>
          <w:rFonts w:ascii="Arial" w:hAnsi="Arial" w:cs="Arial"/>
          <w:color w:val="000000"/>
          <w:sz w:val="24"/>
          <w:szCs w:val="28"/>
        </w:rPr>
      </w:pPr>
    </w:p>
    <w:p w:rsidR="002B4D9D" w:rsidRDefault="002B4D9D" w:rsidP="00B01659">
      <w:pPr>
        <w:ind w:left="720"/>
        <w:jc w:val="center"/>
        <w:rPr>
          <w:rFonts w:ascii="Arial" w:hAnsi="Arial" w:cs="Arial"/>
          <w:b/>
          <w:bCs/>
          <w:color w:val="000000"/>
          <w:sz w:val="24"/>
          <w:szCs w:val="24"/>
        </w:rPr>
      </w:pPr>
    </w:p>
    <w:p w:rsidR="002B4D9D" w:rsidRDefault="00C37565" w:rsidP="00C37565">
      <w:pPr>
        <w:jc w:val="center"/>
      </w:pPr>
      <w:r w:rsidRPr="00C37565">
        <w:rPr>
          <w:noProof/>
        </w:rPr>
        <w:lastRenderedPageBreak/>
        <w:drawing>
          <wp:inline distT="0" distB="0" distL="0" distR="0">
            <wp:extent cx="4146550" cy="39446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6550" cy="3944620"/>
                    </a:xfrm>
                    <a:prstGeom prst="rect">
                      <a:avLst/>
                    </a:prstGeom>
                    <a:noFill/>
                    <a:ln>
                      <a:noFill/>
                    </a:ln>
                  </pic:spPr>
                </pic:pic>
              </a:graphicData>
            </a:graphic>
          </wp:inline>
        </w:drawing>
      </w:r>
    </w:p>
    <w:p w:rsidR="00AB32DA" w:rsidRDefault="00AB32DA">
      <w:pPr>
        <w:ind w:left="2160"/>
        <w:rPr>
          <w:rFonts w:ascii="Arial" w:hAnsi="Arial"/>
          <w:sz w:val="24"/>
        </w:rPr>
      </w:pPr>
    </w:p>
    <w:p w:rsidR="00AB32DA" w:rsidRDefault="00AB32DA" w:rsidP="00B01659">
      <w:pPr>
        <w:ind w:left="2160"/>
        <w:jc w:val="center"/>
        <w:rPr>
          <w:rFonts w:ascii="Arial" w:hAnsi="Arial"/>
          <w:sz w:val="24"/>
        </w:rPr>
      </w:pPr>
    </w:p>
    <w:p w:rsidR="00AB32DA" w:rsidRDefault="00AB32DA" w:rsidP="00C37565">
      <w:pPr>
        <w:ind w:left="720" w:hanging="720"/>
        <w:jc w:val="center"/>
        <w:rPr>
          <w:rFonts w:ascii="Arial" w:hAnsi="Arial"/>
          <w:sz w:val="24"/>
        </w:rPr>
      </w:pPr>
      <w:r w:rsidRPr="00AB32DA">
        <w:rPr>
          <w:noProof/>
        </w:rPr>
        <w:drawing>
          <wp:inline distT="0" distB="0" distL="0" distR="0" wp14:anchorId="5C5596E2" wp14:editId="5A8A3318">
            <wp:extent cx="4143375" cy="3714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3375" cy="3714750"/>
                    </a:xfrm>
                    <a:prstGeom prst="rect">
                      <a:avLst/>
                    </a:prstGeom>
                    <a:noFill/>
                    <a:ln>
                      <a:noFill/>
                    </a:ln>
                  </pic:spPr>
                </pic:pic>
              </a:graphicData>
            </a:graphic>
          </wp:inline>
        </w:drawing>
      </w:r>
    </w:p>
    <w:p w:rsidR="00AB32DA" w:rsidRDefault="00AB32DA" w:rsidP="00B01659">
      <w:pPr>
        <w:ind w:left="720"/>
        <w:jc w:val="center"/>
        <w:rPr>
          <w:rFonts w:ascii="Arial" w:hAnsi="Arial"/>
          <w:sz w:val="24"/>
        </w:rPr>
      </w:pPr>
    </w:p>
    <w:p w:rsidR="00AB32DA" w:rsidRDefault="00AB32DA" w:rsidP="00B01659">
      <w:pPr>
        <w:ind w:left="720"/>
        <w:jc w:val="center"/>
        <w:rPr>
          <w:rFonts w:ascii="Arial" w:hAnsi="Arial"/>
          <w:sz w:val="24"/>
        </w:rPr>
      </w:pPr>
    </w:p>
    <w:p w:rsidR="00AB32DA" w:rsidRDefault="00627517" w:rsidP="00C37565">
      <w:pPr>
        <w:ind w:left="1440" w:hanging="1440"/>
        <w:jc w:val="center"/>
        <w:rPr>
          <w:rFonts w:ascii="Arial" w:hAnsi="Arial"/>
          <w:sz w:val="24"/>
        </w:rPr>
      </w:pPr>
      <w:r w:rsidRPr="00627517">
        <w:rPr>
          <w:noProof/>
        </w:rPr>
        <w:drawing>
          <wp:inline distT="0" distB="0" distL="0" distR="0">
            <wp:extent cx="4146550" cy="37109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6550" cy="3710940"/>
                    </a:xfrm>
                    <a:prstGeom prst="rect">
                      <a:avLst/>
                    </a:prstGeom>
                    <a:noFill/>
                    <a:ln>
                      <a:noFill/>
                    </a:ln>
                  </pic:spPr>
                </pic:pic>
              </a:graphicData>
            </a:graphic>
          </wp:inline>
        </w:drawing>
      </w:r>
    </w:p>
    <w:p w:rsidR="00AB32DA" w:rsidRDefault="00AB32DA" w:rsidP="00B01659">
      <w:pPr>
        <w:ind w:left="2160"/>
        <w:jc w:val="center"/>
        <w:rPr>
          <w:rFonts w:ascii="Arial" w:hAnsi="Arial"/>
          <w:sz w:val="24"/>
        </w:rPr>
      </w:pPr>
    </w:p>
    <w:p w:rsidR="00AB32DA" w:rsidRDefault="00AB32DA" w:rsidP="00B01659">
      <w:pPr>
        <w:ind w:left="2160"/>
        <w:jc w:val="center"/>
        <w:rPr>
          <w:rFonts w:ascii="Arial" w:hAnsi="Arial"/>
          <w:sz w:val="24"/>
        </w:rPr>
      </w:pPr>
    </w:p>
    <w:p w:rsidR="002B4D9D" w:rsidRDefault="002B4D9D">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In addition, the aggregate guarantee exposure to any specific guarantor shall be analyzed under the asset test and the common equity test described in the Commission’s Rule 301 §§ (3)(B)(3)(b)(ii)and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rsidR="002B4D9D" w:rsidRDefault="002B4D9D">
      <w:pPr>
        <w:ind w:left="1440"/>
        <w:rPr>
          <w:rFonts w:ascii="Arial" w:hAnsi="Arial"/>
          <w:sz w:val="24"/>
        </w:rPr>
      </w:pPr>
    </w:p>
    <w:p w:rsidR="002B4D9D" w:rsidRDefault="002B4D9D">
      <w:pPr>
        <w:ind w:left="1440"/>
        <w:rPr>
          <w:rFonts w:ascii="Arial" w:hAnsi="Arial"/>
          <w:sz w:val="24"/>
        </w:rPr>
      </w:pPr>
      <w:r>
        <w:rPr>
          <w:rFonts w:ascii="Arial" w:hAnsi="Arial"/>
          <w:sz w:val="24"/>
        </w:rPr>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rsidR="002B4D9D" w:rsidRDefault="002B4D9D">
      <w:pPr>
        <w:tabs>
          <w:tab w:val="left" w:pos="0"/>
        </w:tabs>
        <w:rPr>
          <w:rFonts w:ascii="Arial" w:hAnsi="Arial"/>
          <w:sz w:val="24"/>
        </w:rPr>
      </w:pPr>
    </w:p>
    <w:p w:rsidR="002B4D9D" w:rsidRDefault="002B4D9D">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w:t>
      </w:r>
      <w:proofErr w:type="spellStart"/>
      <w:r>
        <w:rPr>
          <w:rFonts w:ascii="Arial" w:hAnsi="Arial"/>
          <w:sz w:val="24"/>
        </w:rPr>
        <w:t>i</w:t>
      </w:r>
      <w:proofErr w:type="spellEnd"/>
      <w:r>
        <w:rPr>
          <w:rFonts w:ascii="Arial" w:hAnsi="Arial"/>
          <w:sz w:val="24"/>
        </w:rPr>
        <w:t xml:space="preserve">) unconditionally obligate the issuing commercial bank(s) to honor drafts drawn on such letter(s) for the purpose of paying the costs of replacement standard offer  service; (ii) be issued by commercial bank(s) with a minimum corporate debt rating </w:t>
      </w:r>
      <w:r>
        <w:rPr>
          <w:rFonts w:ascii="Arial" w:hAnsi="Arial"/>
          <w:sz w:val="24"/>
        </w:rPr>
        <w:lastRenderedPageBreak/>
        <w:t>of “BBB+” by Standard &amp; Poor’s or Fitch or “Baa1” by Moody’s, or an equivalent short term debt rating by one of these agencies; and (iii) include the following language:  “This letter of credit binds the insurer to pay one or more drafts drawn by Central Maine Power Company  as long as the drafts do not exceed the total amount of the letter of credit; and that any draft presented by Central Maine Power Company will be honored by the issuer upon presentation.”</w:t>
      </w:r>
    </w:p>
    <w:p w:rsidR="002B4D9D" w:rsidRDefault="002B4D9D">
      <w:pPr>
        <w:tabs>
          <w:tab w:val="left" w:pos="90"/>
        </w:tabs>
        <w:rPr>
          <w:rFonts w:ascii="Arial" w:hAnsi="Arial"/>
          <w:sz w:val="24"/>
        </w:rPr>
      </w:pPr>
    </w:p>
    <w:p w:rsidR="002B4D9D" w:rsidRDefault="002B4D9D">
      <w:pPr>
        <w:tabs>
          <w:tab w:val="left" w:pos="-90"/>
        </w:tabs>
        <w:ind w:left="1440"/>
        <w:rPr>
          <w:rFonts w:ascii="Arial" w:hAnsi="Arial"/>
          <w:sz w:val="24"/>
        </w:rPr>
      </w:pPr>
      <w:r>
        <w:rPr>
          <w:rFonts w:ascii="Arial" w:hAnsi="Arial"/>
          <w:sz w:val="24"/>
        </w:rPr>
        <w:t>If the corporate debt ratings of an issuing bank drop below the above specified levels, the standard offer provider shall promptly: (1) notify the Commission’s Director of Electricity and Natural Gas and CMP in writing; and (2) provide replacement security that satisfies the requirements of Chapter 301 and this RFP.</w:t>
      </w:r>
    </w:p>
    <w:p w:rsidR="002B4D9D" w:rsidRDefault="002B4D9D">
      <w:pPr>
        <w:tabs>
          <w:tab w:val="left" w:pos="-90"/>
        </w:tabs>
        <w:ind w:left="1440"/>
        <w:rPr>
          <w:rFonts w:ascii="Arial" w:hAnsi="Arial"/>
          <w:sz w:val="24"/>
        </w:rPr>
      </w:pPr>
    </w:p>
    <w:p w:rsidR="002B4D9D" w:rsidRDefault="002B4D9D">
      <w:pPr>
        <w:pStyle w:val="BlockText"/>
        <w:spacing w:line="240" w:lineRule="auto"/>
        <w:ind w:left="0"/>
      </w:pPr>
      <w:r>
        <w:tab/>
      </w:r>
      <w:r>
        <w:tab/>
      </w:r>
    </w:p>
    <w:p w:rsidR="002B4D9D" w:rsidRDefault="002B4D9D">
      <w:pPr>
        <w:ind w:firstLine="720"/>
        <w:rPr>
          <w:rFonts w:ascii="Arial" w:hAnsi="Arial"/>
          <w:b/>
          <w:bCs/>
          <w:sz w:val="24"/>
        </w:rPr>
      </w:pPr>
      <w:r>
        <w:rPr>
          <w:rFonts w:ascii="Arial" w:hAnsi="Arial"/>
          <w:b/>
          <w:bCs/>
          <w:sz w:val="24"/>
        </w:rPr>
        <w:t>4.7</w:t>
      </w:r>
      <w:r>
        <w:rPr>
          <w:rFonts w:ascii="Arial" w:hAnsi="Arial"/>
          <w:b/>
          <w:bCs/>
          <w:sz w:val="24"/>
        </w:rPr>
        <w:tab/>
        <w:t>License</w:t>
      </w:r>
    </w:p>
    <w:p w:rsidR="002B4D9D" w:rsidRDefault="002B4D9D">
      <w:pPr>
        <w:ind w:left="2160" w:hanging="720"/>
        <w:rPr>
          <w:rFonts w:ascii="Arial" w:hAnsi="Arial"/>
          <w:b/>
          <w:bCs/>
          <w:sz w:val="24"/>
        </w:rPr>
      </w:pPr>
    </w:p>
    <w:p w:rsidR="002B4D9D" w:rsidRDefault="002B4D9D">
      <w:pPr>
        <w:ind w:left="1440"/>
        <w:rPr>
          <w:rFonts w:ascii="Arial" w:hAnsi="Arial"/>
          <w:sz w:val="24"/>
        </w:rPr>
      </w:pPr>
      <w:r>
        <w:rPr>
          <w:rFonts w:ascii="Arial" w:hAnsi="Arial"/>
          <w:sz w:val="24"/>
        </w:rPr>
        <w:t xml:space="preserve">Standard </w:t>
      </w:r>
      <w:r w:rsidR="00C37565">
        <w:rPr>
          <w:rFonts w:ascii="Arial" w:hAnsi="Arial"/>
          <w:sz w:val="24"/>
        </w:rPr>
        <w:t>offer provider</w:t>
      </w:r>
      <w:r>
        <w:rPr>
          <w:rFonts w:ascii="Arial" w:hAnsi="Arial"/>
          <w:sz w:val="24"/>
        </w:rPr>
        <w:t xml:space="preserve"> must at all times during the term of service possess a valid license, pursuant to Chapter 305 of the Commission’s rules, to provide standard offer service.  The provider’s license must be effective as of the date it is designated a standard </w:t>
      </w:r>
      <w:proofErr w:type="gramStart"/>
      <w:r>
        <w:rPr>
          <w:rFonts w:ascii="Arial" w:hAnsi="Arial"/>
          <w:sz w:val="24"/>
        </w:rPr>
        <w:t>offer  provider</w:t>
      </w:r>
      <w:proofErr w:type="gramEnd"/>
      <w:r>
        <w:rPr>
          <w:rFonts w:ascii="Arial" w:hAnsi="Arial"/>
          <w:sz w:val="24"/>
        </w:rPr>
        <w:t>.</w:t>
      </w:r>
    </w:p>
    <w:p w:rsidR="002B4D9D" w:rsidRDefault="002B4D9D">
      <w:pPr>
        <w:tabs>
          <w:tab w:val="left" w:pos="0"/>
        </w:tabs>
        <w:rPr>
          <w:rFonts w:ascii="Arial" w:hAnsi="Arial"/>
          <w:b/>
          <w:bCs/>
          <w:sz w:val="24"/>
        </w:rPr>
      </w:pPr>
    </w:p>
    <w:p w:rsidR="002B4D9D" w:rsidRDefault="002B4D9D">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rsidR="002B4D9D" w:rsidRDefault="002B4D9D">
      <w:pPr>
        <w:tabs>
          <w:tab w:val="left" w:pos="0"/>
        </w:tabs>
        <w:ind w:left="1440"/>
        <w:rPr>
          <w:rFonts w:ascii="Arial" w:hAnsi="Arial"/>
          <w:b/>
          <w:bCs/>
          <w:sz w:val="24"/>
        </w:rPr>
      </w:pPr>
    </w:p>
    <w:p w:rsidR="002B4D9D" w:rsidRDefault="002B4D9D">
      <w:pPr>
        <w:tabs>
          <w:tab w:val="left" w:pos="0"/>
        </w:tabs>
        <w:ind w:left="1440"/>
        <w:rPr>
          <w:rFonts w:ascii="Arial" w:hAnsi="Arial"/>
          <w:sz w:val="24"/>
        </w:rPr>
      </w:pPr>
      <w:r>
        <w:rPr>
          <w:rFonts w:ascii="Arial" w:hAnsi="Arial"/>
          <w:sz w:val="24"/>
        </w:rPr>
        <w:t>Standard offer provider must have an executed Service Agreement with CMP within 24 hours of being designated.  (See Appendix C for a Standard Form Service Agreement.)</w:t>
      </w:r>
    </w:p>
    <w:p w:rsidR="002B4D9D" w:rsidRDefault="002B4D9D">
      <w:pPr>
        <w:rPr>
          <w:rFonts w:ascii="Arial" w:hAnsi="Arial"/>
          <w:sz w:val="24"/>
        </w:rPr>
      </w:pPr>
    </w:p>
    <w:p w:rsidR="002B4D9D" w:rsidRDefault="002B4D9D">
      <w:pPr>
        <w:ind w:firstLine="720"/>
        <w:rPr>
          <w:rFonts w:ascii="Arial" w:hAnsi="Arial"/>
          <w:b/>
          <w:bCs/>
          <w:sz w:val="24"/>
        </w:rPr>
      </w:pPr>
      <w:r>
        <w:rPr>
          <w:rFonts w:ascii="Arial" w:hAnsi="Arial"/>
          <w:b/>
          <w:bCs/>
          <w:sz w:val="24"/>
        </w:rPr>
        <w:t>4.9</w:t>
      </w:r>
      <w:r>
        <w:rPr>
          <w:rFonts w:ascii="Arial" w:hAnsi="Arial"/>
          <w:b/>
          <w:bCs/>
          <w:sz w:val="24"/>
        </w:rPr>
        <w:tab/>
        <w:t>Resource Portfolio Requirement</w:t>
      </w:r>
    </w:p>
    <w:p w:rsidR="002B4D9D" w:rsidRDefault="002B4D9D">
      <w:pPr>
        <w:ind w:firstLine="720"/>
        <w:rPr>
          <w:rFonts w:ascii="Arial" w:hAnsi="Arial"/>
          <w:b/>
          <w:bCs/>
          <w:sz w:val="24"/>
        </w:rPr>
      </w:pPr>
    </w:p>
    <w:p w:rsidR="002B4D9D" w:rsidRDefault="002B4D9D">
      <w:pPr>
        <w:ind w:left="1440"/>
        <w:rPr>
          <w:rFonts w:ascii="Arial" w:hAnsi="Arial"/>
          <w:sz w:val="24"/>
        </w:rPr>
      </w:pPr>
      <w:r>
        <w:rPr>
          <w:rFonts w:ascii="Arial" w:hAnsi="Arial"/>
          <w:sz w:val="24"/>
        </w:rPr>
        <w:t xml:space="preserve">Standard offer provider must comply with the resource portfolio requirements of Chapter 311 of the Commission’s Rules.  </w:t>
      </w:r>
    </w:p>
    <w:p w:rsidR="002B4D9D" w:rsidRDefault="002B4D9D">
      <w:pPr>
        <w:ind w:firstLine="720"/>
        <w:rPr>
          <w:rFonts w:ascii="Arial" w:hAnsi="Arial"/>
          <w:b/>
          <w:bCs/>
          <w:sz w:val="24"/>
        </w:rPr>
      </w:pPr>
    </w:p>
    <w:p w:rsidR="002B4D9D" w:rsidRDefault="002B4D9D">
      <w:pPr>
        <w:ind w:firstLine="720"/>
        <w:rPr>
          <w:rFonts w:ascii="Arial" w:hAnsi="Arial"/>
          <w:b/>
          <w:bCs/>
          <w:sz w:val="24"/>
        </w:rPr>
      </w:pPr>
      <w:r>
        <w:rPr>
          <w:rFonts w:ascii="Arial" w:hAnsi="Arial"/>
          <w:b/>
          <w:bCs/>
          <w:sz w:val="24"/>
        </w:rPr>
        <w:t>4.10    Disclosure Requirement</w:t>
      </w:r>
    </w:p>
    <w:p w:rsidR="002B4D9D" w:rsidRDefault="002B4D9D">
      <w:pPr>
        <w:ind w:firstLine="720"/>
        <w:rPr>
          <w:rFonts w:ascii="Arial" w:hAnsi="Arial"/>
          <w:b/>
          <w:bCs/>
          <w:sz w:val="24"/>
        </w:rPr>
      </w:pPr>
    </w:p>
    <w:p w:rsidR="002B4D9D" w:rsidRDefault="002B4D9D">
      <w:pPr>
        <w:ind w:left="1440" w:hanging="720"/>
        <w:rPr>
          <w:rFonts w:ascii="Arial" w:hAnsi="Arial"/>
          <w:sz w:val="24"/>
        </w:rPr>
      </w:pPr>
      <w:r>
        <w:rPr>
          <w:rFonts w:ascii="Arial" w:hAnsi="Arial"/>
          <w:b/>
          <w:bCs/>
          <w:sz w:val="24"/>
        </w:rPr>
        <w:tab/>
      </w:r>
      <w:r>
        <w:rPr>
          <w:rFonts w:ascii="Arial" w:hAnsi="Arial"/>
          <w:bCs/>
          <w:sz w:val="24"/>
        </w:rPr>
        <w:t xml:space="preserve">For the Residential and Small Non Residential Standard, </w:t>
      </w:r>
      <w:r>
        <w:rPr>
          <w:rFonts w:ascii="Arial" w:hAnsi="Arial"/>
          <w:sz w:val="24"/>
        </w:rPr>
        <w:t xml:space="preserve">CMP will produce and make available on its website standard offer service disclosure labels pursuant to Chapter 306 of the Commission’s rules on behalf of standard offer provider.  Provider must supply CMP with the information needed to prepare accurate and timely labels to be posted on CMP’s website. </w:t>
      </w:r>
    </w:p>
    <w:p w:rsidR="002B4D9D" w:rsidRDefault="002B4D9D">
      <w:pPr>
        <w:rPr>
          <w:rFonts w:ascii="Arial" w:hAnsi="Arial"/>
          <w:sz w:val="24"/>
        </w:rPr>
      </w:pPr>
    </w:p>
    <w:p w:rsidR="002B4D9D" w:rsidRDefault="002B4D9D">
      <w:pPr>
        <w:ind w:firstLine="720"/>
        <w:rPr>
          <w:rFonts w:ascii="Arial" w:hAnsi="Arial"/>
          <w:b/>
          <w:bCs/>
          <w:sz w:val="24"/>
        </w:rPr>
      </w:pPr>
      <w:r>
        <w:rPr>
          <w:rFonts w:ascii="Arial" w:hAnsi="Arial"/>
          <w:b/>
          <w:bCs/>
          <w:sz w:val="24"/>
        </w:rPr>
        <w:t>4.11</w:t>
      </w:r>
      <w:r>
        <w:rPr>
          <w:rFonts w:ascii="Arial" w:hAnsi="Arial"/>
          <w:b/>
          <w:bCs/>
          <w:sz w:val="24"/>
        </w:rPr>
        <w:tab/>
        <w:t>ISO-NE/NEPOOL Requirements</w:t>
      </w:r>
    </w:p>
    <w:p w:rsidR="002B4D9D" w:rsidRDefault="002B4D9D">
      <w:pPr>
        <w:ind w:firstLine="720"/>
        <w:rPr>
          <w:rFonts w:ascii="Arial" w:hAnsi="Arial"/>
          <w:b/>
          <w:bCs/>
          <w:sz w:val="24"/>
        </w:rPr>
      </w:pPr>
    </w:p>
    <w:p w:rsidR="002B4D9D" w:rsidRDefault="002B4D9D">
      <w:pPr>
        <w:ind w:left="1440"/>
        <w:rPr>
          <w:rFonts w:ascii="Arial" w:hAnsi="Arial"/>
          <w:sz w:val="24"/>
        </w:rPr>
      </w:pPr>
      <w:r>
        <w:rPr>
          <w:rFonts w:ascii="Arial" w:hAnsi="Arial"/>
          <w:sz w:val="24"/>
        </w:rPr>
        <w:t xml:space="preserve">Standard offer provider (or an affiliate) must comply with all applicable ISO-NE requirements, (and those of any successor entity or entities), and </w:t>
      </w:r>
      <w:r>
        <w:rPr>
          <w:rFonts w:ascii="Arial" w:hAnsi="Arial"/>
          <w:sz w:val="24"/>
        </w:rPr>
        <w:lastRenderedPageBreak/>
        <w:t>shall be the designated load serving entity with a settlement account for the applicable load.  The necessary ISO-NE designations and accounts must be effective at least 30 business days prior to the start of the service term.</w:t>
      </w:r>
    </w:p>
    <w:p w:rsidR="002B4D9D" w:rsidRDefault="002B4D9D">
      <w:pPr>
        <w:ind w:left="1440"/>
        <w:rPr>
          <w:rFonts w:ascii="Arial" w:hAnsi="Arial"/>
          <w:sz w:val="24"/>
        </w:rPr>
      </w:pPr>
    </w:p>
    <w:p w:rsidR="002B4D9D" w:rsidRDefault="002B4D9D">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rsidR="002B4D9D" w:rsidRDefault="002B4D9D">
      <w:pPr>
        <w:tabs>
          <w:tab w:val="left" w:pos="-360"/>
          <w:tab w:val="left" w:pos="540"/>
        </w:tabs>
        <w:rPr>
          <w:rFonts w:ascii="Arial" w:hAnsi="Arial"/>
          <w:b/>
          <w:bCs/>
          <w:sz w:val="24"/>
        </w:rPr>
      </w:pPr>
    </w:p>
    <w:p w:rsidR="002B4D9D" w:rsidRDefault="002B4D9D">
      <w:pPr>
        <w:tabs>
          <w:tab w:val="left" w:pos="-360"/>
          <w:tab w:val="left" w:pos="540"/>
        </w:tabs>
        <w:ind w:left="1440"/>
        <w:rPr>
          <w:rFonts w:ascii="Arial" w:hAnsi="Arial"/>
          <w:sz w:val="24"/>
        </w:rPr>
      </w:pPr>
      <w:r>
        <w:rPr>
          <w:rFonts w:ascii="Arial" w:hAnsi="Arial"/>
          <w:sz w:val="24"/>
        </w:rPr>
        <w:t>Standard offer must exchange data with CMP using the electronic business transactions (EBT) protocols and procedures contained in Maine’s EBT standards. The EBT standards are available from the Commission’s web site.</w:t>
      </w:r>
    </w:p>
    <w:p w:rsidR="002B4D9D" w:rsidRDefault="002B4D9D">
      <w:pPr>
        <w:tabs>
          <w:tab w:val="left" w:pos="-360"/>
          <w:tab w:val="left" w:pos="540"/>
        </w:tabs>
        <w:ind w:left="1440"/>
        <w:rPr>
          <w:rFonts w:ascii="Arial" w:hAnsi="Arial"/>
          <w:sz w:val="24"/>
        </w:rPr>
      </w:pPr>
    </w:p>
    <w:p w:rsidR="002B4D9D" w:rsidRDefault="002B4D9D">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rsidR="002B4D9D" w:rsidRDefault="002B4D9D">
      <w:pPr>
        <w:tabs>
          <w:tab w:val="left" w:pos="-360"/>
          <w:tab w:val="left" w:pos="540"/>
        </w:tabs>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and Chapter 360 of the Commission’s Rules.  Specific information on net billing can be obtained from CMP.  </w:t>
      </w:r>
    </w:p>
    <w:p w:rsidR="002B4D9D" w:rsidRDefault="002B4D9D">
      <w:pPr>
        <w:tabs>
          <w:tab w:val="left" w:pos="-360"/>
          <w:tab w:val="left" w:pos="540"/>
        </w:tabs>
        <w:ind w:left="1440"/>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w:t>
      </w:r>
      <w:r w:rsidR="00AD1638">
        <w:rPr>
          <w:rFonts w:ascii="Arial" w:hAnsi="Arial"/>
          <w:sz w:val="24"/>
        </w:rPr>
        <w:t xml:space="preserve">the </w:t>
      </w:r>
      <w:r>
        <w:rPr>
          <w:rFonts w:ascii="Arial" w:hAnsi="Arial"/>
          <w:sz w:val="24"/>
        </w:rPr>
        <w:t xml:space="preserve">standard offer </w:t>
      </w:r>
      <w:r w:rsidRPr="00AD1638">
        <w:rPr>
          <w:rFonts w:ascii="Arial" w:hAnsi="Arial"/>
          <w:sz w:val="24"/>
        </w:rPr>
        <w:t>provider</w:t>
      </w:r>
      <w:r w:rsidR="00AD1638">
        <w:rPr>
          <w:rFonts w:ascii="Arial" w:hAnsi="Arial"/>
          <w:sz w:val="24"/>
        </w:rPr>
        <w:t xml:space="preserve"> designated to serve residential customers</w:t>
      </w:r>
      <w:r>
        <w:rPr>
          <w:rFonts w:ascii="Arial" w:hAnsi="Arial"/>
          <w:sz w:val="24"/>
        </w:rPr>
        <w:t xml:space="preserve"> to purchase the aggregated output of generators in CMP’s service territory with a capacity of 5 MW or 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rsidR="002B4D9D" w:rsidRDefault="002B4D9D">
      <w:pPr>
        <w:tabs>
          <w:tab w:val="left" w:pos="-360"/>
          <w:tab w:val="left" w:pos="540"/>
        </w:tabs>
        <w:ind w:left="1440"/>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These provisions do not apply to providers of medium and large class standard offer service.</w:t>
      </w:r>
    </w:p>
    <w:p w:rsidR="002B4D9D" w:rsidRDefault="002B4D9D">
      <w:pPr>
        <w:tabs>
          <w:tab w:val="left" w:pos="-360"/>
          <w:tab w:val="left" w:pos="540"/>
        </w:tabs>
        <w:ind w:left="1440"/>
        <w:rPr>
          <w:rFonts w:ascii="Arial" w:hAnsi="Arial"/>
          <w:sz w:val="24"/>
        </w:rPr>
      </w:pPr>
    </w:p>
    <w:p w:rsidR="002B4D9D" w:rsidRDefault="002B4D9D">
      <w:pPr>
        <w:rPr>
          <w:rFonts w:ascii="Arial" w:hAnsi="Arial"/>
          <w:b/>
          <w:sz w:val="24"/>
        </w:rPr>
      </w:pPr>
      <w:r>
        <w:rPr>
          <w:rFonts w:ascii="Arial" w:hAnsi="Arial"/>
          <w:b/>
          <w:sz w:val="24"/>
        </w:rPr>
        <w:t>5.</w:t>
      </w:r>
      <w:r>
        <w:rPr>
          <w:rFonts w:ascii="Arial" w:hAnsi="Arial"/>
          <w:b/>
          <w:sz w:val="24"/>
        </w:rPr>
        <w:tab/>
        <w:t xml:space="preserve">BILLING AND PAYMENT </w:t>
      </w:r>
    </w:p>
    <w:p w:rsidR="002B4D9D" w:rsidRDefault="002B4D9D">
      <w:pPr>
        <w:rPr>
          <w:rFonts w:ascii="Arial" w:hAnsi="Arial"/>
          <w:b/>
          <w:sz w:val="24"/>
        </w:rPr>
      </w:pPr>
    </w:p>
    <w:p w:rsidR="002B4D9D" w:rsidRDefault="002B4D9D">
      <w:pPr>
        <w:rPr>
          <w:rFonts w:ascii="Arial" w:hAnsi="Arial"/>
          <w:b/>
          <w:sz w:val="24"/>
        </w:rPr>
      </w:pPr>
      <w:r>
        <w:rPr>
          <w:rFonts w:ascii="Arial" w:hAnsi="Arial"/>
          <w:b/>
          <w:sz w:val="24"/>
        </w:rPr>
        <w:tab/>
        <w:t>5.1</w:t>
      </w:r>
      <w:r>
        <w:rPr>
          <w:rFonts w:ascii="Arial" w:hAnsi="Arial"/>
          <w:b/>
          <w:sz w:val="24"/>
        </w:rPr>
        <w:tab/>
        <w:t>Allocation of Uncollectible Accounts</w:t>
      </w:r>
    </w:p>
    <w:p w:rsidR="002B4D9D" w:rsidRDefault="002B4D9D">
      <w:pPr>
        <w:rPr>
          <w:rFonts w:ascii="Arial" w:hAnsi="Arial"/>
          <w:b/>
          <w:sz w:val="24"/>
        </w:rPr>
      </w:pPr>
    </w:p>
    <w:p w:rsidR="002B4D9D" w:rsidRDefault="002B4D9D">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revenue in accordance with the Standard Service Agreement. The uncollectible percentage is specified in Exhibit A to the Standard Service Agreement (Appendix C) and will remain fixed for the provider’s term of service. </w:t>
      </w:r>
    </w:p>
    <w:p w:rsidR="002B4D9D" w:rsidRDefault="002B4D9D">
      <w:pPr>
        <w:numPr>
          <w:ilvl w:val="12"/>
          <w:numId w:val="0"/>
        </w:numPr>
        <w:rPr>
          <w:rFonts w:ascii="Arial" w:hAnsi="Arial"/>
          <w:sz w:val="24"/>
        </w:rPr>
      </w:pPr>
    </w:p>
    <w:p w:rsidR="002B4D9D" w:rsidRDefault="002B4D9D">
      <w:pPr>
        <w:pStyle w:val="BodyTextIndent3"/>
        <w:spacing w:after="0"/>
        <w:ind w:left="720"/>
        <w:jc w:val="left"/>
        <w:rPr>
          <w:b/>
          <w:sz w:val="24"/>
        </w:rPr>
      </w:pPr>
      <w:r>
        <w:rPr>
          <w:b/>
          <w:sz w:val="24"/>
        </w:rPr>
        <w:t>5.2</w:t>
      </w:r>
      <w:r>
        <w:rPr>
          <w:b/>
          <w:sz w:val="24"/>
        </w:rPr>
        <w:tab/>
        <w:t xml:space="preserve">Payments for Standard Offer Service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CMP will issue bills and receive payments from customers for standard offer service and will transfer funds to the standard offer provider in accordance with the Service Agreement.</w:t>
      </w:r>
    </w:p>
    <w:p w:rsidR="002B4D9D" w:rsidRDefault="002B4D9D">
      <w:pPr>
        <w:pStyle w:val="BodyTextIndent3"/>
        <w:spacing w:after="0"/>
        <w:jc w:val="left"/>
        <w:rPr>
          <w:sz w:val="24"/>
        </w:rPr>
      </w:pPr>
    </w:p>
    <w:p w:rsidR="002B4D9D" w:rsidRDefault="002B4D9D">
      <w:pPr>
        <w:pStyle w:val="BodyTextIndent3"/>
        <w:spacing w:after="0"/>
        <w:jc w:val="left"/>
        <w:rPr>
          <w:b/>
          <w:sz w:val="24"/>
        </w:rPr>
      </w:pPr>
      <w:r>
        <w:rPr>
          <w:sz w:val="24"/>
        </w:rPr>
        <w:lastRenderedPageBreak/>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rsidR="002B4D9D" w:rsidRDefault="002B4D9D">
      <w:pPr>
        <w:pStyle w:val="BodyTextIndent3"/>
        <w:spacing w:after="0"/>
        <w:ind w:left="0"/>
        <w:jc w:val="left"/>
        <w:rPr>
          <w:b/>
          <w:sz w:val="24"/>
        </w:rPr>
      </w:pPr>
    </w:p>
    <w:p w:rsidR="002B4D9D" w:rsidRDefault="002B4D9D">
      <w:pPr>
        <w:pStyle w:val="BodyTextIndent3"/>
        <w:spacing w:after="0"/>
        <w:ind w:left="0"/>
        <w:jc w:val="left"/>
        <w:rPr>
          <w:b/>
          <w:sz w:val="24"/>
        </w:rPr>
      </w:pPr>
      <w:r>
        <w:rPr>
          <w:b/>
          <w:sz w:val="24"/>
        </w:rPr>
        <w:t>6.</w:t>
      </w:r>
      <w:r>
        <w:rPr>
          <w:b/>
          <w:sz w:val="24"/>
        </w:rPr>
        <w:tab/>
        <w:t>PROVIDER LEGAL OBLIGATIONS</w:t>
      </w:r>
    </w:p>
    <w:p w:rsidR="002B4D9D" w:rsidRDefault="002B4D9D">
      <w:pPr>
        <w:pStyle w:val="BodyTextIndent3"/>
        <w:spacing w:after="0"/>
        <w:ind w:left="0"/>
        <w:jc w:val="left"/>
        <w:rPr>
          <w:sz w:val="24"/>
        </w:rPr>
      </w:pPr>
    </w:p>
    <w:p w:rsidR="002B4D9D" w:rsidRDefault="002B4D9D">
      <w:pPr>
        <w:pStyle w:val="BodyTextIndent3"/>
        <w:spacing w:after="0"/>
        <w:ind w:left="720"/>
        <w:jc w:val="left"/>
        <w:rPr>
          <w:sz w:val="24"/>
        </w:rPr>
      </w:pPr>
      <w:r>
        <w:rPr>
          <w:b/>
          <w:sz w:val="24"/>
        </w:rPr>
        <w:t>6.1</w:t>
      </w:r>
      <w:r>
        <w:rPr>
          <w:b/>
          <w:sz w:val="24"/>
        </w:rPr>
        <w:tab/>
        <w:t>Legal Obligations and Responsibilities</w:t>
      </w:r>
    </w:p>
    <w:p w:rsidR="002B4D9D" w:rsidRDefault="002B4D9D">
      <w:pPr>
        <w:pStyle w:val="BodyTextIndent3"/>
        <w:tabs>
          <w:tab w:val="left" w:pos="-1080"/>
          <w:tab w:val="left" w:pos="0"/>
        </w:tabs>
        <w:spacing w:after="0"/>
        <w:jc w:val="left"/>
        <w:rPr>
          <w:sz w:val="24"/>
        </w:rPr>
      </w:pPr>
    </w:p>
    <w:p w:rsidR="002B4D9D" w:rsidRDefault="002B4D9D">
      <w:pPr>
        <w:pStyle w:val="BodyTextIndent3"/>
        <w:tabs>
          <w:tab w:val="left" w:pos="-1080"/>
          <w:tab w:val="left" w:pos="0"/>
        </w:tabs>
        <w:spacing w:after="0"/>
        <w:jc w:val="left"/>
        <w:rPr>
          <w:sz w:val="24"/>
        </w:rPr>
      </w:pPr>
      <w:r>
        <w:rPr>
          <w:sz w:val="24"/>
        </w:rPr>
        <w:t>Designation by Commission Order of a bidder as a standard offer provider legally obligates the bidder to provide the applicable service at the offered and accepted prices and terms in accordance with Maine law and regulations and the provisions of this RFP.</w:t>
      </w:r>
    </w:p>
    <w:p w:rsidR="002B4D9D" w:rsidRDefault="002B4D9D">
      <w:pPr>
        <w:pStyle w:val="BodyTextIndent3"/>
        <w:tabs>
          <w:tab w:val="left" w:pos="-1080"/>
          <w:tab w:val="left" w:pos="0"/>
        </w:tabs>
        <w:spacing w:after="0"/>
        <w:jc w:val="left"/>
        <w:rPr>
          <w:sz w:val="24"/>
        </w:rPr>
      </w:pPr>
    </w:p>
    <w:p w:rsidR="002B4D9D" w:rsidRDefault="002B4D9D">
      <w:pPr>
        <w:pStyle w:val="BodyTextIndent3"/>
        <w:spacing w:after="0"/>
        <w:ind w:left="720"/>
        <w:jc w:val="left"/>
        <w:rPr>
          <w:sz w:val="24"/>
        </w:rPr>
      </w:pPr>
      <w:r>
        <w:rPr>
          <w:b/>
          <w:sz w:val="24"/>
        </w:rPr>
        <w:t>6.2</w:t>
      </w:r>
      <w:r>
        <w:rPr>
          <w:b/>
          <w:sz w:val="24"/>
        </w:rPr>
        <w:tab/>
        <w:t>Provider Default</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Upon a determination that a standard offer provider has failed to provide service as required or has otherwise failed to fulfill its applicable obligations, the Commission may declare such provider to be in default.  If the Commission declares a provider to be in default, the Commission will take one or more actions specified in section 9 of Chapter 301.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The defaulting provider shall be responsible for and obligated to pay the additional costs of replacement standard offer service, as applicable.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customers at the rates in effect at the time of the Commission’s declaration of a provider’s default.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If the Commission declares a provider to be in default and there are additional costs of replacement service,  it may direct CMP to (1) withhold any payments due to the defaulting provider and use those amounts to cover additional costs of replacement service; and (2) use amounts from the financial security provided by or on behalf of the defaulting provider to cover the additional costs of replacement service.</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In the event that the defaulting provider fails to pay the additional costs of replacement service, as ordered by the Commission and the amounts obtained by CMP from the financial security are not sufficient to cover the additional costs of replacement service, the Commission or Maine’s Attorney General may bring legal action in Maine courts to fully recover these amounts.</w:t>
      </w:r>
    </w:p>
    <w:p w:rsidR="002B4D9D" w:rsidRDefault="002B4D9D">
      <w:pPr>
        <w:pStyle w:val="BodyTextIndent3"/>
        <w:spacing w:after="0"/>
        <w:jc w:val="left"/>
        <w:rPr>
          <w:sz w:val="24"/>
        </w:rPr>
      </w:pPr>
    </w:p>
    <w:p w:rsidR="002B4D9D" w:rsidRDefault="002B4D9D">
      <w:pPr>
        <w:pStyle w:val="BodyTextIndent3"/>
        <w:spacing w:after="0"/>
        <w:jc w:val="left"/>
        <w:rPr>
          <w:sz w:val="24"/>
        </w:rPr>
      </w:pPr>
    </w:p>
    <w:p w:rsidR="002B4D9D" w:rsidRDefault="002B4D9D">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rsidR="002B4D9D" w:rsidRDefault="002B4D9D">
      <w:pPr>
        <w:pStyle w:val="BodyTextIndent3"/>
        <w:spacing w:after="0"/>
        <w:ind w:left="0"/>
        <w:jc w:val="left"/>
        <w:rPr>
          <w:sz w:val="24"/>
        </w:rPr>
      </w:pPr>
    </w:p>
    <w:p w:rsidR="002B4D9D" w:rsidRDefault="002B4D9D">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rsidR="002B4D9D" w:rsidRDefault="002B4D9D">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rsidR="002B4D9D" w:rsidRDefault="002B4D9D">
      <w:pPr>
        <w:pStyle w:val="BodyTextIndent3"/>
        <w:numPr>
          <w:ilvl w:val="12"/>
          <w:numId w:val="0"/>
        </w:numPr>
        <w:spacing w:after="0"/>
        <w:ind w:left="1440"/>
        <w:jc w:val="left"/>
        <w:rPr>
          <w:sz w:val="24"/>
        </w:rPr>
      </w:pPr>
    </w:p>
    <w:p w:rsidR="002B4D9D" w:rsidRDefault="002B4D9D">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rsidR="002B4D9D" w:rsidRDefault="002B4D9D">
      <w:pPr>
        <w:ind w:left="720"/>
        <w:jc w:val="both"/>
        <w:rPr>
          <w:rFonts w:ascii="Arial" w:hAnsi="Arial"/>
          <w:b/>
          <w:sz w:val="24"/>
        </w:rPr>
      </w:pPr>
    </w:p>
    <w:p w:rsidR="002B4D9D" w:rsidRDefault="002B4D9D">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2B4D9D" w:rsidRDefault="002B4D9D">
      <w:pPr>
        <w:pStyle w:val="BodyTextIndent3"/>
        <w:numPr>
          <w:ilvl w:val="12"/>
          <w:numId w:val="0"/>
        </w:numPr>
        <w:spacing w:after="0"/>
        <w:ind w:left="1440"/>
        <w:jc w:val="left"/>
        <w:rPr>
          <w:sz w:val="24"/>
        </w:rPr>
      </w:pPr>
    </w:p>
    <w:p w:rsidR="002B4D9D" w:rsidRDefault="002B4D9D">
      <w:pPr>
        <w:pStyle w:val="Heading2"/>
        <w:numPr>
          <w:ilvl w:val="0"/>
          <w:numId w:val="0"/>
        </w:numPr>
        <w:ind w:left="720"/>
        <w:jc w:val="left"/>
        <w:rPr>
          <w:sz w:val="24"/>
        </w:rPr>
      </w:pPr>
      <w:r>
        <w:rPr>
          <w:sz w:val="24"/>
        </w:rPr>
        <w:t>7.3</w:t>
      </w:r>
      <w:r>
        <w:rPr>
          <w:sz w:val="24"/>
        </w:rPr>
        <w:tab/>
        <w:t>Rights of the Commission</w:t>
      </w:r>
    </w:p>
    <w:p w:rsidR="002B4D9D" w:rsidRDefault="002B4D9D">
      <w:pPr>
        <w:pStyle w:val="BodyTextIndent3"/>
        <w:spacing w:after="0"/>
        <w:ind w:left="720" w:firstLine="720"/>
        <w:jc w:val="left"/>
        <w:rPr>
          <w:sz w:val="24"/>
        </w:rPr>
      </w:pPr>
    </w:p>
    <w:p w:rsidR="002B4D9D" w:rsidRDefault="002B4D9D">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rsidR="002B4D9D" w:rsidRDefault="002B4D9D">
      <w:pPr>
        <w:pStyle w:val="BodyTextIndent3"/>
        <w:spacing w:after="0"/>
        <w:jc w:val="left"/>
        <w:rPr>
          <w:sz w:val="24"/>
        </w:rPr>
      </w:pPr>
    </w:p>
    <w:p w:rsidR="002B4D9D" w:rsidRDefault="002B4D9D">
      <w:pPr>
        <w:pStyle w:val="BodyTextIndent3"/>
        <w:spacing w:after="0"/>
        <w:ind w:left="720"/>
        <w:jc w:val="left"/>
        <w:rPr>
          <w:sz w:val="24"/>
        </w:rPr>
      </w:pPr>
      <w:r>
        <w:rPr>
          <w:b/>
          <w:sz w:val="24"/>
        </w:rPr>
        <w:t>7.4</w:t>
      </w:r>
      <w:r>
        <w:rPr>
          <w:b/>
          <w:sz w:val="24"/>
        </w:rPr>
        <w:tab/>
        <w:t>State Held Harmless</w:t>
      </w:r>
    </w:p>
    <w:p w:rsidR="002B4D9D" w:rsidRDefault="002B4D9D">
      <w:pPr>
        <w:pStyle w:val="BodyTextIndent3"/>
        <w:spacing w:after="0"/>
        <w:ind w:left="720"/>
        <w:jc w:val="left"/>
        <w:rPr>
          <w:sz w:val="24"/>
        </w:rPr>
      </w:pPr>
    </w:p>
    <w:p w:rsidR="002B4D9D" w:rsidRDefault="002B4D9D">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providers or the provision of  service.</w:t>
      </w:r>
    </w:p>
    <w:p w:rsidR="002B4D9D" w:rsidRDefault="002B4D9D">
      <w:pPr>
        <w:pStyle w:val="BodyTextIndent3"/>
        <w:spacing w:after="0"/>
        <w:jc w:val="left"/>
        <w:rPr>
          <w:sz w:val="24"/>
        </w:rPr>
      </w:pPr>
    </w:p>
    <w:p w:rsidR="002B4D9D" w:rsidRDefault="002B4D9D">
      <w:pPr>
        <w:pStyle w:val="Heading2"/>
        <w:numPr>
          <w:ilvl w:val="0"/>
          <w:numId w:val="0"/>
        </w:numPr>
        <w:ind w:left="720"/>
        <w:jc w:val="left"/>
        <w:rPr>
          <w:sz w:val="24"/>
        </w:rPr>
      </w:pPr>
      <w:r>
        <w:rPr>
          <w:sz w:val="24"/>
        </w:rPr>
        <w:t>7.5.</w:t>
      </w:r>
      <w:r>
        <w:rPr>
          <w:sz w:val="24"/>
        </w:rPr>
        <w:tab/>
        <w:t>Warranty</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The information contained in the RFP and provided subsequently is prepared to assist bidders and does not purport to contain all of the information that may be relevant to bidders.  The Commission makes no </w:t>
      </w:r>
      <w:r>
        <w:rPr>
          <w:sz w:val="24"/>
        </w:rPr>
        <w:lastRenderedPageBreak/>
        <w:t>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2B4D9D">
      <w:headerReference w:type="default" r:id="rId2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D7" w:rsidRDefault="00475BD7">
      <w:r>
        <w:separator/>
      </w:r>
    </w:p>
  </w:endnote>
  <w:endnote w:type="continuationSeparator" w:id="0">
    <w:p w:rsidR="00475BD7" w:rsidRDefault="0047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D7" w:rsidRDefault="00475BD7">
      <w:r>
        <w:separator/>
      </w:r>
    </w:p>
  </w:footnote>
  <w:footnote w:type="continuationSeparator" w:id="0">
    <w:p w:rsidR="00475BD7" w:rsidRDefault="00475BD7">
      <w:r>
        <w:continuationSeparator/>
      </w:r>
    </w:p>
  </w:footnote>
  <w:footnote w:id="1">
    <w:p w:rsidR="00A0751B" w:rsidRPr="0063655C" w:rsidRDefault="00A0751B">
      <w:pPr>
        <w:pStyle w:val="FootnoteText"/>
        <w:rPr>
          <w:rFonts w:ascii="Arial" w:hAnsi="Arial" w:cs="Arial"/>
          <w:sz w:val="24"/>
          <w:szCs w:val="24"/>
        </w:rPr>
      </w:pPr>
      <w:r>
        <w:tab/>
      </w:r>
      <w:r w:rsidRPr="0063655C">
        <w:rPr>
          <w:rStyle w:val="FootnoteReference"/>
          <w:rFonts w:ascii="Arial" w:hAnsi="Arial" w:cs="Arial"/>
          <w:sz w:val="24"/>
          <w:szCs w:val="24"/>
        </w:rPr>
        <w:footnoteRef/>
      </w:r>
      <w:r w:rsidRPr="0063655C">
        <w:rPr>
          <w:rFonts w:ascii="Arial" w:hAnsi="Arial" w:cs="Arial"/>
          <w:sz w:val="24"/>
          <w:szCs w:val="24"/>
        </w:rPr>
        <w:t xml:space="preserve"> A 34% tranche is supplied by an existing arrangement through February 29, 2016.</w:t>
      </w:r>
    </w:p>
  </w:footnote>
  <w:footnote w:id="2">
    <w:p w:rsidR="002B4D9D" w:rsidRDefault="002B4D9D">
      <w:pPr>
        <w:tabs>
          <w:tab w:val="left" w:pos="90"/>
          <w:tab w:val="left" w:pos="720"/>
          <w:tab w:val="left" w:pos="1440"/>
          <w:tab w:val="left" w:pos="2160"/>
          <w:tab w:val="left" w:pos="2880"/>
          <w:tab w:val="left" w:pos="3600"/>
        </w:tabs>
        <w:ind w:right="-270"/>
        <w:rPr>
          <w:rFonts w:ascii="Arial" w:hAnsi="Arial" w:cs="Arial"/>
        </w:rPr>
      </w:pPr>
      <w:r>
        <w:rPr>
          <w:rFonts w:ascii="Arial" w:hAnsi="Arial" w:cs="Arial"/>
        </w:rPr>
        <w:tab/>
      </w:r>
      <w:r>
        <w:rPr>
          <w:rFonts w:ascii="Arial" w:hAnsi="Arial" w:cs="Arial"/>
        </w:rPr>
        <w:tab/>
      </w:r>
      <w:r>
        <w:rPr>
          <w:rStyle w:val="FootnoteReference"/>
          <w:rFonts w:ascii="Arial" w:hAnsi="Arial" w:cs="Arial"/>
        </w:rPr>
        <w:footnoteRef/>
      </w:r>
      <w:r>
        <w:rPr>
          <w:rFonts w:ascii="Arial" w:hAnsi="Arial" w:cs="Arial"/>
        </w:rPr>
        <w:t xml:space="preserve"> </w:t>
      </w:r>
      <w:r>
        <w:rPr>
          <w:rFonts w:ascii="Arial" w:hAnsi="Arial" w:cs="Arial"/>
          <w:lang w:val="en"/>
        </w:rPr>
        <w:t>CME Group represents the merger of the Chicago Mercantile Exchange (CME), the Chicago Board of Trade (CBOT), the New York Mercantile Exchange (NYMEX) and its commodity exchange division, Commodity Exchange, Inc. (COMEX).  The formation of CME Group did not, however, result in any change to trading privileges for CME, CBOT and NYMEX/COMEX members</w:t>
      </w:r>
      <w:r>
        <w:rPr>
          <w:rFonts w:ascii="Arial" w:hAnsi="Arial" w:cs="Arial"/>
        </w:rPr>
        <w:t>. The applicable data set codes and descriptions are NI—ISO New England Mass Hub Day-Ahead Peak Calendar-Month 2.5 MW Futures and KI—ISO New England Mass Hub Off-Peak LMP Futures.</w:t>
      </w:r>
    </w:p>
    <w:p w:rsidR="002B4D9D" w:rsidRDefault="002B4D9D">
      <w:pPr>
        <w:pStyle w:val="FootnoteText"/>
      </w:pPr>
    </w:p>
  </w:footnote>
  <w:footnote w:id="3">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 15</w:t>
      </w:r>
      <w:r>
        <w:rPr>
          <w:rFonts w:ascii="Arial" w:hAnsi="Arial" w:cs="Arial"/>
          <w:vertAlign w:val="superscript"/>
        </w:rPr>
        <w:t>th</w:t>
      </w:r>
      <w:r>
        <w:rPr>
          <w:rFonts w:ascii="Arial" w:hAnsi="Arial" w:cs="Arial"/>
        </w:rPr>
        <w:t xml:space="preserve"> day of the month occurs on a weekend or holiday such that prices are not published, then prices for the next available date will be used. </w:t>
      </w:r>
    </w:p>
  </w:footnote>
  <w:footnote w:id="4">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 The structure and credit support of the Guarantee shall be the same as the structure and credit support inherent in Guarantor’s applicable corporate credit rating, senior unsecured debt rating or senior secured debt rating. </w:t>
      </w:r>
    </w:p>
    <w:p w:rsidR="002B4D9D" w:rsidRDefault="002B4D9D">
      <w:pPr>
        <w:pStyle w:val="FootnoteText"/>
        <w:rPr>
          <w:rFonts w:ascii="Arial" w:hAnsi="Arial" w:cs="Arial"/>
        </w:rPr>
      </w:pPr>
    </w:p>
  </w:footnote>
  <w:footnote w:id="5">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rsidR="002B4D9D" w:rsidRDefault="002B4D9D">
      <w:pPr>
        <w:pStyle w:val="FootnoteText"/>
        <w:rPr>
          <w:rFonts w:ascii="Arial" w:hAnsi="Arial" w:cs="Arial"/>
        </w:rPr>
      </w:pPr>
      <w:r>
        <w:rPr>
          <w:rFonts w:ascii="Arial" w:hAnsi="Arial" w:cs="Arial"/>
        </w:rPr>
        <w:tab/>
      </w:r>
    </w:p>
  </w:footnote>
  <w:footnote w:id="6">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guarantee amounts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9D" w:rsidRDefault="002B4D9D">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EF4DC4">
      <w:rPr>
        <w:rFonts w:ascii="Arial" w:hAnsi="Arial"/>
        <w:b/>
        <w:noProof/>
        <w:snapToGrid w:val="0"/>
        <w:sz w:val="24"/>
        <w:u w:val="single"/>
      </w:rPr>
      <w:t>13</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t>CMP Standard Offer</w:t>
    </w:r>
  </w:p>
  <w:p w:rsidR="002B4D9D" w:rsidRDefault="002B4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581"/>
    <w:multiLevelType w:val="hybridMultilevel"/>
    <w:tmpl w:val="C652AD92"/>
    <w:lvl w:ilvl="0" w:tplc="B84A8AEA">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2">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BA41AAD"/>
    <w:multiLevelType w:val="hybridMultilevel"/>
    <w:tmpl w:val="439AC6C8"/>
    <w:lvl w:ilvl="0" w:tplc="9EA6E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084722"/>
    <w:multiLevelType w:val="hybridMultilevel"/>
    <w:tmpl w:val="F182B430"/>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231E6A0A"/>
    <w:multiLevelType w:val="hybridMultilevel"/>
    <w:tmpl w:val="09B2328C"/>
    <w:lvl w:ilvl="0" w:tplc="43C8E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nsid w:val="382E6B41"/>
    <w:multiLevelType w:val="multilevel"/>
    <w:tmpl w:val="F42CD47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14">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5">
    <w:nsid w:val="6B6F5A6F"/>
    <w:multiLevelType w:val="hybridMultilevel"/>
    <w:tmpl w:val="3174946C"/>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6">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3"/>
  </w:num>
  <w:num w:numId="2">
    <w:abstractNumId w:val="14"/>
  </w:num>
  <w:num w:numId="3">
    <w:abstractNumId w:val="11"/>
  </w:num>
  <w:num w:numId="4">
    <w:abstractNumId w:val="1"/>
  </w:num>
  <w:num w:numId="5">
    <w:abstractNumId w:val="7"/>
  </w:num>
  <w:num w:numId="6">
    <w:abstractNumId w:val="9"/>
  </w:num>
  <w:num w:numId="7">
    <w:abstractNumId w:val="16"/>
  </w:num>
  <w:num w:numId="8">
    <w:abstractNumId w:val="17"/>
  </w:num>
  <w:num w:numId="9">
    <w:abstractNumId w:val="8"/>
  </w:num>
  <w:num w:numId="10">
    <w:abstractNumId w:val="2"/>
  </w:num>
  <w:num w:numId="11">
    <w:abstractNumId w:val="10"/>
  </w:num>
  <w:num w:numId="12">
    <w:abstractNumId w:val="5"/>
  </w:num>
  <w:num w:numId="13">
    <w:abstractNumId w:val="12"/>
  </w:num>
  <w:num w:numId="14">
    <w:abstractNumId w:val="3"/>
  </w:num>
  <w:num w:numId="15">
    <w:abstractNumId w:val="6"/>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E"/>
    <w:rsid w:val="00054805"/>
    <w:rsid w:val="00074654"/>
    <w:rsid w:val="00083D3B"/>
    <w:rsid w:val="000929AA"/>
    <w:rsid w:val="00123028"/>
    <w:rsid w:val="00137585"/>
    <w:rsid w:val="00144661"/>
    <w:rsid w:val="00162AFF"/>
    <w:rsid w:val="00164788"/>
    <w:rsid w:val="00171096"/>
    <w:rsid w:val="001F74D0"/>
    <w:rsid w:val="00245143"/>
    <w:rsid w:val="0026168A"/>
    <w:rsid w:val="00283F83"/>
    <w:rsid w:val="002B4D9D"/>
    <w:rsid w:val="002C11AE"/>
    <w:rsid w:val="002C6A94"/>
    <w:rsid w:val="002D0D38"/>
    <w:rsid w:val="002F14F9"/>
    <w:rsid w:val="00321C48"/>
    <w:rsid w:val="00357775"/>
    <w:rsid w:val="003723E9"/>
    <w:rsid w:val="00372C55"/>
    <w:rsid w:val="003C3655"/>
    <w:rsid w:val="003E22C4"/>
    <w:rsid w:val="0041790F"/>
    <w:rsid w:val="00422CF8"/>
    <w:rsid w:val="00436C0D"/>
    <w:rsid w:val="004755EA"/>
    <w:rsid w:val="00475BD7"/>
    <w:rsid w:val="004865B6"/>
    <w:rsid w:val="004B0ED7"/>
    <w:rsid w:val="004B5052"/>
    <w:rsid w:val="004C57B1"/>
    <w:rsid w:val="00552329"/>
    <w:rsid w:val="00574B44"/>
    <w:rsid w:val="00577963"/>
    <w:rsid w:val="00596B80"/>
    <w:rsid w:val="005B2F2E"/>
    <w:rsid w:val="006229B9"/>
    <w:rsid w:val="00622B90"/>
    <w:rsid w:val="00627517"/>
    <w:rsid w:val="0063655C"/>
    <w:rsid w:val="00647DBD"/>
    <w:rsid w:val="00675FA0"/>
    <w:rsid w:val="006F1EFD"/>
    <w:rsid w:val="00714265"/>
    <w:rsid w:val="00735064"/>
    <w:rsid w:val="0074089A"/>
    <w:rsid w:val="00746C98"/>
    <w:rsid w:val="0076002D"/>
    <w:rsid w:val="00767250"/>
    <w:rsid w:val="00790520"/>
    <w:rsid w:val="007A28AE"/>
    <w:rsid w:val="007D3A9A"/>
    <w:rsid w:val="007D6591"/>
    <w:rsid w:val="00815AA7"/>
    <w:rsid w:val="0085134C"/>
    <w:rsid w:val="008937C5"/>
    <w:rsid w:val="008B46CC"/>
    <w:rsid w:val="008B6F5C"/>
    <w:rsid w:val="008B7C6E"/>
    <w:rsid w:val="008C4212"/>
    <w:rsid w:val="008E5BE1"/>
    <w:rsid w:val="008F6940"/>
    <w:rsid w:val="00966062"/>
    <w:rsid w:val="00967CF8"/>
    <w:rsid w:val="009B4258"/>
    <w:rsid w:val="009B4DB9"/>
    <w:rsid w:val="009D20C4"/>
    <w:rsid w:val="009F5719"/>
    <w:rsid w:val="00A0751B"/>
    <w:rsid w:val="00A1177B"/>
    <w:rsid w:val="00A17C26"/>
    <w:rsid w:val="00A25D08"/>
    <w:rsid w:val="00A345C7"/>
    <w:rsid w:val="00A378F9"/>
    <w:rsid w:val="00A41CCF"/>
    <w:rsid w:val="00A57C20"/>
    <w:rsid w:val="00A867B1"/>
    <w:rsid w:val="00AA75A7"/>
    <w:rsid w:val="00AA79EA"/>
    <w:rsid w:val="00AB0690"/>
    <w:rsid w:val="00AB32DA"/>
    <w:rsid w:val="00AD1638"/>
    <w:rsid w:val="00AD22BC"/>
    <w:rsid w:val="00AD6F20"/>
    <w:rsid w:val="00AE1850"/>
    <w:rsid w:val="00B01659"/>
    <w:rsid w:val="00B11E9B"/>
    <w:rsid w:val="00B41AEE"/>
    <w:rsid w:val="00B45379"/>
    <w:rsid w:val="00B50FB9"/>
    <w:rsid w:val="00B555E6"/>
    <w:rsid w:val="00C37565"/>
    <w:rsid w:val="00C41824"/>
    <w:rsid w:val="00C63FA6"/>
    <w:rsid w:val="00C67EF2"/>
    <w:rsid w:val="00C738C0"/>
    <w:rsid w:val="00CA2368"/>
    <w:rsid w:val="00CA4A45"/>
    <w:rsid w:val="00CC1F0E"/>
    <w:rsid w:val="00CE61D8"/>
    <w:rsid w:val="00D11F2D"/>
    <w:rsid w:val="00D90454"/>
    <w:rsid w:val="00DA4432"/>
    <w:rsid w:val="00DC2238"/>
    <w:rsid w:val="00DF3D9E"/>
    <w:rsid w:val="00EA42C2"/>
    <w:rsid w:val="00EB1A7D"/>
    <w:rsid w:val="00EF4DC4"/>
    <w:rsid w:val="00F100A5"/>
    <w:rsid w:val="00F46B05"/>
    <w:rsid w:val="00F84772"/>
    <w:rsid w:val="00FA21CC"/>
    <w:rsid w:val="00FB1447"/>
    <w:rsid w:val="00FB1B37"/>
    <w:rsid w:val="00FB3C0C"/>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ngela.monroe@maine.gov" TargetMode="External"/><Relationship Id="rId17" Type="http://schemas.openxmlformats.org/officeDocument/2006/relationships/hyperlink" Target="http://www.maine.gov/mpuc/electricity/rfps/so_solicitations.shtml" TargetMode="External"/><Relationship Id="rId2" Type="http://schemas.openxmlformats.org/officeDocument/2006/relationships/numbering" Target="numbering.xml"/><Relationship Id="rId16" Type="http://schemas.openxmlformats.org/officeDocument/2006/relationships/hyperlink" Target="http://www.maine.gov/mpuc"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tchell.tannenbaum@maine.gov" TargetMode="External"/><Relationship Id="rId5" Type="http://schemas.openxmlformats.org/officeDocument/2006/relationships/settings" Target="settings.xml"/><Relationship Id="rId15" Type="http://schemas.openxmlformats.org/officeDocument/2006/relationships/hyperlink" Target="http://www.maine.gov/mpuc/electricity/rfps/so_solicitations.shtml" TargetMode="External"/><Relationship Id="rId23" Type="http://schemas.openxmlformats.org/officeDocument/2006/relationships/theme" Target="theme/theme1.xml"/><Relationship Id="rId10" Type="http://schemas.openxmlformats.org/officeDocument/2006/relationships/hyperlink" Target="mailto:faith.huntington@maine.gov"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maine.gov/mpuc/electricity/rfps/so_solicitations.shtml" TargetMode="External"/><Relationship Id="rId14" Type="http://schemas.openxmlformats.org/officeDocument/2006/relationships/hyperlink" Target="mailto:susan.clary@cmpc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E847-55E6-4C7C-B92E-DD2A62AA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32401</CharactersWithSpaces>
  <SharedDoc>false</SharedDoc>
  <HLinks>
    <vt:vector size="60" baseType="variant">
      <vt:variant>
        <vt:i4>3276810</vt:i4>
      </vt:variant>
      <vt:variant>
        <vt:i4>27</vt:i4>
      </vt:variant>
      <vt:variant>
        <vt:i4>0</vt:i4>
      </vt:variant>
      <vt:variant>
        <vt:i4>5</vt:i4>
      </vt:variant>
      <vt:variant>
        <vt:lpwstr>http://www.maine.gov/mpuc/electricity/rfps/so_solicitations.shtml</vt:lpwstr>
      </vt:variant>
      <vt:variant>
        <vt:lpwstr/>
      </vt:variant>
      <vt:variant>
        <vt:i4>4390977</vt:i4>
      </vt:variant>
      <vt:variant>
        <vt:i4>24</vt:i4>
      </vt:variant>
      <vt:variant>
        <vt:i4>0</vt:i4>
      </vt:variant>
      <vt:variant>
        <vt:i4>5</vt:i4>
      </vt:variant>
      <vt:variant>
        <vt:lpwstr>http://www.maine.gov/mpuc</vt:lpwstr>
      </vt:variant>
      <vt:variant>
        <vt:lpwstr/>
      </vt:variant>
      <vt:variant>
        <vt:i4>3276810</vt:i4>
      </vt:variant>
      <vt:variant>
        <vt:i4>21</vt:i4>
      </vt:variant>
      <vt:variant>
        <vt:i4>0</vt:i4>
      </vt:variant>
      <vt:variant>
        <vt:i4>5</vt:i4>
      </vt:variant>
      <vt:variant>
        <vt:lpwstr>http://www.maine.gov/mpuc/electricity/rfps/so_solicitations.shtml</vt:lpwstr>
      </vt:variant>
      <vt:variant>
        <vt:lpwstr/>
      </vt:variant>
      <vt:variant>
        <vt:i4>327777</vt:i4>
      </vt:variant>
      <vt:variant>
        <vt:i4>18</vt:i4>
      </vt:variant>
      <vt:variant>
        <vt:i4>0</vt:i4>
      </vt:variant>
      <vt:variant>
        <vt:i4>5</vt:i4>
      </vt:variant>
      <vt:variant>
        <vt:lpwstr>mailto:susan.clary@cmpco.com</vt:lpwstr>
      </vt:variant>
      <vt:variant>
        <vt:lpwstr/>
      </vt:variant>
      <vt:variant>
        <vt:i4>5439608</vt:i4>
      </vt:variant>
      <vt:variant>
        <vt:i4>15</vt:i4>
      </vt:variant>
      <vt:variant>
        <vt:i4>0</vt:i4>
      </vt:variant>
      <vt:variant>
        <vt:i4>5</vt:i4>
      </vt:variant>
      <vt:variant>
        <vt:lpwstr>http://www.maine.gov/mpuc/electricity/standard_offer/index.shtml</vt:lpwstr>
      </vt:variant>
      <vt:variant>
        <vt:lpwstr/>
      </vt:variant>
      <vt:variant>
        <vt:i4>6422640</vt:i4>
      </vt:variant>
      <vt:variant>
        <vt:i4>12</vt:i4>
      </vt:variant>
      <vt:variant>
        <vt:i4>0</vt:i4>
      </vt:variant>
      <vt:variant>
        <vt:i4>5</vt:i4>
      </vt:variant>
      <vt:variant>
        <vt:lpwstr>mailto:</vt:lpwstr>
      </vt:variant>
      <vt:variant>
        <vt:lpwstr/>
      </vt:variant>
      <vt:variant>
        <vt:i4>3014722</vt:i4>
      </vt:variant>
      <vt:variant>
        <vt:i4>9</vt:i4>
      </vt:variant>
      <vt:variant>
        <vt:i4>0</vt:i4>
      </vt:variant>
      <vt:variant>
        <vt:i4>5</vt:i4>
      </vt:variant>
      <vt:variant>
        <vt:lpwstr>mailto:angela.monroe@maine.gov</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15</cp:revision>
  <cp:lastPrinted>2014-11-04T15:23:00Z</cp:lastPrinted>
  <dcterms:created xsi:type="dcterms:W3CDTF">2015-09-08T17:28:00Z</dcterms:created>
  <dcterms:modified xsi:type="dcterms:W3CDTF">2015-09-09T14:30:00Z</dcterms:modified>
</cp:coreProperties>
</file>