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675FA0" w:rsidRDefault="00345720">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Emera Maine</w:t>
      </w:r>
      <w:r w:rsidR="00144661">
        <w:rPr>
          <w:rFonts w:ascii="Arial" w:hAnsi="Arial"/>
          <w:sz w:val="40"/>
        </w:rPr>
        <w:t xml:space="preserve"> Customers</w:t>
      </w:r>
      <w:r w:rsidR="00675FA0">
        <w:rPr>
          <w:rFonts w:ascii="Arial" w:hAnsi="Arial"/>
          <w:sz w:val="40"/>
        </w:rPr>
        <w:t xml:space="preserve"> </w:t>
      </w:r>
    </w:p>
    <w:p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For </w:t>
      </w:r>
      <w:r w:rsidR="004260B0">
        <w:rPr>
          <w:rFonts w:ascii="Arial" w:hAnsi="Arial"/>
          <w:sz w:val="36"/>
        </w:rPr>
        <w:t>the term</w:t>
      </w:r>
    </w:p>
    <w:p w:rsidR="004260B0" w:rsidRDefault="00144661" w:rsidP="004260B0">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bookmarkStart w:id="0" w:name="_GoBack"/>
    </w:p>
    <w:bookmarkEnd w:id="0"/>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January 1, 2016</w:t>
      </w:r>
      <w:r w:rsidR="00144661">
        <w:rPr>
          <w:rFonts w:ascii="Arial" w:hAnsi="Arial"/>
          <w:sz w:val="36"/>
        </w:rPr>
        <w:t xml:space="preserve"> – December 31, 2016</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September 9, 2015</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rsidR="002B4D9D" w:rsidRDefault="002B4D9D">
      <w:pPr>
        <w:pStyle w:val="Title"/>
        <w:rPr>
          <w:rFonts w:ascii="Arial" w:hAnsi="Arial"/>
          <w:sz w:val="24"/>
        </w:rPr>
      </w:pPr>
    </w:p>
    <w:p w:rsidR="002B4D9D" w:rsidRDefault="002B4D9D">
      <w:pPr>
        <w:pStyle w:val="Title"/>
        <w:rPr>
          <w:rFonts w:ascii="Arial" w:hAnsi="Arial"/>
          <w:sz w:val="24"/>
        </w:rPr>
      </w:pP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rsidR="002B4D9D" w:rsidRDefault="002B4D9D">
      <w:pPr>
        <w:pStyle w:val="Title"/>
        <w:rPr>
          <w:rFonts w:ascii="Arial" w:hAnsi="Arial"/>
          <w:sz w:val="24"/>
        </w:rPr>
      </w:pPr>
    </w:p>
    <w:p w:rsidR="002B4D9D" w:rsidRDefault="002B4D9D">
      <w:pPr>
        <w:pStyle w:val="Title"/>
        <w:spacing w:after="120" w:line="360" w:lineRule="auto"/>
        <w:jc w:val="both"/>
        <w:rPr>
          <w:rFonts w:ascii="Arial" w:hAnsi="Arial"/>
          <w:sz w:val="24"/>
        </w:rPr>
      </w:pPr>
    </w:p>
    <w:p w:rsidR="002B4D9D" w:rsidRDefault="002B4D9D">
      <w:pPr>
        <w:pStyle w:val="Title"/>
        <w:spacing w:after="120" w:line="360" w:lineRule="auto"/>
        <w:jc w:val="both"/>
        <w:rPr>
          <w:rFonts w:ascii="Arial" w:hAnsi="Arial"/>
          <w:sz w:val="24"/>
        </w:rPr>
      </w:pPr>
      <w:r>
        <w:rPr>
          <w:rFonts w:ascii="Arial" w:hAnsi="Arial"/>
          <w:sz w:val="24"/>
        </w:rPr>
        <w:t>APPENDICES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2B4D9D" w:rsidRDefault="002B4D9D">
      <w:pPr>
        <w:pStyle w:val="Title"/>
        <w:spacing w:after="120" w:line="360" w:lineRule="auto"/>
        <w:jc w:val="both"/>
        <w:rPr>
          <w:rFonts w:ascii="Arial" w:hAnsi="Arial"/>
          <w:b w:val="0"/>
          <w:sz w:val="24"/>
        </w:rPr>
      </w:pPr>
    </w:p>
    <w:p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rsidR="002B4D9D" w:rsidRDefault="002B4D9D">
      <w:pPr>
        <w:jc w:val="both"/>
      </w:pPr>
    </w:p>
    <w:p w:rsidR="002B4D9D" w:rsidRDefault="002B4D9D">
      <w:pPr>
        <w:pStyle w:val="Heading2"/>
        <w:numPr>
          <w:ilvl w:val="0"/>
          <w:numId w:val="0"/>
        </w:numPr>
        <w:ind w:firstLine="720"/>
        <w:jc w:val="left"/>
        <w:rPr>
          <w:sz w:val="24"/>
        </w:rPr>
      </w:pPr>
      <w:r>
        <w:rPr>
          <w:sz w:val="24"/>
        </w:rPr>
        <w:t>1.1.</w:t>
      </w:r>
      <w:r>
        <w:rPr>
          <w:sz w:val="24"/>
        </w:rPr>
        <w:tab/>
        <w:t>Request for Proposals</w:t>
      </w:r>
    </w:p>
    <w:p w:rsidR="002B4D9D" w:rsidRDefault="002B4D9D"/>
    <w:p w:rsidR="002B4D9D" w:rsidRDefault="002B4D9D">
      <w:pPr>
        <w:ind w:left="720" w:firstLine="720"/>
        <w:rPr>
          <w:rFonts w:ascii="Arial" w:hAnsi="Arial" w:cs="Arial"/>
          <w:b/>
          <w:bCs/>
          <w:sz w:val="24"/>
          <w:u w:val="single"/>
        </w:rPr>
      </w:pPr>
      <w:r>
        <w:rPr>
          <w:rFonts w:ascii="Arial" w:hAnsi="Arial" w:cs="Arial"/>
          <w:b/>
          <w:bCs/>
          <w:sz w:val="24"/>
          <w:u w:val="single"/>
        </w:rPr>
        <w:t>General</w:t>
      </w:r>
    </w:p>
    <w:p w:rsidR="002B4D9D" w:rsidRDefault="002B4D9D"/>
    <w:p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w:t>
      </w:r>
      <w:r w:rsidR="00345720">
        <w:rPr>
          <w:sz w:val="24"/>
        </w:rPr>
        <w:t>Emera Maine—Bangor Hydro District</w:t>
      </w:r>
      <w:r>
        <w:rPr>
          <w:sz w:val="24"/>
        </w:rPr>
        <w:t xml:space="preserve"> (</w:t>
      </w:r>
      <w:r w:rsidR="00345720">
        <w:rPr>
          <w:sz w:val="24"/>
        </w:rPr>
        <w:t>EM-BHD</w:t>
      </w:r>
      <w:r>
        <w:rPr>
          <w:sz w:val="24"/>
        </w:rPr>
        <w:t xml:space="preserve">) for </w:t>
      </w:r>
      <w:r w:rsidR="00CE61D8">
        <w:rPr>
          <w:sz w:val="24"/>
        </w:rPr>
        <w:t>a one-year</w:t>
      </w:r>
      <w:r w:rsidR="00B11E9B">
        <w:rPr>
          <w:sz w:val="24"/>
        </w:rPr>
        <w:t xml:space="preserve"> term beginning </w:t>
      </w:r>
      <w:r w:rsidR="00CE61D8">
        <w:rPr>
          <w:sz w:val="24"/>
        </w:rPr>
        <w:t>January 1, 2016</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rsidR="00B11E9B" w:rsidRDefault="00B11E9B">
      <w:pPr>
        <w:pStyle w:val="BodyTextIndent3"/>
        <w:spacing w:after="0"/>
        <w:jc w:val="left"/>
        <w:rPr>
          <w:sz w:val="24"/>
        </w:rPr>
      </w:pPr>
    </w:p>
    <w:p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October 6</w:t>
      </w:r>
      <w:r w:rsidR="00CE61D8">
        <w:rPr>
          <w:sz w:val="24"/>
        </w:rPr>
        <w:t>, 2015</w:t>
      </w:r>
      <w:r w:rsidR="00CC1F0E">
        <w:rPr>
          <w:sz w:val="24"/>
        </w:rPr>
        <w:t>.</w:t>
      </w:r>
      <w:r>
        <w:rPr>
          <w:sz w:val="24"/>
        </w:rPr>
        <w:t xml:space="preserve"> </w:t>
      </w:r>
    </w:p>
    <w:p w:rsidR="002B4D9D" w:rsidRDefault="002B4D9D">
      <w:pPr>
        <w:pStyle w:val="BodyTextIndent3"/>
        <w:spacing w:after="0"/>
        <w:jc w:val="left"/>
        <w:rPr>
          <w:sz w:val="24"/>
        </w:rPr>
      </w:pPr>
    </w:p>
    <w:p w:rsidR="002B4D9D" w:rsidRDefault="002B4D9D">
      <w:pPr>
        <w:pStyle w:val="Heading2"/>
        <w:numPr>
          <w:ilvl w:val="0"/>
          <w:numId w:val="0"/>
        </w:numPr>
        <w:ind w:left="720" w:firstLine="720"/>
        <w:jc w:val="left"/>
        <w:rPr>
          <w:sz w:val="24"/>
          <w:u w:val="single"/>
        </w:rPr>
      </w:pPr>
      <w:r>
        <w:rPr>
          <w:sz w:val="24"/>
          <w:u w:val="single"/>
        </w:rPr>
        <w:t>Contact Information</w:t>
      </w:r>
    </w:p>
    <w:p w:rsidR="002B4D9D" w:rsidRDefault="002B4D9D">
      <w:pPr>
        <w:rPr>
          <w:sz w:val="24"/>
          <w:u w:val="single"/>
        </w:rPr>
      </w:pPr>
    </w:p>
    <w:p w:rsidR="002B4D9D" w:rsidRDefault="002B4D9D">
      <w:pPr>
        <w:pStyle w:val="BodyTextIndent3"/>
        <w:spacing w:after="0"/>
        <w:jc w:val="left"/>
        <w:rPr>
          <w:sz w:val="24"/>
          <w:szCs w:val="24"/>
        </w:rPr>
      </w:pPr>
      <w:r>
        <w:rPr>
          <w:sz w:val="24"/>
          <w:szCs w:val="24"/>
        </w:rPr>
        <w:t>The RFP, related information and load data are available from the RFP web page at:</w:t>
      </w:r>
      <w:r w:rsidR="0003770C">
        <w:rPr>
          <w:sz w:val="24"/>
          <w:szCs w:val="24"/>
        </w:rPr>
        <w:t xml:space="preserve"> </w:t>
      </w:r>
      <w:hyperlink r:id="rId9" w:history="1">
        <w:r w:rsidR="0003770C" w:rsidRPr="009E724C">
          <w:rPr>
            <w:rStyle w:val="Hyperlink"/>
            <w:sz w:val="24"/>
            <w:szCs w:val="24"/>
          </w:rPr>
          <w:t>http://www.maine.gov/mpuc/electricity/rfps/so_solicitations.shtml</w:t>
        </w:r>
      </w:hyperlink>
      <w:r w:rsidR="0003770C">
        <w:rPr>
          <w:sz w:val="24"/>
          <w:szCs w:val="24"/>
        </w:rPr>
        <w:t xml:space="preserve"> </w:t>
      </w:r>
    </w:p>
    <w:p w:rsidR="002B4D9D" w:rsidRDefault="002B4D9D">
      <w:pPr>
        <w:pStyle w:val="BodyTextIndent3"/>
        <w:spacing w:after="0"/>
        <w:jc w:val="left"/>
        <w:rPr>
          <w:color w:val="000080"/>
          <w:sz w:val="20"/>
        </w:rPr>
      </w:pPr>
    </w:p>
    <w:p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xml:space="preserve">).  Inquiries specifically regarding load data should be directed to Angela Monroe at 207-287-1397 or </w:t>
      </w:r>
      <w:hyperlink r:id="rId12" w:history="1">
        <w:r>
          <w:rPr>
            <w:rStyle w:val="Hyperlink"/>
            <w:sz w:val="24"/>
          </w:rPr>
          <w:t>angela.monroe@maine.gov</w:t>
        </w:r>
      </w:hyperlink>
      <w:r>
        <w:rPr>
          <w:sz w:val="24"/>
        </w:rPr>
        <w:t xml:space="preserve"> .</w:t>
      </w:r>
    </w:p>
    <w:p w:rsidR="002B4D9D" w:rsidRDefault="00AE04B6">
      <w:pPr>
        <w:pStyle w:val="BodyTextIndent3"/>
        <w:spacing w:after="0"/>
        <w:jc w:val="left"/>
        <w:rPr>
          <w:sz w:val="24"/>
        </w:rPr>
      </w:pPr>
      <w:hyperlink r:id="rId13" w:history="1"/>
    </w:p>
    <w:p w:rsidR="002B4D9D" w:rsidRDefault="002B4D9D">
      <w:pPr>
        <w:pStyle w:val="BodyTextIndent3"/>
        <w:spacing w:after="0"/>
        <w:ind w:left="0"/>
        <w:jc w:val="left"/>
        <w:rPr>
          <w:b/>
          <w:sz w:val="24"/>
          <w:u w:val="single"/>
        </w:rPr>
      </w:pPr>
      <w:r>
        <w:rPr>
          <w:sz w:val="24"/>
        </w:rPr>
        <w:tab/>
      </w:r>
      <w:r>
        <w:rPr>
          <w:sz w:val="24"/>
        </w:rPr>
        <w:tab/>
      </w:r>
      <w:r>
        <w:rPr>
          <w:b/>
          <w:sz w:val="24"/>
          <w:u w:val="single"/>
        </w:rPr>
        <w:t>Description</w:t>
      </w:r>
    </w:p>
    <w:p w:rsidR="002B4D9D" w:rsidRDefault="002B4D9D">
      <w:pPr>
        <w:pStyle w:val="BodyTextIndent3"/>
        <w:spacing w:after="0"/>
        <w:jc w:val="left"/>
        <w:rPr>
          <w:sz w:val="24"/>
        </w:rPr>
      </w:pPr>
    </w:p>
    <w:p w:rsidR="00A0751B" w:rsidRDefault="007A28AE" w:rsidP="005B0682">
      <w:pPr>
        <w:pStyle w:val="BodyTextIndent3"/>
        <w:spacing w:after="0"/>
        <w:jc w:val="left"/>
        <w:rPr>
          <w:sz w:val="24"/>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 this </w:t>
      </w:r>
      <w:r w:rsidR="00D11F2D">
        <w:rPr>
          <w:sz w:val="24"/>
        </w:rPr>
        <w:t xml:space="preserve">standard offer </w:t>
      </w:r>
      <w:r w:rsidR="00A867B1">
        <w:rPr>
          <w:sz w:val="24"/>
        </w:rPr>
        <w:t>load class for the term January 1, 2016-December 31, 2016.  The supplier(s) selected will serve:</w:t>
      </w:r>
    </w:p>
    <w:p w:rsidR="00A0751B" w:rsidRDefault="008B46CC" w:rsidP="005B0682">
      <w:pPr>
        <w:pStyle w:val="BodyTextIndent3"/>
        <w:numPr>
          <w:ilvl w:val="0"/>
          <w:numId w:val="18"/>
        </w:numPr>
        <w:spacing w:after="0"/>
        <w:jc w:val="left"/>
        <w:rPr>
          <w:sz w:val="24"/>
        </w:rPr>
      </w:pPr>
      <w:r>
        <w:rPr>
          <w:sz w:val="24"/>
        </w:rPr>
        <w:t xml:space="preserve">66% </w:t>
      </w:r>
      <w:r w:rsidR="00D11F2D">
        <w:rPr>
          <w:sz w:val="24"/>
        </w:rPr>
        <w:t xml:space="preserve">of the </w:t>
      </w:r>
      <w:r w:rsidR="00815AA7">
        <w:rPr>
          <w:sz w:val="24"/>
        </w:rPr>
        <w:t>load</w:t>
      </w:r>
      <w:r>
        <w:rPr>
          <w:sz w:val="24"/>
        </w:rPr>
        <w:t xml:space="preserve"> of this class</w:t>
      </w:r>
      <w:r w:rsidR="00A0751B">
        <w:rPr>
          <w:sz w:val="24"/>
        </w:rPr>
        <w:t xml:space="preserve"> from January 1, 2016 to February 29, 2016</w:t>
      </w:r>
      <w:r w:rsidR="00A0751B">
        <w:rPr>
          <w:rStyle w:val="FootnoteReference"/>
          <w:sz w:val="24"/>
        </w:rPr>
        <w:footnoteReference w:id="1"/>
      </w:r>
      <w:r w:rsidR="00A0751B">
        <w:rPr>
          <w:sz w:val="24"/>
        </w:rPr>
        <w:t>, and</w:t>
      </w:r>
    </w:p>
    <w:p w:rsidR="00CA4A45" w:rsidRPr="00A0751B" w:rsidRDefault="00A17C26" w:rsidP="005B0682">
      <w:pPr>
        <w:pStyle w:val="BodyTextIndent3"/>
        <w:numPr>
          <w:ilvl w:val="0"/>
          <w:numId w:val="18"/>
        </w:numPr>
        <w:spacing w:after="0"/>
        <w:jc w:val="left"/>
        <w:rPr>
          <w:sz w:val="24"/>
          <w:u w:val="single"/>
        </w:rPr>
      </w:pPr>
      <w:r w:rsidRPr="00A0751B">
        <w:rPr>
          <w:sz w:val="24"/>
        </w:rPr>
        <w:t xml:space="preserve">100% of the load of this </w:t>
      </w:r>
      <w:r w:rsidR="00A0751B" w:rsidRPr="00A0751B">
        <w:rPr>
          <w:sz w:val="24"/>
        </w:rPr>
        <w:t>class from</w:t>
      </w:r>
      <w:r w:rsidRPr="00A0751B">
        <w:rPr>
          <w:sz w:val="24"/>
        </w:rPr>
        <w:t xml:space="preserve"> March 1, 2016-December 31, 2016</w:t>
      </w:r>
      <w:r w:rsidR="008B46CC" w:rsidRPr="00A0751B">
        <w:rPr>
          <w:sz w:val="24"/>
        </w:rPr>
        <w:t>.</w:t>
      </w:r>
    </w:p>
    <w:p w:rsidR="00CA4A45" w:rsidRDefault="00CA4A45" w:rsidP="00436C0D">
      <w:pPr>
        <w:pStyle w:val="BodyTextIndent3"/>
        <w:spacing w:after="0"/>
        <w:ind w:left="1350" w:hanging="900"/>
        <w:jc w:val="left"/>
        <w:rPr>
          <w:sz w:val="24"/>
        </w:rPr>
      </w:pPr>
    </w:p>
    <w:p w:rsidR="00A0751B" w:rsidRDefault="00A0751B" w:rsidP="008F6940">
      <w:pPr>
        <w:pStyle w:val="BodyTextIndent3"/>
        <w:spacing w:after="0"/>
        <w:jc w:val="left"/>
        <w:rPr>
          <w:sz w:val="24"/>
        </w:rPr>
      </w:pPr>
      <w:r w:rsidRPr="00A0751B">
        <w:rPr>
          <w:sz w:val="24"/>
        </w:rPr>
        <w:t xml:space="preserve">Bids may be submitted for one-third, two-thirds or all of the tranche. </w:t>
      </w:r>
    </w:p>
    <w:p w:rsidR="00A0751B" w:rsidRDefault="00A0751B" w:rsidP="008F6940">
      <w:pPr>
        <w:pStyle w:val="BodyTextIndent3"/>
        <w:spacing w:after="0"/>
        <w:jc w:val="left"/>
        <w:rPr>
          <w:sz w:val="24"/>
        </w:rPr>
      </w:pPr>
    </w:p>
    <w:p w:rsidR="002B4D9D" w:rsidRDefault="00345720" w:rsidP="008F6940">
      <w:pPr>
        <w:pStyle w:val="BodyTextIndent3"/>
        <w:spacing w:after="0"/>
        <w:jc w:val="left"/>
        <w:rPr>
          <w:sz w:val="24"/>
        </w:rPr>
      </w:pPr>
      <w:r>
        <w:rPr>
          <w:sz w:val="24"/>
        </w:rPr>
        <w:t>EM-BHD</w:t>
      </w:r>
      <w:r w:rsidR="002B4D9D">
        <w:rPr>
          <w:sz w:val="24"/>
        </w:rPr>
        <w:t xml:space="preserve">’s residential and small non-residential standard offer customer class (also referred to as the “small standard offer class” or “small class”) includes all residential, small general service and lighting accounts that receive standard offer service, with small general service customers defined as those with a peak demand that generally has not exceeded 20kW.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2.  </w:t>
      </w:r>
      <w:r>
        <w:rPr>
          <w:sz w:val="24"/>
          <w:u w:val="single"/>
        </w:rPr>
        <w:t>Medium Standard Offer Service</w:t>
      </w:r>
      <w:r>
        <w:rPr>
          <w:sz w:val="24"/>
        </w:rPr>
        <w:t xml:space="preserve">- The winning bidder will provide requirements supply service for the loads of </w:t>
      </w:r>
      <w:r w:rsidR="00345720">
        <w:rPr>
          <w:sz w:val="24"/>
        </w:rPr>
        <w:t>EM-BHD</w:t>
      </w:r>
      <w:r>
        <w:rPr>
          <w:sz w:val="24"/>
        </w:rPr>
        <w:t>’s medium standard offer customer</w:t>
      </w:r>
      <w:r w:rsidR="00436C0D">
        <w:rPr>
          <w:sz w:val="24"/>
        </w:rPr>
        <w:t>s</w:t>
      </w:r>
      <w:r>
        <w:rPr>
          <w:sz w:val="24"/>
        </w:rPr>
        <w:t xml:space="preserve">, based on the bidder’s proposal, for a one-year term beginning </w:t>
      </w:r>
      <w:r w:rsidR="00CE61D8">
        <w:rPr>
          <w:sz w:val="24"/>
        </w:rPr>
        <w:t>January 1, 2016</w:t>
      </w:r>
      <w:r>
        <w:rPr>
          <w:sz w:val="24"/>
        </w:rPr>
        <w:t xml:space="preserve">.  </w:t>
      </w:r>
      <w:r w:rsidR="00345720">
        <w:rPr>
          <w:sz w:val="24"/>
        </w:rPr>
        <w:t>EM-BHD</w:t>
      </w:r>
      <w:r>
        <w:rPr>
          <w:sz w:val="24"/>
        </w:rPr>
        <w:t>’s medium class is comprised of general service customers with peak demands generally between 20 kW and 400 kW.</w:t>
      </w:r>
      <w:r w:rsidR="00CA4A45">
        <w:rPr>
          <w:sz w:val="24"/>
        </w:rPr>
        <w:t xml:space="preserve">  Bids may be submitted for 20%, 40%, 60%, 80% and/or 100% of this class.</w:t>
      </w:r>
    </w:p>
    <w:p w:rsidR="002B4D9D" w:rsidRDefault="002B4D9D">
      <w:pPr>
        <w:pStyle w:val="BodyTextIndent3"/>
        <w:spacing w:after="0"/>
        <w:jc w:val="left"/>
        <w:rPr>
          <w:sz w:val="24"/>
        </w:rPr>
      </w:pPr>
    </w:p>
    <w:p w:rsidR="002B4D9D" w:rsidRDefault="002B4D9D">
      <w:pPr>
        <w:pStyle w:val="BodyTextIndent2"/>
        <w:spacing w:after="0"/>
        <w:jc w:val="left"/>
      </w:pPr>
      <w:r>
        <w:t xml:space="preserve">4.  </w:t>
      </w:r>
      <w:r>
        <w:rPr>
          <w:u w:val="single"/>
        </w:rPr>
        <w:t>Large Standard Offer Service</w:t>
      </w:r>
      <w:r>
        <w:t xml:space="preserve">- The winning bidder will provide requirements supply service for 100% of the loads of </w:t>
      </w:r>
      <w:r w:rsidR="00345720">
        <w:t>EM-BHD</w:t>
      </w:r>
      <w:r>
        <w:t>’s large standard offer customer</w:t>
      </w:r>
      <w:r w:rsidR="00436C0D">
        <w:t>s</w:t>
      </w:r>
      <w:r>
        <w:t xml:space="preserve"> for a one-year term beginning </w:t>
      </w:r>
      <w:r w:rsidR="00CE61D8">
        <w:t>January 1, 2016</w:t>
      </w:r>
      <w:r>
        <w:t xml:space="preserve">.  </w:t>
      </w:r>
      <w:r w:rsidR="00345720">
        <w:t>EM-BHD</w:t>
      </w:r>
      <w:r>
        <w:t>’s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t xml:space="preserve">for a description of the structure of indexed bids. </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jc w:val="left"/>
        <w:rPr>
          <w:b/>
          <w:bCs/>
          <w:sz w:val="24"/>
          <w:u w:val="single"/>
        </w:rPr>
      </w:pPr>
      <w:r>
        <w:rPr>
          <w:b/>
          <w:bCs/>
          <w:sz w:val="24"/>
          <w:u w:val="single"/>
        </w:rPr>
        <w:t>Linked Proposals</w:t>
      </w:r>
    </w:p>
    <w:p w:rsidR="002B4D9D" w:rsidRDefault="002B4D9D">
      <w:pPr>
        <w:pStyle w:val="BodyTextIndent3"/>
        <w:spacing w:after="0"/>
        <w:jc w:val="left"/>
        <w:rPr>
          <w:b/>
          <w:bCs/>
          <w:sz w:val="24"/>
          <w:u w:val="single"/>
        </w:rPr>
      </w:pPr>
    </w:p>
    <w:p w:rsidR="00890F99"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w:t>
      </w:r>
      <w:r w:rsidR="00345720">
        <w:rPr>
          <w:sz w:val="24"/>
        </w:rPr>
        <w:t>EM-BHD</w:t>
      </w:r>
      <w:r>
        <w:rPr>
          <w:sz w:val="24"/>
        </w:rPr>
        <w:t xml:space="preserve"> is selling in a concurrent solicitation process.  </w:t>
      </w:r>
      <w:r w:rsidR="00345720">
        <w:rPr>
          <w:sz w:val="24"/>
        </w:rPr>
        <w:t>EM-BHD</w:t>
      </w:r>
      <w:r>
        <w:rPr>
          <w:sz w:val="24"/>
        </w:rPr>
        <w:t>’s RFP is available by contacting</w:t>
      </w:r>
    </w:p>
    <w:p w:rsidR="00890F99" w:rsidRDefault="00890F99">
      <w:pPr>
        <w:pStyle w:val="BodyTextIndent3"/>
        <w:spacing w:after="0"/>
        <w:jc w:val="left"/>
        <w:rPr>
          <w:sz w:val="24"/>
        </w:rPr>
      </w:pPr>
    </w:p>
    <w:p w:rsidR="00890F99" w:rsidRPr="00890F99" w:rsidRDefault="00890F99" w:rsidP="00890F99">
      <w:pPr>
        <w:pStyle w:val="BodyTextIndent3"/>
        <w:spacing w:after="0"/>
        <w:jc w:val="left"/>
        <w:rPr>
          <w:sz w:val="24"/>
        </w:rPr>
      </w:pPr>
      <w:r w:rsidRPr="00890F99">
        <w:rPr>
          <w:sz w:val="24"/>
        </w:rPr>
        <w:t xml:space="preserve">Tim Olesniewicz </w:t>
      </w:r>
    </w:p>
    <w:p w:rsidR="00890F99" w:rsidRPr="00890F99" w:rsidRDefault="00890F99" w:rsidP="00890F99">
      <w:pPr>
        <w:pStyle w:val="BodyTextIndent3"/>
        <w:spacing w:after="0"/>
        <w:jc w:val="left"/>
        <w:rPr>
          <w:sz w:val="24"/>
        </w:rPr>
      </w:pPr>
      <w:r w:rsidRPr="00890F99">
        <w:rPr>
          <w:sz w:val="24"/>
        </w:rPr>
        <w:t>Rate &amp; Regulatory Analyst</w:t>
      </w:r>
    </w:p>
    <w:p w:rsidR="00890F99" w:rsidRPr="00890F99" w:rsidRDefault="00890F99" w:rsidP="00890F99">
      <w:pPr>
        <w:pStyle w:val="BodyTextIndent3"/>
        <w:spacing w:after="0"/>
        <w:jc w:val="left"/>
        <w:rPr>
          <w:sz w:val="24"/>
        </w:rPr>
      </w:pPr>
      <w:r w:rsidRPr="00890F99">
        <w:rPr>
          <w:sz w:val="24"/>
        </w:rPr>
        <w:t>Emera Maine</w:t>
      </w:r>
    </w:p>
    <w:p w:rsidR="00890F99" w:rsidRPr="00890F99" w:rsidRDefault="00890F99" w:rsidP="00890F99">
      <w:pPr>
        <w:pStyle w:val="BodyTextIndent3"/>
        <w:spacing w:after="0"/>
        <w:jc w:val="left"/>
        <w:rPr>
          <w:sz w:val="24"/>
        </w:rPr>
      </w:pPr>
      <w:r w:rsidRPr="00890F99">
        <w:rPr>
          <w:sz w:val="24"/>
        </w:rPr>
        <w:t>970 Illinois Avenue</w:t>
      </w:r>
    </w:p>
    <w:p w:rsidR="00890F99" w:rsidRPr="00890F99" w:rsidRDefault="00890F99" w:rsidP="00890F99">
      <w:pPr>
        <w:pStyle w:val="BodyTextIndent3"/>
        <w:spacing w:after="0"/>
        <w:jc w:val="left"/>
        <w:rPr>
          <w:sz w:val="24"/>
        </w:rPr>
      </w:pPr>
      <w:r w:rsidRPr="00890F99">
        <w:rPr>
          <w:sz w:val="24"/>
        </w:rPr>
        <w:t>Bangor, ME  04401</w:t>
      </w:r>
    </w:p>
    <w:p w:rsidR="00890F99" w:rsidRPr="00890F99" w:rsidRDefault="00890F99" w:rsidP="00890F99">
      <w:pPr>
        <w:pStyle w:val="BodyTextIndent3"/>
        <w:spacing w:after="0"/>
        <w:jc w:val="left"/>
        <w:rPr>
          <w:sz w:val="24"/>
        </w:rPr>
      </w:pPr>
      <w:r w:rsidRPr="00890F99">
        <w:rPr>
          <w:sz w:val="24"/>
        </w:rPr>
        <w:t>E-Mail: (</w:t>
      </w:r>
      <w:hyperlink r:id="rId14" w:history="1">
        <w:r w:rsidRPr="00890F99">
          <w:rPr>
            <w:rStyle w:val="Hyperlink"/>
            <w:sz w:val="24"/>
          </w:rPr>
          <w:t>tim.olesniewicz@emeramaine.com</w:t>
        </w:r>
      </w:hyperlink>
      <w:r w:rsidRPr="00890F99">
        <w:rPr>
          <w:sz w:val="24"/>
        </w:rPr>
        <w:t xml:space="preserve">) </w:t>
      </w:r>
    </w:p>
    <w:p w:rsidR="00890F99" w:rsidRPr="00890F99" w:rsidRDefault="00890F99" w:rsidP="00890F99">
      <w:pPr>
        <w:pStyle w:val="BodyTextIndent3"/>
        <w:spacing w:after="0"/>
        <w:jc w:val="left"/>
        <w:rPr>
          <w:sz w:val="24"/>
        </w:rPr>
      </w:pPr>
      <w:r w:rsidRPr="00890F99">
        <w:rPr>
          <w:sz w:val="24"/>
        </w:rPr>
        <w:t>Telephone: (207) 973-2858</w:t>
      </w:r>
    </w:p>
    <w:p w:rsidR="00890F99" w:rsidRPr="00890F99" w:rsidRDefault="00890F99" w:rsidP="00890F99">
      <w:pPr>
        <w:pStyle w:val="BodyTextIndent3"/>
        <w:spacing w:after="0"/>
        <w:jc w:val="left"/>
        <w:rPr>
          <w:sz w:val="24"/>
        </w:rPr>
      </w:pPr>
      <w:r w:rsidRPr="00890F99">
        <w:rPr>
          <w:sz w:val="24"/>
        </w:rPr>
        <w:t>Facsimile: (207) 947-2980</w:t>
      </w:r>
    </w:p>
    <w:p w:rsidR="002B4D9D" w:rsidRDefault="002B4D9D">
      <w:pPr>
        <w:pStyle w:val="BodyTextIndent3"/>
        <w:spacing w:after="0"/>
        <w:jc w:val="left"/>
        <w:rPr>
          <w:sz w:val="24"/>
        </w:rPr>
      </w:pPr>
      <w:r>
        <w:rPr>
          <w:sz w:val="24"/>
        </w:rPr>
        <w:t xml:space="preserve"> </w:t>
      </w:r>
    </w:p>
    <w:p w:rsidR="006229B9" w:rsidRDefault="00A0751B">
      <w:pPr>
        <w:pStyle w:val="BodyTextIndent3"/>
        <w:spacing w:after="0"/>
        <w:jc w:val="left"/>
        <w:rPr>
          <w:sz w:val="24"/>
        </w:rPr>
      </w:pPr>
      <w:r>
        <w:rPr>
          <w:sz w:val="24"/>
        </w:rPr>
        <w:t xml:space="preserve">Entitlement proposals that are </w:t>
      </w:r>
      <w:r w:rsidRPr="00890F99">
        <w:rPr>
          <w:sz w:val="24"/>
          <w:u w:val="single"/>
        </w:rPr>
        <w:t>linked</w:t>
      </w:r>
      <w:r>
        <w:rPr>
          <w:sz w:val="24"/>
        </w:rPr>
        <w:t xml:space="preserve"> to standard offer </w:t>
      </w:r>
      <w:r w:rsidR="006229B9">
        <w:rPr>
          <w:sz w:val="24"/>
        </w:rPr>
        <w:t>proposals</w:t>
      </w:r>
      <w:r>
        <w:rPr>
          <w:sz w:val="24"/>
        </w:rPr>
        <w:t xml:space="preserve"> must be for the entire </w:t>
      </w:r>
      <w:r w:rsidR="006229B9">
        <w:rPr>
          <w:sz w:val="24"/>
        </w:rPr>
        <w:t xml:space="preserve">package of Entitlements offered by </w:t>
      </w:r>
      <w:r w:rsidR="00345720">
        <w:rPr>
          <w:sz w:val="24"/>
        </w:rPr>
        <w:t>EM-BHD</w:t>
      </w:r>
      <w:r w:rsidR="006229B9">
        <w:rPr>
          <w:sz w:val="24"/>
        </w:rPr>
        <w:t xml:space="preserve"> in the concurrent solicitation.  Bidders may submit different pricing for different </w:t>
      </w:r>
      <w:r w:rsidR="006229B9">
        <w:rPr>
          <w:sz w:val="24"/>
        </w:rPr>
        <w:lastRenderedPageBreak/>
        <w:t xml:space="preserve">entitlement categories as set forth in </w:t>
      </w:r>
      <w:r w:rsidR="00345720">
        <w:rPr>
          <w:sz w:val="24"/>
        </w:rPr>
        <w:t>EM-BHD</w:t>
      </w:r>
      <w:r w:rsidR="006229B9">
        <w:rPr>
          <w:sz w:val="24"/>
        </w:rPr>
        <w:t>’s Request for Bids, but must submit bids for all of the Entitlements offered.</w:t>
      </w:r>
    </w:p>
    <w:p w:rsidR="004F6EC3" w:rsidRDefault="004F6EC3">
      <w:pPr>
        <w:pStyle w:val="BodyTextIndent3"/>
        <w:spacing w:after="0"/>
        <w:jc w:val="left"/>
        <w:rPr>
          <w:sz w:val="24"/>
        </w:rPr>
      </w:pPr>
    </w:p>
    <w:p w:rsidR="002B4D9D" w:rsidRDefault="006229B9">
      <w:pPr>
        <w:pStyle w:val="BodyTextIndent3"/>
        <w:spacing w:after="0"/>
        <w:jc w:val="left"/>
        <w:rPr>
          <w:sz w:val="24"/>
        </w:rPr>
      </w:pPr>
      <w:r>
        <w:rPr>
          <w:sz w:val="24"/>
        </w:rPr>
        <w:t xml:space="preserve">Entitlement proposals that are </w:t>
      </w:r>
      <w:r w:rsidRPr="005B0682">
        <w:rPr>
          <w:sz w:val="24"/>
          <w:u w:val="single"/>
        </w:rPr>
        <w:t>not linked</w:t>
      </w:r>
      <w:r>
        <w:rPr>
          <w:sz w:val="24"/>
        </w:rPr>
        <w:t xml:space="preserve"> to standard offer proposals may be submitted for different Entitlement categories as specified in the </w:t>
      </w:r>
      <w:r w:rsidR="00345720">
        <w:rPr>
          <w:sz w:val="24"/>
        </w:rPr>
        <w:t>EM-BHD</w:t>
      </w:r>
      <w:r>
        <w:rPr>
          <w:sz w:val="24"/>
        </w:rPr>
        <w:t xml:space="preserve"> Request for Bids.  Bidders are not required to submit proposals for the entire Entitlement package in unlinked proposals</w:t>
      </w:r>
      <w:r w:rsidR="00144661">
        <w:rPr>
          <w:sz w:val="24"/>
        </w:rPr>
        <w:t>.</w:t>
      </w:r>
    </w:p>
    <w:p w:rsidR="002B4D9D" w:rsidRDefault="002B4D9D">
      <w:pPr>
        <w:pStyle w:val="BodyTextIndent3"/>
        <w:spacing w:after="0"/>
        <w:ind w:left="2160" w:firstLine="720"/>
        <w:jc w:val="left"/>
        <w:rPr>
          <w:sz w:val="24"/>
        </w:rPr>
      </w:pPr>
    </w:p>
    <w:p w:rsidR="002B4D9D" w:rsidRDefault="002B4D9D">
      <w:pPr>
        <w:pStyle w:val="BodyTextIndent3"/>
        <w:spacing w:after="0"/>
        <w:jc w:val="left"/>
        <w:rPr>
          <w:b/>
          <w:sz w:val="24"/>
          <w:u w:val="single"/>
        </w:rPr>
      </w:pPr>
      <w:r>
        <w:rPr>
          <w:b/>
          <w:sz w:val="24"/>
          <w:u w:val="single"/>
        </w:rPr>
        <w:t>Principal Evaluation Criteria</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Proposals will be evaluated on the basis of overall value to </w:t>
      </w:r>
      <w:r w:rsidR="00345720">
        <w:rPr>
          <w:sz w:val="24"/>
        </w:rPr>
        <w:t>EM-BHD</w:t>
      </w:r>
      <w:r>
        <w:rPr>
          <w:sz w:val="24"/>
        </w:rPr>
        <w:t xml:space="preserve"> customers.  In the context of Linked Standard Offer/Entitlement Proposals, this includes both the cost of standard offer service and the value from the entitlement sale.  </w:t>
      </w:r>
    </w:p>
    <w:p w:rsidR="002B4D9D" w:rsidRDefault="002B4D9D">
      <w:pPr>
        <w:pStyle w:val="BodyTextIndent3"/>
        <w:spacing w:after="0"/>
        <w:jc w:val="left"/>
        <w:rPr>
          <w:sz w:val="24"/>
        </w:rPr>
      </w:pPr>
    </w:p>
    <w:p w:rsidR="002B4D9D" w:rsidRDefault="002B4D9D">
      <w:pPr>
        <w:pStyle w:val="BodyTextIndent3"/>
        <w:spacing w:after="0"/>
        <w:ind w:left="0"/>
        <w:jc w:val="left"/>
        <w:rPr>
          <w:sz w:val="24"/>
        </w:rPr>
      </w:pPr>
    </w:p>
    <w:p w:rsidR="002B4D9D" w:rsidRDefault="002B4D9D">
      <w:pPr>
        <w:pStyle w:val="BodyTextIndent2"/>
        <w:spacing w:after="0"/>
        <w:ind w:left="720"/>
        <w:jc w:val="left"/>
        <w:rPr>
          <w:b/>
        </w:rPr>
      </w:pPr>
      <w:r>
        <w:rPr>
          <w:b/>
        </w:rPr>
        <w:t>1.2</w:t>
      </w:r>
      <w:r>
        <w:rPr>
          <w:b/>
        </w:rPr>
        <w:tab/>
        <w:t>Description of Service Area and Customer Class</w:t>
      </w:r>
    </w:p>
    <w:p w:rsidR="002B4D9D" w:rsidRDefault="002B4D9D">
      <w:pPr>
        <w:pStyle w:val="BodyTextIndent2"/>
        <w:spacing w:after="0"/>
        <w:ind w:left="720"/>
        <w:jc w:val="left"/>
        <w:rPr>
          <w:b/>
        </w:rPr>
      </w:pPr>
    </w:p>
    <w:p w:rsidR="00890F99" w:rsidRDefault="00345720" w:rsidP="00890F99">
      <w:pPr>
        <w:pStyle w:val="BodyTextIndent2"/>
        <w:spacing w:after="0"/>
        <w:jc w:val="left"/>
        <w:rPr>
          <w:b/>
          <w:bCs/>
        </w:rPr>
      </w:pPr>
      <w:r>
        <w:t>EM-BHD</w:t>
      </w:r>
      <w:r w:rsidR="002B4D9D">
        <w:t xml:space="preserve">’s </w:t>
      </w:r>
      <w:r w:rsidR="00890F99" w:rsidRPr="001F24CF">
        <w:t>service territory covers 5,275 square miles in eastern and east-coastal Maine and is within the New England Independent System Operator (ISO</w:t>
      </w:r>
      <w:r w:rsidR="00890F99" w:rsidRPr="001F24CF">
        <w:noBreakHyphen/>
        <w:t xml:space="preserve">NE) control area.  </w:t>
      </w:r>
    </w:p>
    <w:p w:rsidR="00890F99" w:rsidRPr="001F24CF" w:rsidRDefault="00890F99" w:rsidP="00890F99">
      <w:pPr>
        <w:pStyle w:val="BodyTextIndent2"/>
        <w:spacing w:after="0"/>
        <w:jc w:val="left"/>
        <w:rPr>
          <w:b/>
          <w:bCs/>
        </w:rPr>
      </w:pPr>
    </w:p>
    <w:p w:rsidR="00890F99" w:rsidRPr="001F24CF" w:rsidRDefault="00890F99" w:rsidP="00890F99">
      <w:pPr>
        <w:pStyle w:val="BodyTextIndent2"/>
        <w:spacing w:after="0"/>
        <w:jc w:val="left"/>
      </w:pPr>
      <w:r w:rsidRPr="001F24CF">
        <w:t xml:space="preserve">EM currently serves about </w:t>
      </w:r>
      <w:r w:rsidRPr="00107E18">
        <w:t>123,000</w:t>
      </w:r>
      <w:r w:rsidRPr="001F24CF">
        <w:t xml:space="preserve"> residential</w:t>
      </w:r>
      <w:r>
        <w:t xml:space="preserve"> and</w:t>
      </w:r>
      <w:r w:rsidRPr="001F24CF">
        <w:t xml:space="preserve"> small non-residential</w:t>
      </w:r>
      <w:r w:rsidRPr="00291BF8">
        <w:t xml:space="preserve"> accounts.  Retail sales to these customers in calendar year 201</w:t>
      </w:r>
      <w:r>
        <w:t>4</w:t>
      </w:r>
      <w:r w:rsidRPr="001F24CF">
        <w:t xml:space="preserve"> were about </w:t>
      </w:r>
      <w:r w:rsidR="00107E18">
        <w:t>786</w:t>
      </w:r>
      <w:r w:rsidRPr="00107E18">
        <w:t>,000</w:t>
      </w:r>
      <w:r w:rsidRPr="001F24CF">
        <w:t xml:space="preserve"> megawatt-hours of which approximately</w:t>
      </w:r>
      <w:r w:rsidR="00107E18">
        <w:t xml:space="preserve"> 89%</w:t>
      </w:r>
      <w:r w:rsidRPr="001F24CF">
        <w:t xml:space="preserve"> currently receives standard offer service</w:t>
      </w:r>
      <w:r>
        <w:t>; the remainder is supplied by competitive suppliers.</w:t>
      </w:r>
      <w:r w:rsidRPr="001F24CF">
        <w:t xml:space="preserve">  </w:t>
      </w:r>
    </w:p>
    <w:p w:rsidR="00890F99" w:rsidRPr="00291BF8" w:rsidRDefault="00890F99" w:rsidP="00890F99">
      <w:pPr>
        <w:pStyle w:val="BodyTextIndent2"/>
        <w:spacing w:after="0"/>
        <w:jc w:val="left"/>
        <w:rPr>
          <w:highlight w:val="yellow"/>
        </w:rPr>
      </w:pPr>
    </w:p>
    <w:p w:rsidR="00890F99" w:rsidRPr="001F24CF" w:rsidRDefault="00890F99" w:rsidP="00890F99">
      <w:pPr>
        <w:pStyle w:val="BodyTextIndent2"/>
        <w:spacing w:after="0"/>
        <w:jc w:val="left"/>
      </w:pPr>
      <w:r w:rsidRPr="001F24CF">
        <w:t>EM’s retail sales to medium non</w:t>
      </w:r>
      <w:r w:rsidRPr="001F24CF">
        <w:noBreakHyphen/>
        <w:t>residential customers in calendar year 201</w:t>
      </w:r>
      <w:r>
        <w:t>4</w:t>
      </w:r>
      <w:r w:rsidRPr="001F24CF">
        <w:t xml:space="preserve"> were about</w:t>
      </w:r>
      <w:r w:rsidR="00107E18">
        <w:t xml:space="preserve"> 443,000</w:t>
      </w:r>
      <w:r w:rsidRPr="001F24CF">
        <w:t xml:space="preserve"> megawatt-hours.  Currently</w:t>
      </w:r>
      <w:r w:rsidR="003B320B">
        <w:t xml:space="preserve"> about 33%</w:t>
      </w:r>
      <w:r w:rsidRPr="001F24CF">
        <w:t xml:space="preserve"> of the load of these customers receives standard offer service</w:t>
      </w:r>
      <w:r>
        <w:t>.</w:t>
      </w:r>
      <w:r w:rsidRPr="001F24CF">
        <w:t xml:space="preserve">  </w:t>
      </w:r>
    </w:p>
    <w:p w:rsidR="00890F99" w:rsidRPr="00291BF8" w:rsidRDefault="00890F99" w:rsidP="00890F99">
      <w:pPr>
        <w:pStyle w:val="BodyTextIndent2"/>
        <w:spacing w:after="0"/>
        <w:jc w:val="left"/>
        <w:rPr>
          <w:highlight w:val="yellow"/>
        </w:rPr>
      </w:pPr>
    </w:p>
    <w:p w:rsidR="00890F99" w:rsidRDefault="00890F99" w:rsidP="00890F99">
      <w:pPr>
        <w:pStyle w:val="BodyTextIndent2"/>
        <w:spacing w:after="0"/>
        <w:jc w:val="left"/>
      </w:pPr>
      <w:r w:rsidRPr="001F24CF">
        <w:t>EM’s retail sales to large non</w:t>
      </w:r>
      <w:r w:rsidRPr="001F24CF">
        <w:noBreakHyphen/>
        <w:t>residential customers in 201</w:t>
      </w:r>
      <w:r>
        <w:t>4</w:t>
      </w:r>
      <w:r w:rsidRPr="001F24CF">
        <w:t xml:space="preserve"> were about</w:t>
      </w:r>
      <w:r w:rsidR="00107E18">
        <w:t xml:space="preserve"> 291,000</w:t>
      </w:r>
      <w:r w:rsidRPr="00107E18">
        <w:t xml:space="preserve"> megawatt</w:t>
      </w:r>
      <w:r w:rsidRPr="001F24CF">
        <w:t>-hours.  About</w:t>
      </w:r>
      <w:r w:rsidR="003B320B">
        <w:t xml:space="preserve"> 3.4%</w:t>
      </w:r>
      <w:r w:rsidRPr="001F24CF">
        <w:t xml:space="preserve"> of the load of this group of customers currently receives standard offer service.</w:t>
      </w:r>
    </w:p>
    <w:p w:rsidR="002B4D9D" w:rsidRPr="00714265" w:rsidRDefault="002B4D9D">
      <w:pPr>
        <w:pStyle w:val="BodyTextIndent2"/>
        <w:spacing w:after="0"/>
        <w:jc w:val="left"/>
      </w:pPr>
    </w:p>
    <w:p w:rsidR="002B4D9D" w:rsidRDefault="002B4D9D" w:rsidP="0003770C">
      <w:pPr>
        <w:pStyle w:val="BodyTextIndent2"/>
        <w:spacing w:after="0"/>
        <w:jc w:val="left"/>
      </w:pPr>
      <w:r w:rsidRPr="00714265">
        <w:t>Appendix E includes detailed electricity usage data for calendar year 201</w:t>
      </w:r>
      <w:r w:rsidR="00B555E6">
        <w:t>4</w:t>
      </w:r>
      <w:r w:rsidRPr="004755EA">
        <w:t xml:space="preserve"> and year-to date 201</w:t>
      </w:r>
      <w:r w:rsidR="00B555E6">
        <w:t>5</w:t>
      </w:r>
      <w:r w:rsidRPr="004755EA">
        <w:t>.</w:t>
      </w:r>
      <w:r>
        <w:t xml:space="preserve">   Additional and more current load data, including hourly loads, settlement loads, and ICAP tags is available at </w:t>
      </w:r>
      <w:hyperlink r:id="rId15" w:history="1">
        <w:r w:rsidR="0003770C" w:rsidRPr="009E724C">
          <w:rPr>
            <w:rStyle w:val="Hyperlink"/>
          </w:rPr>
          <w:t>http://www.maine.gov/mpuc/electricity/rfps/so_solicitations.shtml</w:t>
        </w:r>
      </w:hyperlink>
      <w:r w:rsidR="0003770C">
        <w:t xml:space="preserve"> </w:t>
      </w:r>
    </w:p>
    <w:p w:rsidR="002B4D9D" w:rsidRDefault="002B4D9D">
      <w:pPr>
        <w:pStyle w:val="BodyTextIndent2"/>
        <w:spacing w:after="0"/>
        <w:jc w:val="left"/>
      </w:pPr>
    </w:p>
    <w:p w:rsidR="002B4D9D" w:rsidRDefault="002B4D9D">
      <w:pPr>
        <w:pStyle w:val="BodyTextIndent2"/>
        <w:spacing w:after="0"/>
        <w:ind w:left="0"/>
        <w:jc w:val="left"/>
      </w:pPr>
    </w:p>
    <w:p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rsidR="002B4D9D" w:rsidRDefault="002B4D9D">
      <w:pPr>
        <w:pStyle w:val="BodyTextIndent2"/>
        <w:spacing w:after="0"/>
        <w:jc w:val="left"/>
      </w:pPr>
    </w:p>
    <w:p w:rsidR="002B4D9D" w:rsidRDefault="002B4D9D">
      <w:pPr>
        <w:pStyle w:val="BodyTextIndent2"/>
        <w:spacing w:after="0"/>
        <w:jc w:val="left"/>
      </w:pPr>
      <w:r>
        <w:t>1.3.1 Standard Offer Service</w:t>
      </w:r>
    </w:p>
    <w:p w:rsidR="002B4D9D" w:rsidRDefault="002B4D9D">
      <w:pPr>
        <w:pStyle w:val="BodyTextIndent2"/>
        <w:spacing w:after="0"/>
        <w:jc w:val="left"/>
      </w:pPr>
    </w:p>
    <w:p w:rsidR="002B4D9D" w:rsidRDefault="002B4D9D">
      <w:pPr>
        <w:pStyle w:val="BodyTextIndent2"/>
        <w:spacing w:after="0"/>
        <w:jc w:val="left"/>
      </w:pPr>
      <w:r>
        <w:lastRenderedPageBreak/>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6" w:history="1">
        <w:r>
          <w:rPr>
            <w:rStyle w:val="Hyperlink"/>
          </w:rPr>
          <w:t>www.maine.gov/mpuc</w:t>
        </w:r>
      </w:hyperlink>
      <w:r>
        <w:t xml:space="preserve"> </w:t>
      </w:r>
    </w:p>
    <w:p w:rsidR="002B4D9D" w:rsidRDefault="002B4D9D">
      <w:pPr>
        <w:pStyle w:val="BodyTextIndent2"/>
        <w:spacing w:after="0"/>
        <w:jc w:val="left"/>
      </w:pPr>
    </w:p>
    <w:p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2B4D9D" w:rsidRDefault="002B4D9D">
      <w:pPr>
        <w:pStyle w:val="BodyTextIndent2"/>
        <w:spacing w:after="0"/>
        <w:jc w:val="left"/>
      </w:pPr>
    </w:p>
    <w:p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2B4D9D" w:rsidRDefault="002B4D9D">
      <w:pPr>
        <w:pStyle w:val="BodyTextIndent2"/>
        <w:spacing w:after="0"/>
        <w:jc w:val="left"/>
      </w:pPr>
    </w:p>
    <w:p w:rsidR="00B555E6"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p>
    <w:p w:rsidR="00B555E6" w:rsidRDefault="00B555E6" w:rsidP="00622B90">
      <w:pPr>
        <w:pStyle w:val="BodyTextIndent2"/>
        <w:spacing w:after="0"/>
        <w:jc w:val="left"/>
      </w:pPr>
    </w:p>
    <w:p w:rsidR="002B4D9D" w:rsidRDefault="00622B90">
      <w:pPr>
        <w:pStyle w:val="BodyTextIndent2"/>
        <w:spacing w:after="0"/>
        <w:jc w:val="left"/>
      </w:pPr>
      <w:r>
        <w:t xml:space="preserve">Note that for the residential/small </w:t>
      </w:r>
      <w:r w:rsidR="00746C98">
        <w:t>non-</w:t>
      </w:r>
      <w:r>
        <w:t>residential class</w:t>
      </w:r>
      <w:r w:rsidR="00B555E6">
        <w:t>, for January and February, 2016</w:t>
      </w:r>
      <w:r>
        <w:t xml:space="preserve">, in setting the retail standard offer price, the winning bid(s) from this RFP will be blended with the existing 34% load tranche, which is priced at </w:t>
      </w:r>
      <w:r w:rsidRPr="004260B0">
        <w:t>$0</w:t>
      </w:r>
      <w:r w:rsidRPr="004F6EC3">
        <w:t>.0</w:t>
      </w:r>
      <w:r w:rsidR="003B320B" w:rsidRPr="004F6EC3">
        <w:t>6526</w:t>
      </w:r>
      <w:r w:rsidRPr="004F6EC3">
        <w:t>/kWh</w:t>
      </w:r>
      <w:r w:rsidRPr="004260B0">
        <w:t>.</w:t>
      </w:r>
      <w:r>
        <w:t xml:space="preserve"> This blending will not affect the amounts paid to winning bidders</w:t>
      </w:r>
      <w:r w:rsidR="00C738C0">
        <w:t>.</w:t>
      </w:r>
    </w:p>
    <w:p w:rsidR="00675FA0" w:rsidRDefault="00675FA0">
      <w:pPr>
        <w:pStyle w:val="BodyTextIndent2"/>
        <w:spacing w:after="0"/>
        <w:jc w:val="left"/>
      </w:pPr>
    </w:p>
    <w:p w:rsidR="002B4D9D" w:rsidRDefault="002B4D9D">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2B4D9D" w:rsidRDefault="002B4D9D">
      <w:pPr>
        <w:pStyle w:val="BodyTextIndent3"/>
        <w:spacing w:after="0"/>
        <w:ind w:left="0"/>
        <w:jc w:val="left"/>
        <w:rPr>
          <w:sz w:val="24"/>
        </w:rPr>
      </w:pPr>
    </w:p>
    <w:p w:rsidR="002B4D9D" w:rsidRDefault="00345720">
      <w:pPr>
        <w:pStyle w:val="BodyTextIndent3"/>
        <w:spacing w:after="0"/>
        <w:jc w:val="left"/>
        <w:rPr>
          <w:sz w:val="24"/>
        </w:rPr>
      </w:pPr>
      <w:r>
        <w:rPr>
          <w:sz w:val="24"/>
        </w:rPr>
        <w:t>EM-BHD</w:t>
      </w:r>
      <w:r w:rsidR="002B4D9D">
        <w:rPr>
          <w:sz w:val="24"/>
        </w:rPr>
        <w:t xml:space="preserve"> will bill and collect from customers on behalf of the standard offer provider.  The Standard Service Agreement that governs these billing arrangements and other matters between the provider and </w:t>
      </w:r>
      <w:r>
        <w:rPr>
          <w:sz w:val="24"/>
        </w:rPr>
        <w:t>EM-BHD</w:t>
      </w:r>
      <w:r w:rsidR="002B4D9D">
        <w:rPr>
          <w:sz w:val="24"/>
        </w:rPr>
        <w:t xml:space="preserve"> is provided as Appendix C.  </w:t>
      </w:r>
      <w:r>
        <w:rPr>
          <w:sz w:val="24"/>
        </w:rPr>
        <w:t>EM-BHD</w:t>
      </w:r>
      <w:r w:rsidR="002B4D9D">
        <w:rPr>
          <w:sz w:val="24"/>
        </w:rPr>
        <w:t xml:space="preserve"> charges for the services it provides in accordance with Commission-approved Terms &amp; Conditions.  (See Appendix D.)  Bidders may propose changes to the Standard Agreement and submit them for consideration.</w:t>
      </w:r>
    </w:p>
    <w:p w:rsidR="002B4D9D" w:rsidRDefault="002B4D9D">
      <w:pPr>
        <w:pStyle w:val="BodyTextIndent3"/>
        <w:numPr>
          <w:ilvl w:val="12"/>
          <w:numId w:val="0"/>
        </w:numPr>
        <w:spacing w:after="0"/>
        <w:rPr>
          <w:b/>
          <w:bCs/>
          <w:sz w:val="24"/>
        </w:rPr>
      </w:pPr>
    </w:p>
    <w:p w:rsidR="002B4D9D" w:rsidRDefault="002B4D9D">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4F6EC3" w:rsidRDefault="004F6EC3">
      <w:pPr>
        <w:pStyle w:val="BodyTextIndent3"/>
        <w:spacing w:after="0"/>
        <w:jc w:val="left"/>
        <w:rPr>
          <w:sz w:val="24"/>
        </w:rPr>
      </w:pPr>
    </w:p>
    <w:p w:rsidR="002B4D9D" w:rsidRDefault="002B4D9D">
      <w:pPr>
        <w:pStyle w:val="BodyTextIndent3"/>
        <w:numPr>
          <w:ilvl w:val="12"/>
          <w:numId w:val="0"/>
        </w:numPr>
        <w:spacing w:after="0"/>
        <w:rPr>
          <w:b/>
          <w:bCs/>
          <w:sz w:val="24"/>
        </w:rPr>
      </w:pPr>
      <w:r>
        <w:rPr>
          <w:b/>
          <w:bCs/>
          <w:sz w:val="24"/>
        </w:rPr>
        <w:lastRenderedPageBreak/>
        <w:t>2.</w:t>
      </w:r>
      <w:r>
        <w:rPr>
          <w:b/>
          <w:bCs/>
          <w:sz w:val="24"/>
        </w:rPr>
        <w:tab/>
        <w:t>PROCESS AND SCHEDULE</w:t>
      </w:r>
    </w:p>
    <w:p w:rsidR="002B4D9D" w:rsidRDefault="002B4D9D">
      <w:pPr>
        <w:pStyle w:val="BodyTextIndent3"/>
        <w:numPr>
          <w:ilvl w:val="12"/>
          <w:numId w:val="0"/>
        </w:numPr>
        <w:spacing w:after="0"/>
        <w:rPr>
          <w:b/>
          <w:bCs/>
          <w:sz w:val="24"/>
        </w:rPr>
      </w:pPr>
    </w:p>
    <w:p w:rsidR="002B4D9D" w:rsidRDefault="002B4D9D">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2B4D9D" w:rsidRDefault="002B4D9D">
      <w:pPr>
        <w:pStyle w:val="BodyTextIndent3"/>
        <w:spacing w:after="0"/>
        <w:ind w:left="720" w:firstLine="720"/>
        <w:rPr>
          <w:sz w:val="24"/>
        </w:rPr>
      </w:pPr>
    </w:p>
    <w:p w:rsidR="002B4D9D" w:rsidRDefault="002B4D9D">
      <w:pPr>
        <w:pStyle w:val="Heading5"/>
      </w:pPr>
      <w:r>
        <w:t xml:space="preserve">Initial proposals with indicative </w:t>
      </w:r>
      <w:r>
        <w:tab/>
      </w:r>
      <w:r>
        <w:tab/>
      </w:r>
      <w:r>
        <w:tab/>
      </w:r>
      <w:r w:rsidR="00B555E6">
        <w:t>October 6, 2015</w:t>
      </w:r>
    </w:p>
    <w:p w:rsidR="002B4D9D" w:rsidRDefault="002B4D9D">
      <w:pPr>
        <w:pStyle w:val="Heading5"/>
      </w:pPr>
      <w:r>
        <w:t>prices submitted</w:t>
      </w:r>
      <w:r>
        <w:tab/>
        <w:t xml:space="preserve"> </w:t>
      </w:r>
      <w:r>
        <w:tab/>
      </w:r>
      <w:r>
        <w:tab/>
      </w:r>
      <w:r>
        <w:tab/>
      </w:r>
      <w:r>
        <w:tab/>
      </w:r>
      <w:r>
        <w:rPr>
          <w:rFonts w:cs="Arial"/>
        </w:rPr>
        <w:t>(by 4:00 p.m. EPT)</w:t>
      </w:r>
    </w:p>
    <w:p w:rsidR="002B4D9D" w:rsidRDefault="002B4D9D">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2B4D9D" w:rsidRDefault="002B4D9D">
      <w:pPr>
        <w:ind w:left="720" w:firstLine="720"/>
        <w:rPr>
          <w:rFonts w:ascii="Arial" w:hAnsi="Arial"/>
          <w:sz w:val="24"/>
        </w:rPr>
      </w:pPr>
      <w:r>
        <w:rPr>
          <w:rFonts w:ascii="Arial" w:hAnsi="Arial"/>
          <w:sz w:val="24"/>
        </w:rPr>
        <w:tab/>
      </w:r>
    </w:p>
    <w:p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October 7, 2015</w:t>
      </w:r>
    </w:p>
    <w:p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2B4D9D" w:rsidRDefault="002B4D9D">
      <w:pPr>
        <w:ind w:left="1440" w:firstLine="720"/>
        <w:rPr>
          <w:rFonts w:ascii="Arial" w:hAnsi="Arial"/>
          <w:i/>
          <w:iCs/>
          <w:sz w:val="24"/>
        </w:rPr>
      </w:pPr>
      <w:r>
        <w:rPr>
          <w:rFonts w:ascii="Arial" w:hAnsi="Arial"/>
          <w:i/>
          <w:iCs/>
          <w:sz w:val="24"/>
        </w:rPr>
        <w:t>bidders as determined by</w:t>
      </w:r>
    </w:p>
    <w:p w:rsidR="002B4D9D" w:rsidRDefault="002B4D9D">
      <w:pPr>
        <w:ind w:left="1440" w:firstLine="720"/>
        <w:rPr>
          <w:rFonts w:ascii="Arial" w:hAnsi="Arial"/>
          <w:sz w:val="24"/>
        </w:rPr>
      </w:pPr>
      <w:r>
        <w:rPr>
          <w:rFonts w:ascii="Arial" w:hAnsi="Arial"/>
          <w:i/>
          <w:iCs/>
          <w:sz w:val="24"/>
        </w:rPr>
        <w:t xml:space="preserve"> indicative prices.)</w:t>
      </w:r>
    </w:p>
    <w:p w:rsidR="002B4D9D" w:rsidRDefault="002B4D9D">
      <w:pPr>
        <w:pStyle w:val="Heading5"/>
      </w:pPr>
    </w:p>
    <w:p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2B4D9D" w:rsidRDefault="002B4D9D">
      <w:pPr>
        <w:rPr>
          <w:rFonts w:ascii="Arial" w:hAnsi="Arial"/>
          <w:sz w:val="24"/>
        </w:rPr>
      </w:pPr>
      <w:r>
        <w:rPr>
          <w:rFonts w:ascii="Arial" w:hAnsi="Arial"/>
          <w:sz w:val="24"/>
        </w:rPr>
        <w:tab/>
      </w:r>
      <w:r>
        <w:rPr>
          <w:rFonts w:ascii="Arial" w:hAnsi="Arial"/>
          <w:sz w:val="24"/>
        </w:rPr>
        <w:tab/>
        <w:t xml:space="preserve">Commission Decision </w:t>
      </w:r>
    </w:p>
    <w:p w:rsidR="002B4D9D" w:rsidRDefault="002B4D9D">
      <w:pPr>
        <w:rPr>
          <w:rFonts w:ascii="Arial" w:hAnsi="Arial"/>
          <w:sz w:val="24"/>
        </w:rPr>
      </w:pPr>
    </w:p>
    <w:p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2B4D9D" w:rsidRDefault="002B4D9D">
      <w:pPr>
        <w:ind w:left="6480" w:hanging="5040"/>
        <w:rPr>
          <w:rFonts w:ascii="Arial" w:hAnsi="Arial"/>
          <w:sz w:val="24"/>
        </w:rPr>
      </w:pPr>
    </w:p>
    <w:p w:rsidR="002B4D9D" w:rsidRDefault="002B4D9D">
      <w:pPr>
        <w:pStyle w:val="Heading8"/>
        <w:jc w:val="left"/>
      </w:pPr>
      <w:r>
        <w:t>Execution of Standard</w:t>
      </w:r>
      <w:r>
        <w:tab/>
      </w:r>
      <w:r>
        <w:tab/>
      </w:r>
      <w:r>
        <w:tab/>
      </w:r>
      <w:r>
        <w:tab/>
        <w:t xml:space="preserve">Within 24 hours of </w:t>
      </w:r>
    </w:p>
    <w:p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2B4D9D" w:rsidRDefault="002B4D9D">
      <w:pPr>
        <w:ind w:left="720" w:firstLine="720"/>
        <w:rPr>
          <w:rFonts w:ascii="Arial" w:hAnsi="Arial"/>
          <w:sz w:val="24"/>
        </w:rPr>
      </w:pPr>
    </w:p>
    <w:p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rsidR="002B4D9D" w:rsidRDefault="002B4D9D">
      <w:pPr>
        <w:ind w:left="5760" w:firstLine="720"/>
        <w:rPr>
          <w:rFonts w:ascii="Arial" w:hAnsi="Arial"/>
          <w:sz w:val="24"/>
        </w:rPr>
      </w:pPr>
      <w:r>
        <w:rPr>
          <w:rFonts w:ascii="Arial" w:hAnsi="Arial"/>
          <w:sz w:val="24"/>
        </w:rPr>
        <w:t xml:space="preserve">Commission Decision (at </w:t>
      </w:r>
    </w:p>
    <w:p w:rsidR="002B4D9D" w:rsidRDefault="002B4D9D">
      <w:pPr>
        <w:ind w:left="5760" w:firstLine="720"/>
        <w:rPr>
          <w:rFonts w:ascii="Arial" w:hAnsi="Arial"/>
          <w:sz w:val="24"/>
        </w:rPr>
      </w:pPr>
      <w:r>
        <w:rPr>
          <w:rFonts w:ascii="Arial" w:hAnsi="Arial"/>
          <w:sz w:val="24"/>
        </w:rPr>
        <w:t>provider’s request)</w:t>
      </w:r>
    </w:p>
    <w:p w:rsidR="002B4D9D" w:rsidRDefault="002B4D9D">
      <w:pPr>
        <w:rPr>
          <w:rFonts w:ascii="Arial" w:hAnsi="Arial"/>
          <w:sz w:val="24"/>
        </w:rPr>
      </w:pPr>
    </w:p>
    <w:p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January 1, 2016</w:t>
      </w:r>
      <w:r>
        <w:rPr>
          <w:rFonts w:ascii="Arial" w:hAnsi="Arial"/>
          <w:sz w:val="24"/>
        </w:rPr>
        <w:tab/>
      </w:r>
    </w:p>
    <w:p w:rsidR="002B4D9D" w:rsidRDefault="002B4D9D">
      <w:pPr>
        <w:rPr>
          <w:rFonts w:ascii="Arial" w:hAnsi="Arial"/>
          <w:sz w:val="24"/>
        </w:rPr>
      </w:pPr>
    </w:p>
    <w:p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2B4D9D" w:rsidRDefault="002B4D9D">
      <w:pPr>
        <w:jc w:val="both"/>
        <w:rPr>
          <w:rFonts w:ascii="Arial" w:hAnsi="Arial"/>
          <w:sz w:val="24"/>
        </w:rPr>
      </w:pPr>
    </w:p>
    <w:p w:rsidR="002B4D9D" w:rsidRDefault="002B4D9D">
      <w:pPr>
        <w:pStyle w:val="BodyText2"/>
        <w:ind w:left="720"/>
      </w:pPr>
      <w:r>
        <w:rPr>
          <w:b/>
        </w:rPr>
        <w:t>2.1</w:t>
      </w:r>
      <w:r>
        <w:rPr>
          <w:b/>
        </w:rPr>
        <w:tab/>
        <w:t>Submission of Proposals</w:t>
      </w:r>
    </w:p>
    <w:p w:rsidR="002B4D9D" w:rsidRDefault="002B4D9D">
      <w:pPr>
        <w:pStyle w:val="BodyText2"/>
        <w:ind w:left="720" w:firstLine="720"/>
      </w:pPr>
    </w:p>
    <w:p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7" w:history="1">
        <w:r w:rsidR="0003770C" w:rsidRPr="009E724C">
          <w:rPr>
            <w:rStyle w:val="Hyperlink"/>
          </w:rPr>
          <w:t>http://www.maine.gov/mpuc/electricity/rfps/so_solicitations.shtml</w:t>
        </w:r>
      </w:hyperlink>
      <w:r>
        <w:t xml:space="preserve">  or otherwise communicated to bidders.</w:t>
      </w:r>
    </w:p>
    <w:p w:rsidR="002B4D9D" w:rsidRDefault="002B4D9D">
      <w:pPr>
        <w:pStyle w:val="BodyText2"/>
        <w:ind w:left="1440"/>
        <w:jc w:val="left"/>
        <w:rPr>
          <w:b/>
          <w:bCs/>
        </w:rPr>
      </w:pPr>
    </w:p>
    <w:p w:rsidR="002B4D9D" w:rsidRDefault="002B4D9D">
      <w:pPr>
        <w:pStyle w:val="BodyText2"/>
        <w:ind w:left="1440"/>
        <w:jc w:val="left"/>
      </w:pPr>
    </w:p>
    <w:p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rsidR="002B4D9D" w:rsidRDefault="002B4D9D"/>
    <w:p w:rsidR="002B4D9D" w:rsidRDefault="002B4D9D">
      <w:pPr>
        <w:pStyle w:val="BodyTextIndent3"/>
        <w:spacing w:after="0"/>
        <w:ind w:left="810"/>
        <w:jc w:val="left"/>
        <w:rPr>
          <w:sz w:val="24"/>
        </w:rPr>
      </w:pPr>
      <w:r>
        <w:rPr>
          <w:sz w:val="24"/>
        </w:rPr>
        <w:t>The following items should be included in the Initial proposals.</w:t>
      </w:r>
    </w:p>
    <w:p w:rsidR="002B4D9D" w:rsidRDefault="002B4D9D">
      <w:pPr>
        <w:pStyle w:val="BodyTextIndent3"/>
        <w:spacing w:after="0"/>
        <w:ind w:left="810"/>
        <w:jc w:val="left"/>
        <w:rPr>
          <w:sz w:val="24"/>
        </w:rPr>
      </w:pPr>
    </w:p>
    <w:p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rsidR="002B4D9D" w:rsidRDefault="002B4D9D">
      <w:pPr>
        <w:ind w:left="1440" w:hanging="720"/>
        <w:rPr>
          <w:rFonts w:ascii="Arial" w:hAnsi="Arial"/>
          <w:b/>
          <w:bCs/>
          <w:sz w:val="24"/>
        </w:rPr>
      </w:pPr>
    </w:p>
    <w:p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2B4D9D" w:rsidRDefault="002B4D9D">
      <w:pPr>
        <w:rPr>
          <w:rFonts w:ascii="Arial" w:hAnsi="Arial"/>
          <w:sz w:val="24"/>
        </w:rPr>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2B4D9D" w:rsidRDefault="002B4D9D">
      <w:pPr>
        <w:rPr>
          <w:rFonts w:ascii="Arial" w:hAnsi="Arial"/>
          <w:b/>
          <w:bCs/>
          <w:sz w:val="24"/>
        </w:rPr>
      </w:pPr>
    </w:p>
    <w:p w:rsidR="002B4D9D" w:rsidRDefault="002B4D9D">
      <w:pPr>
        <w:tabs>
          <w:tab w:val="left" w:pos="450"/>
        </w:tabs>
        <w:ind w:left="1440"/>
        <w:rPr>
          <w:rFonts w:ascii="Arial" w:hAnsi="Arial"/>
          <w:sz w:val="24"/>
        </w:rPr>
      </w:pPr>
      <w:r>
        <w:rPr>
          <w:rFonts w:ascii="Arial" w:hAnsi="Arial"/>
          <w:sz w:val="24"/>
        </w:rPr>
        <w:t>1) 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2B4D9D" w:rsidRDefault="002B4D9D">
      <w:pPr>
        <w:tabs>
          <w:tab w:val="left" w:pos="450"/>
        </w:tabs>
        <w:ind w:left="1440"/>
        <w:rPr>
          <w:rFonts w:ascii="Arial" w:hAnsi="Arial"/>
          <w:sz w:val="24"/>
        </w:rPr>
      </w:pPr>
    </w:p>
    <w:p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2B4D9D" w:rsidRDefault="002B4D9D">
      <w:pPr>
        <w:pStyle w:val="BodyText"/>
        <w:ind w:left="1440"/>
        <w:jc w:val="left"/>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2B4D9D" w:rsidRDefault="002B4D9D">
      <w:pPr>
        <w:ind w:left="1440"/>
        <w:rPr>
          <w:rFonts w:ascii="Arial" w:hAnsi="Arial"/>
          <w:sz w:val="24"/>
        </w:rPr>
      </w:pPr>
    </w:p>
    <w:p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rsidR="002B4D9D" w:rsidRDefault="002B4D9D">
      <w:pPr>
        <w:pStyle w:val="BodyText"/>
        <w:tabs>
          <w:tab w:val="left" w:pos="-900"/>
          <w:tab w:val="left" w:pos="90"/>
        </w:tabs>
        <w:jc w:val="left"/>
        <w:rPr>
          <w:b/>
          <w:bCs/>
          <w:sz w:val="24"/>
        </w:rPr>
      </w:pPr>
    </w:p>
    <w:p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 xml:space="preserve">’s EBT standards and training schedules are available from the Commission’s web site or from </w:t>
      </w:r>
      <w:r w:rsidR="00345720">
        <w:rPr>
          <w:sz w:val="24"/>
        </w:rPr>
        <w:t>EM-BHD</w:t>
      </w:r>
      <w:r>
        <w:rPr>
          <w:sz w:val="24"/>
        </w:rPr>
        <w:t>.</w:t>
      </w:r>
    </w:p>
    <w:p w:rsidR="002B4D9D" w:rsidRDefault="002B4D9D">
      <w:pPr>
        <w:pStyle w:val="BodyTextIndent3"/>
        <w:spacing w:after="0"/>
        <w:jc w:val="left"/>
        <w:rPr>
          <w:sz w:val="24"/>
        </w:rPr>
      </w:pPr>
    </w:p>
    <w:p w:rsidR="002B4D9D" w:rsidRDefault="002B4D9D">
      <w:pPr>
        <w:pStyle w:val="BodyText"/>
        <w:ind w:left="1440" w:hanging="720"/>
        <w:jc w:val="left"/>
        <w:rPr>
          <w:b/>
          <w:bCs/>
          <w:sz w:val="24"/>
        </w:rPr>
      </w:pPr>
      <w:r>
        <w:rPr>
          <w:b/>
          <w:bCs/>
          <w:sz w:val="24"/>
        </w:rPr>
        <w:t>3.5</w:t>
      </w:r>
      <w:r>
        <w:rPr>
          <w:b/>
          <w:bCs/>
          <w:sz w:val="24"/>
        </w:rPr>
        <w:tab/>
        <w:t>Contingencies</w:t>
      </w:r>
    </w:p>
    <w:p w:rsidR="002B4D9D" w:rsidRDefault="002B4D9D">
      <w:pPr>
        <w:pStyle w:val="BodyText"/>
        <w:ind w:left="1440" w:hanging="720"/>
        <w:jc w:val="left"/>
        <w:rPr>
          <w:b/>
          <w:bCs/>
          <w:sz w:val="24"/>
        </w:rPr>
      </w:pPr>
    </w:p>
    <w:p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2B4D9D" w:rsidRDefault="002B4D9D">
      <w:pPr>
        <w:pStyle w:val="BodyText"/>
        <w:tabs>
          <w:tab w:val="left" w:pos="-900"/>
        </w:tabs>
        <w:ind w:left="1440" w:hanging="1440"/>
        <w:jc w:val="left"/>
        <w:rPr>
          <w:bCs/>
          <w:sz w:val="24"/>
        </w:rPr>
      </w:pPr>
      <w:r>
        <w:rPr>
          <w:bCs/>
          <w:sz w:val="24"/>
        </w:rPr>
        <w:tab/>
      </w:r>
    </w:p>
    <w:p w:rsidR="002B4D9D" w:rsidRDefault="002B4D9D">
      <w:pPr>
        <w:pStyle w:val="BodyText"/>
        <w:ind w:left="1440" w:hanging="720"/>
        <w:jc w:val="left"/>
        <w:rPr>
          <w:b/>
          <w:bCs/>
          <w:sz w:val="24"/>
        </w:rPr>
      </w:pPr>
      <w:r>
        <w:rPr>
          <w:b/>
          <w:bCs/>
          <w:sz w:val="24"/>
        </w:rPr>
        <w:t>3.6</w:t>
      </w:r>
      <w:r>
        <w:rPr>
          <w:b/>
          <w:bCs/>
          <w:sz w:val="24"/>
        </w:rPr>
        <w:tab/>
        <w:t xml:space="preserve">Alternative Terms, Language </w:t>
      </w:r>
    </w:p>
    <w:p w:rsidR="002B4D9D" w:rsidRDefault="002B4D9D">
      <w:pPr>
        <w:pStyle w:val="BodyText"/>
        <w:ind w:left="1440" w:hanging="720"/>
        <w:jc w:val="left"/>
        <w:rPr>
          <w:b/>
          <w:bCs/>
          <w:sz w:val="24"/>
        </w:rPr>
      </w:pPr>
    </w:p>
    <w:p w:rsidR="002B4D9D" w:rsidRDefault="002B4D9D">
      <w:pPr>
        <w:pStyle w:val="BodyText"/>
        <w:ind w:left="1440"/>
        <w:jc w:val="left"/>
        <w:rPr>
          <w:sz w:val="24"/>
        </w:rPr>
      </w:pPr>
      <w:r>
        <w:rPr>
          <w:sz w:val="24"/>
        </w:rPr>
        <w:lastRenderedPageBreak/>
        <w:t>Bidder should provide any proposed alternative language to the Standard Agreement, (in the form of a red-line to the Standard Agreement), the Statement of Commitment, or the standard form corporate guaranty.</w:t>
      </w:r>
    </w:p>
    <w:p w:rsidR="002B4D9D" w:rsidRDefault="002B4D9D">
      <w:pPr>
        <w:pStyle w:val="BodyText"/>
        <w:tabs>
          <w:tab w:val="left" w:pos="1440"/>
        </w:tabs>
        <w:ind w:left="1440"/>
        <w:jc w:val="left"/>
        <w:rPr>
          <w:sz w:val="24"/>
        </w:rPr>
      </w:pPr>
    </w:p>
    <w:p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rsidR="002B4D9D" w:rsidRDefault="002B4D9D">
      <w:pPr>
        <w:pStyle w:val="BodyText"/>
        <w:tabs>
          <w:tab w:val="left" w:pos="2160"/>
        </w:tabs>
        <w:ind w:left="1440"/>
        <w:jc w:val="left"/>
        <w:outlineLvl w:val="1"/>
        <w:rPr>
          <w:sz w:val="24"/>
        </w:rPr>
      </w:pPr>
    </w:p>
    <w:p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rsidR="007D6591" w:rsidRDefault="007D6591">
      <w:pPr>
        <w:pStyle w:val="BodyText"/>
        <w:tabs>
          <w:tab w:val="left" w:pos="-900"/>
        </w:tabs>
        <w:ind w:left="1440"/>
        <w:jc w:val="left"/>
        <w:outlineLvl w:val="1"/>
        <w:rPr>
          <w:rFonts w:ascii="Times New Roman" w:hAnsi="Times New Roman"/>
          <w:snapToGrid w:val="0"/>
          <w:sz w:val="24"/>
        </w:rPr>
      </w:pPr>
    </w:p>
    <w:p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for</w:t>
      </w:r>
      <w:r w:rsidR="007D6591">
        <w:rPr>
          <w:sz w:val="24"/>
        </w:rPr>
        <w:t xml:space="preserve"> </w:t>
      </w:r>
      <w:r>
        <w:rPr>
          <w:sz w:val="24"/>
        </w:rPr>
        <w:t xml:space="preserve">66% </w:t>
      </w:r>
      <w:r w:rsidR="00CA2368">
        <w:rPr>
          <w:sz w:val="24"/>
        </w:rPr>
        <w:t xml:space="preserve">of the class standard offer </w:t>
      </w:r>
      <w:r>
        <w:rPr>
          <w:sz w:val="24"/>
        </w:rPr>
        <w:t xml:space="preserve">load </w:t>
      </w:r>
      <w:r w:rsidR="00CA2368">
        <w:rPr>
          <w:sz w:val="24"/>
        </w:rPr>
        <w:t xml:space="preserve">for the months of January and February of 2016, and for 100% of the class standard offer load for the months of March through December of 2016.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rsidR="002B4D9D" w:rsidRDefault="002B4D9D">
      <w:pPr>
        <w:pStyle w:val="BodyText"/>
        <w:tabs>
          <w:tab w:val="left" w:pos="-900"/>
        </w:tabs>
        <w:ind w:left="1440"/>
        <w:jc w:val="left"/>
        <w:outlineLvl w:val="1"/>
        <w:rPr>
          <w:sz w:val="24"/>
        </w:rPr>
      </w:pPr>
    </w:p>
    <w:p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w:t>
      </w:r>
      <w:r w:rsidR="00345720">
        <w:rPr>
          <w:bCs/>
          <w:sz w:val="24"/>
        </w:rPr>
        <w:t>EM-BHD</w:t>
      </w:r>
      <w:r>
        <w:rPr>
          <w:bCs/>
          <w:sz w:val="24"/>
        </w:rPr>
        <w:t xml:space="preserve">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rsidR="002B4D9D" w:rsidRDefault="002B4D9D">
      <w:pPr>
        <w:pStyle w:val="BodyText"/>
        <w:tabs>
          <w:tab w:val="left" w:pos="2160"/>
        </w:tabs>
        <w:ind w:left="1440"/>
        <w:jc w:val="left"/>
        <w:rPr>
          <w:sz w:val="24"/>
        </w:rPr>
      </w:pPr>
    </w:p>
    <w:p w:rsidR="004F6EC3" w:rsidRDefault="004F6EC3">
      <w:pPr>
        <w:pStyle w:val="BodyText"/>
        <w:tabs>
          <w:tab w:val="left" w:pos="2160"/>
        </w:tabs>
        <w:ind w:left="1440"/>
        <w:jc w:val="left"/>
        <w:rPr>
          <w:sz w:val="24"/>
        </w:rPr>
      </w:pPr>
      <w:r w:rsidRPr="004F6EC3">
        <w:rPr>
          <w:sz w:val="24"/>
        </w:rPr>
        <w:t>Bidders may only submit price proposals for 100% of the service requirement.</w:t>
      </w:r>
    </w:p>
    <w:p w:rsidR="004F6EC3" w:rsidRDefault="004F6EC3">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rsidR="002B4D9D" w:rsidRDefault="002B4D9D">
      <w:pPr>
        <w:pStyle w:val="BodyText"/>
        <w:tabs>
          <w:tab w:val="left" w:pos="2160"/>
        </w:tabs>
        <w:ind w:left="1440"/>
        <w:jc w:val="left"/>
        <w:rPr>
          <w:bCs/>
          <w:sz w:val="24"/>
        </w:rPr>
      </w:pPr>
    </w:p>
    <w:p w:rsidR="002B4D9D" w:rsidRDefault="002B4D9D">
      <w:pPr>
        <w:pStyle w:val="BodyText"/>
        <w:numPr>
          <w:ilvl w:val="0"/>
          <w:numId w:val="14"/>
        </w:numPr>
        <w:jc w:val="left"/>
        <w:rPr>
          <w:bCs/>
          <w:sz w:val="24"/>
        </w:rPr>
      </w:pPr>
      <w:r>
        <w:rPr>
          <w:bCs/>
          <w:sz w:val="24"/>
        </w:rPr>
        <w:t xml:space="preserve">Fixed pricing bids may include prices per kW and prices per kWh, or prices per kWh only.  Any prices per kW will be billed on the same basis (i.e., billing units), as </w:t>
      </w:r>
      <w:r w:rsidR="00345720">
        <w:rPr>
          <w:bCs/>
          <w:sz w:val="24"/>
        </w:rPr>
        <w:t>EM-BHD</w:t>
      </w:r>
      <w:r>
        <w:rPr>
          <w:bCs/>
          <w:sz w:val="24"/>
        </w:rPr>
        <w:t xml:space="preserve"> uses to bill for distribution service.  Fixed pricing bids for the large standard offer class may vary by time of day; the time of day periods must </w:t>
      </w:r>
      <w:r>
        <w:rPr>
          <w:bCs/>
          <w:sz w:val="24"/>
        </w:rPr>
        <w:lastRenderedPageBreak/>
        <w:t xml:space="preserve">correspond to, or be compatible with, </w:t>
      </w:r>
      <w:r w:rsidR="00345720">
        <w:rPr>
          <w:bCs/>
          <w:sz w:val="24"/>
        </w:rPr>
        <w:t>EM-BHD</w:t>
      </w:r>
      <w:r>
        <w:rPr>
          <w:bCs/>
          <w:sz w:val="24"/>
        </w:rPr>
        <w:t>’s time</w:t>
      </w:r>
      <w:r>
        <w:rPr>
          <w:bCs/>
          <w:sz w:val="24"/>
        </w:rPr>
        <w:noBreakHyphen/>
        <w:t>of</w:t>
      </w:r>
      <w:r>
        <w:rPr>
          <w:bCs/>
          <w:sz w:val="24"/>
        </w:rPr>
        <w:noBreakHyphen/>
        <w:t>use rate structure.</w:t>
      </w:r>
    </w:p>
    <w:p w:rsidR="002B4D9D" w:rsidRDefault="002B4D9D">
      <w:pPr>
        <w:pStyle w:val="BodyText"/>
        <w:ind w:left="2160"/>
        <w:jc w:val="left"/>
        <w:rPr>
          <w:bCs/>
          <w:sz w:val="24"/>
        </w:rPr>
      </w:pPr>
    </w:p>
    <w:p w:rsidR="002B4D9D" w:rsidRDefault="002B4D9D">
      <w:pPr>
        <w:pStyle w:val="BodyText"/>
        <w:numPr>
          <w:ilvl w:val="0"/>
          <w:numId w:val="14"/>
        </w:numPr>
        <w:tabs>
          <w:tab w:val="left" w:pos="2160"/>
        </w:tabs>
        <w:jc w:val="left"/>
        <w:rPr>
          <w:sz w:val="24"/>
        </w:rPr>
      </w:pPr>
      <w:r>
        <w:rPr>
          <w:sz w:val="24"/>
        </w:rPr>
        <w:t>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the  ISO New England Mass Hub Day-Ahead Peak Calendar-Month 2.5 MW Futures and ISO New England Mass Hub Off-Peak LMP Futures, as settled through CME Group</w:t>
      </w:r>
      <w:r>
        <w:rPr>
          <w:rStyle w:val="FootnoteReference"/>
          <w:sz w:val="24"/>
        </w:rPr>
        <w:footnoteReference w:id="2"/>
      </w:r>
      <w:r>
        <w:rPr>
          <w:sz w:val="24"/>
        </w:rPr>
        <w:t xml:space="preserve"> on the 15th day</w:t>
      </w:r>
      <w:r>
        <w:rPr>
          <w:rStyle w:val="FootnoteReference"/>
          <w:sz w:val="24"/>
        </w:rPr>
        <w:footnoteReference w:id="3"/>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w:t>
      </w:r>
      <w:proofErr w:type="gramStart"/>
      <w:r>
        <w:rPr>
          <w:sz w:val="24"/>
        </w:rPr>
        <w:t>Attachment</w:t>
      </w:r>
      <w:proofErr w:type="gramEnd"/>
      <w:r>
        <w:rPr>
          <w:sz w:val="24"/>
        </w:rPr>
        <w:t xml:space="preserve"> C.    </w:t>
      </w:r>
    </w:p>
    <w:p w:rsidR="002B4D9D" w:rsidRDefault="002B4D9D">
      <w:pPr>
        <w:pStyle w:val="BodyText"/>
        <w:tabs>
          <w:tab w:val="left" w:pos="2160"/>
        </w:tabs>
        <w:ind w:left="720"/>
        <w:jc w:val="left"/>
        <w:rPr>
          <w:sz w:val="24"/>
        </w:rPr>
      </w:pPr>
    </w:p>
    <w:p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rsidR="00164788" w:rsidRDefault="00164788" w:rsidP="00164788">
      <w:pPr>
        <w:pStyle w:val="BodyText"/>
        <w:tabs>
          <w:tab w:val="left" w:pos="-900"/>
        </w:tabs>
        <w:ind w:left="1440"/>
        <w:jc w:val="left"/>
        <w:outlineLvl w:val="1"/>
        <w:rPr>
          <w:sz w:val="24"/>
        </w:rPr>
      </w:pPr>
    </w:p>
    <w:p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Pr="00164788">
        <w:rPr>
          <w:bCs/>
          <w:sz w:val="24"/>
        </w:rPr>
        <w:t xml:space="preserve">for </w:t>
      </w:r>
      <w:r w:rsidR="00C67EF2" w:rsidRPr="00164788">
        <w:rPr>
          <w:bCs/>
          <w:sz w:val="24"/>
        </w:rPr>
        <w:t xml:space="preserve"> a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1, 2016</w:t>
      </w:r>
      <w:r w:rsidR="00245143">
        <w:rPr>
          <w:bCs/>
          <w:sz w:val="24"/>
        </w:rPr>
        <w:t>.</w:t>
      </w:r>
    </w:p>
    <w:p w:rsidR="002B4D9D" w:rsidRDefault="002B4D9D">
      <w:pPr>
        <w:pStyle w:val="BodyText"/>
        <w:tabs>
          <w:tab w:val="left" w:pos="2160"/>
        </w:tabs>
        <w:ind w:left="720"/>
        <w:jc w:val="left"/>
        <w:rPr>
          <w:sz w:val="24"/>
        </w:rPr>
      </w:pPr>
    </w:p>
    <w:p w:rsidR="002B4D9D" w:rsidRDefault="002B4D9D">
      <w:pPr>
        <w:pStyle w:val="BodyText"/>
        <w:tabs>
          <w:tab w:val="left" w:pos="2160"/>
        </w:tabs>
        <w:jc w:val="left"/>
        <w:rPr>
          <w:bCs/>
          <w:sz w:val="24"/>
        </w:rPr>
      </w:pPr>
    </w:p>
    <w:p w:rsidR="002B4D9D" w:rsidRDefault="002B4D9D">
      <w:pPr>
        <w:pStyle w:val="BodyText"/>
        <w:numPr>
          <w:ilvl w:val="1"/>
          <w:numId w:val="13"/>
        </w:numPr>
        <w:jc w:val="left"/>
        <w:rPr>
          <w:b/>
          <w:sz w:val="24"/>
        </w:rPr>
      </w:pPr>
      <w:r>
        <w:rPr>
          <w:b/>
          <w:sz w:val="24"/>
        </w:rPr>
        <w:lastRenderedPageBreak/>
        <w:t xml:space="preserve"> </w:t>
      </w:r>
      <w:r>
        <w:rPr>
          <w:b/>
          <w:sz w:val="24"/>
        </w:rPr>
        <w:tab/>
        <w:t>Bidder Conditions</w:t>
      </w:r>
    </w:p>
    <w:p w:rsidR="002B4D9D" w:rsidRDefault="002B4D9D">
      <w:pPr>
        <w:pStyle w:val="BodyText"/>
        <w:tabs>
          <w:tab w:val="left" w:pos="2160"/>
        </w:tabs>
        <w:ind w:left="1440"/>
        <w:jc w:val="left"/>
        <w:rPr>
          <w:sz w:val="24"/>
        </w:rPr>
      </w:pPr>
      <w:r>
        <w:rPr>
          <w:sz w:val="24"/>
        </w:rPr>
        <w:t xml:space="preserve"> </w:t>
      </w:r>
    </w:p>
    <w:p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p>
    <w:p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rsidR="002B4D9D" w:rsidRDefault="002B4D9D">
      <w:pPr>
        <w:ind w:left="2160" w:hanging="720"/>
        <w:rPr>
          <w:rFonts w:ascii="Arial" w:hAnsi="Arial"/>
          <w:sz w:val="24"/>
        </w:rPr>
      </w:pPr>
    </w:p>
    <w:p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w:t>
      </w:r>
    </w:p>
    <w:p w:rsidR="002B4D9D" w:rsidRDefault="002B4D9D">
      <w:pPr>
        <w:tabs>
          <w:tab w:val="left" w:pos="540"/>
        </w:tabs>
        <w:rPr>
          <w:rFonts w:ascii="Arial" w:hAnsi="Arial"/>
          <w:b/>
          <w:bCs/>
          <w:sz w:val="24"/>
        </w:rPr>
      </w:pPr>
    </w:p>
    <w:p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RFP  at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rsidR="002B4D9D" w:rsidRDefault="002B4D9D">
      <w:pPr>
        <w:tabs>
          <w:tab w:val="left" w:pos="540"/>
        </w:tabs>
        <w:ind w:left="1440"/>
        <w:rPr>
          <w:rFonts w:ascii="Arial" w:hAnsi="Arial"/>
          <w:sz w:val="24"/>
        </w:rPr>
      </w:pPr>
      <w:r>
        <w:rPr>
          <w:rFonts w:ascii="Arial" w:hAnsi="Arial"/>
          <w:sz w:val="24"/>
        </w:rPr>
        <w:t xml:space="preserve"> </w:t>
      </w:r>
    </w:p>
    <w:p w:rsidR="002B4D9D" w:rsidRDefault="002B4D9D">
      <w:pPr>
        <w:pStyle w:val="BodyTextIndent2"/>
        <w:spacing w:after="0"/>
        <w:jc w:val="left"/>
      </w:pPr>
      <w:r>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rsidR="002B4D9D" w:rsidRDefault="002B4D9D">
      <w:pPr>
        <w:pStyle w:val="BodyTextIndent2"/>
        <w:spacing w:after="0"/>
        <w:jc w:val="left"/>
      </w:pPr>
    </w:p>
    <w:p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rsidR="002B4D9D" w:rsidRDefault="002B4D9D"/>
    <w:p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2B4D9D" w:rsidRDefault="002B4D9D">
      <w:pPr>
        <w:pStyle w:val="BodyTextIndent3"/>
        <w:spacing w:after="0"/>
        <w:jc w:val="left"/>
        <w:rPr>
          <w:b/>
          <w:bCs/>
          <w:sz w:val="24"/>
        </w:rPr>
      </w:pPr>
    </w:p>
    <w:p w:rsidR="002B4D9D" w:rsidRDefault="002B4D9D">
      <w:pPr>
        <w:pStyle w:val="BodyTextIndent3"/>
        <w:spacing w:after="0"/>
        <w:ind w:left="720"/>
        <w:jc w:val="left"/>
        <w:rPr>
          <w:b/>
          <w:sz w:val="24"/>
        </w:rPr>
      </w:pPr>
      <w:r>
        <w:rPr>
          <w:b/>
          <w:sz w:val="24"/>
        </w:rPr>
        <w:t>4.3</w:t>
      </w:r>
      <w:r>
        <w:rPr>
          <w:b/>
          <w:sz w:val="24"/>
        </w:rPr>
        <w:tab/>
        <w:t>Losses</w:t>
      </w:r>
    </w:p>
    <w:p w:rsidR="002B4D9D" w:rsidRDefault="002B4D9D">
      <w:pPr>
        <w:pStyle w:val="BodyTextIndent3"/>
        <w:spacing w:after="0"/>
        <w:ind w:left="720"/>
        <w:jc w:val="left"/>
        <w:rPr>
          <w:b/>
          <w:sz w:val="24"/>
        </w:rPr>
      </w:pPr>
    </w:p>
    <w:p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ancillary and all other required products and services to cover all such losses for the loads they are obligated to serve.  The factors that are currently used to determine </w:t>
      </w:r>
      <w:r>
        <w:rPr>
          <w:rFonts w:ascii="Arial" w:hAnsi="Arial"/>
          <w:sz w:val="24"/>
        </w:rPr>
        <w:lastRenderedPageBreak/>
        <w:t xml:space="preserve">line and transformer losses on </w:t>
      </w:r>
      <w:r w:rsidR="00345720">
        <w:rPr>
          <w:rFonts w:ascii="Arial" w:hAnsi="Arial"/>
          <w:sz w:val="24"/>
        </w:rPr>
        <w:t>EM-BHD</w:t>
      </w:r>
      <w:r>
        <w:rPr>
          <w:rFonts w:ascii="Arial" w:hAnsi="Arial"/>
          <w:sz w:val="24"/>
        </w:rPr>
        <w:t>’s system</w:t>
      </w:r>
      <w:r>
        <w:rPr>
          <w:rFonts w:ascii="Arial" w:hAnsi="Arial"/>
          <w:b/>
          <w:sz w:val="24"/>
        </w:rPr>
        <w:t xml:space="preserve"> </w:t>
      </w:r>
      <w:r>
        <w:rPr>
          <w:rFonts w:ascii="Arial" w:hAnsi="Arial"/>
          <w:sz w:val="24"/>
        </w:rPr>
        <w:t>are contained in Appendix G.</w:t>
      </w:r>
    </w:p>
    <w:p w:rsidR="002B4D9D" w:rsidRDefault="002B4D9D">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Load Zone</w:t>
      </w:r>
    </w:p>
    <w:p w:rsidR="002B4D9D" w:rsidRDefault="00345720">
      <w:pPr>
        <w:tabs>
          <w:tab w:val="left" w:pos="-360"/>
        </w:tabs>
        <w:spacing w:before="240"/>
        <w:ind w:left="1440"/>
        <w:rPr>
          <w:rFonts w:ascii="Arial" w:hAnsi="Arial"/>
          <w:sz w:val="24"/>
        </w:rPr>
      </w:pPr>
      <w:r>
        <w:rPr>
          <w:rFonts w:ascii="Arial" w:hAnsi="Arial"/>
          <w:sz w:val="24"/>
        </w:rPr>
        <w:t>EM-BHD</w:t>
      </w:r>
      <w:r w:rsidR="002B4D9D">
        <w:rPr>
          <w:rFonts w:ascii="Arial" w:hAnsi="Arial"/>
          <w:sz w:val="24"/>
        </w:rPr>
        <w:t xml:space="preserve">’s service territory is in the Maine Load Zone as defined by ISO-NE Standard Market Design (SMD) and standard offer </w:t>
      </w:r>
      <w:proofErr w:type="gramStart"/>
      <w:r w:rsidR="002B4D9D">
        <w:rPr>
          <w:rFonts w:ascii="Arial" w:hAnsi="Arial"/>
          <w:sz w:val="24"/>
        </w:rPr>
        <w:t>provider  is</w:t>
      </w:r>
      <w:proofErr w:type="gramEnd"/>
      <w:r w:rsidR="002B4D9D">
        <w:rPr>
          <w:rFonts w:ascii="Arial" w:hAnsi="Arial"/>
          <w:sz w:val="24"/>
        </w:rPr>
        <w:t xml:space="preserve"> responsible for all obligations for the applicable standard offer load related to this locational definition and any subsequent redefinition, including nodal settlement for load. </w:t>
      </w:r>
    </w:p>
    <w:p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2B4D9D" w:rsidRDefault="002B4D9D">
      <w:pPr>
        <w:tabs>
          <w:tab w:val="left" w:pos="-360"/>
        </w:tabs>
        <w:spacing w:before="240"/>
        <w:ind w:left="1440" w:hanging="720"/>
        <w:rPr>
          <w:rFonts w:ascii="Arial" w:hAnsi="Arial"/>
          <w:sz w:val="24"/>
        </w:rPr>
      </w:pPr>
      <w:r>
        <w:rPr>
          <w:rFonts w:ascii="Arial" w:hAnsi="Arial"/>
          <w:sz w:val="24"/>
        </w:rPr>
        <w:tab/>
      </w:r>
      <w:r w:rsidR="00345720">
        <w:rPr>
          <w:rFonts w:ascii="Arial" w:hAnsi="Arial"/>
          <w:sz w:val="24"/>
        </w:rPr>
        <w:t>EM-BHD</w:t>
      </w:r>
      <w:r>
        <w:rPr>
          <w:rFonts w:ascii="Arial" w:hAnsi="Arial"/>
          <w:sz w:val="24"/>
        </w:rPr>
        <w:t xml:space="preserve">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w:t>
      </w:r>
      <w:r w:rsidR="00345720">
        <w:rPr>
          <w:rFonts w:ascii="Arial" w:hAnsi="Arial"/>
          <w:sz w:val="24"/>
        </w:rPr>
        <w:t>EM-BHD</w:t>
      </w:r>
      <w:r>
        <w:rPr>
          <w:rFonts w:ascii="Arial" w:hAnsi="Arial"/>
          <w:sz w:val="24"/>
        </w:rPr>
        <w:t xml:space="preserve"> retail rates and are not the responsibility of the standard </w:t>
      </w:r>
      <w:r w:rsidR="004F6EC3">
        <w:rPr>
          <w:rFonts w:ascii="Arial" w:hAnsi="Arial"/>
          <w:sz w:val="24"/>
        </w:rPr>
        <w:t>offer provider</w:t>
      </w:r>
      <w:r>
        <w:rPr>
          <w:rFonts w:ascii="Arial" w:hAnsi="Arial"/>
          <w:sz w:val="24"/>
        </w:rPr>
        <w:t>.</w:t>
      </w:r>
    </w:p>
    <w:p w:rsidR="002B4D9D" w:rsidRDefault="002B4D9D">
      <w:pPr>
        <w:rPr>
          <w:rFonts w:ascii="Arial" w:hAnsi="Arial"/>
          <w:sz w:val="24"/>
        </w:rPr>
      </w:pPr>
    </w:p>
    <w:p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rsidR="002B4D9D" w:rsidRDefault="002B4D9D">
      <w:pPr>
        <w:ind w:left="720"/>
        <w:rPr>
          <w:rFonts w:ascii="Arial" w:hAnsi="Arial"/>
          <w:b/>
          <w:bCs/>
          <w:sz w:val="24"/>
        </w:rPr>
      </w:pPr>
    </w:p>
    <w:p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2B4D9D" w:rsidRDefault="002B4D9D">
      <w:pPr>
        <w:ind w:left="1440"/>
        <w:rPr>
          <w:rFonts w:ascii="Arial" w:hAnsi="Arial"/>
          <w:sz w:val="24"/>
        </w:rPr>
      </w:pPr>
    </w:p>
    <w:p w:rsidR="002B4D9D" w:rsidRPr="00A378F9" w:rsidRDefault="002B4D9D">
      <w:pPr>
        <w:ind w:left="1440"/>
        <w:rPr>
          <w:rFonts w:ascii="Arial" w:hAnsi="Arial"/>
          <w:b/>
          <w:i/>
          <w:sz w:val="24"/>
          <w:szCs w:val="24"/>
        </w:rPr>
      </w:pPr>
      <w:r w:rsidRPr="00A378F9">
        <w:rPr>
          <w:rFonts w:ascii="Arial" w:hAnsi="Arial"/>
          <w:b/>
          <w:i/>
          <w:sz w:val="24"/>
          <w:szCs w:val="24"/>
        </w:rPr>
        <w:t>1) Base Security Amount:</w:t>
      </w:r>
    </w:p>
    <w:p w:rsidR="002B4D9D" w:rsidRPr="00A378F9" w:rsidRDefault="002B4D9D">
      <w:pPr>
        <w:ind w:left="1440"/>
        <w:rPr>
          <w:rFonts w:ascii="Arial" w:hAnsi="Arial"/>
          <w:sz w:val="24"/>
        </w:rPr>
      </w:pPr>
    </w:p>
    <w:p w:rsidR="002B4D9D" w:rsidRPr="00A378F9" w:rsidRDefault="002B4D9D">
      <w:pPr>
        <w:numPr>
          <w:ilvl w:val="0"/>
          <w:numId w:val="5"/>
        </w:numPr>
        <w:rPr>
          <w:rFonts w:ascii="Arial" w:hAnsi="Arial"/>
          <w:b/>
          <w:sz w:val="24"/>
        </w:rPr>
      </w:pPr>
      <w:r w:rsidRPr="00372C55">
        <w:rPr>
          <w:rFonts w:ascii="Arial" w:hAnsi="Arial"/>
          <w:b/>
          <w:sz w:val="24"/>
        </w:rPr>
        <w:t xml:space="preserve">Residential and Small Non Residential Standard Offer </w:t>
      </w:r>
    </w:p>
    <w:p w:rsidR="002B4D9D" w:rsidRPr="004F6EC3" w:rsidRDefault="002B4D9D">
      <w:pPr>
        <w:numPr>
          <w:ilvl w:val="1"/>
          <w:numId w:val="5"/>
        </w:numPr>
        <w:rPr>
          <w:rFonts w:ascii="Arial" w:hAnsi="Arial"/>
          <w:sz w:val="24"/>
        </w:rPr>
      </w:pPr>
      <w:r w:rsidRPr="004F6EC3">
        <w:rPr>
          <w:rFonts w:ascii="Arial" w:hAnsi="Arial"/>
          <w:sz w:val="24"/>
        </w:rPr>
        <w:t xml:space="preserve">$ </w:t>
      </w:r>
      <w:r w:rsidR="004F6EC3">
        <w:rPr>
          <w:rFonts w:ascii="Arial" w:hAnsi="Arial"/>
          <w:sz w:val="24"/>
        </w:rPr>
        <w:t>8.4</w:t>
      </w:r>
      <w:r w:rsidRPr="004F6EC3">
        <w:rPr>
          <w:rFonts w:ascii="Arial" w:hAnsi="Arial"/>
          <w:sz w:val="24"/>
        </w:rPr>
        <w:t xml:space="preserve"> million</w:t>
      </w:r>
    </w:p>
    <w:p w:rsidR="002B4D9D" w:rsidRPr="004F6EC3" w:rsidRDefault="002B4D9D">
      <w:pPr>
        <w:ind w:left="3240"/>
        <w:rPr>
          <w:rFonts w:ascii="Arial" w:hAnsi="Arial"/>
          <w:sz w:val="24"/>
        </w:rPr>
      </w:pPr>
    </w:p>
    <w:p w:rsidR="002B4D9D" w:rsidRPr="004F6EC3" w:rsidRDefault="002B4D9D">
      <w:pPr>
        <w:numPr>
          <w:ilvl w:val="0"/>
          <w:numId w:val="5"/>
        </w:numPr>
        <w:rPr>
          <w:rFonts w:ascii="Arial" w:hAnsi="Arial"/>
          <w:b/>
          <w:sz w:val="24"/>
        </w:rPr>
      </w:pPr>
      <w:r w:rsidRPr="004F6EC3">
        <w:rPr>
          <w:rFonts w:ascii="Arial" w:hAnsi="Arial"/>
          <w:b/>
          <w:sz w:val="24"/>
        </w:rPr>
        <w:t>Medium Standard Offer</w:t>
      </w:r>
    </w:p>
    <w:p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4F6EC3" w:rsidRPr="004F6EC3">
        <w:rPr>
          <w:rFonts w:ascii="Arial" w:hAnsi="Arial"/>
          <w:sz w:val="24"/>
        </w:rPr>
        <w:t>3.2</w:t>
      </w:r>
      <w:r w:rsidRPr="004F6EC3">
        <w:rPr>
          <w:rFonts w:ascii="Arial" w:hAnsi="Arial"/>
          <w:sz w:val="24"/>
        </w:rPr>
        <w:t xml:space="preserve"> million</w:t>
      </w:r>
    </w:p>
    <w:p w:rsidR="002B4D9D" w:rsidRPr="004F6EC3" w:rsidRDefault="002B4D9D">
      <w:pPr>
        <w:ind w:left="3240"/>
        <w:rPr>
          <w:rFonts w:ascii="Arial" w:hAnsi="Arial"/>
          <w:sz w:val="24"/>
        </w:rPr>
      </w:pPr>
    </w:p>
    <w:p w:rsidR="002B4D9D" w:rsidRPr="004F6EC3" w:rsidRDefault="002B4D9D">
      <w:pPr>
        <w:numPr>
          <w:ilvl w:val="0"/>
          <w:numId w:val="5"/>
        </w:numPr>
        <w:rPr>
          <w:rFonts w:ascii="Arial" w:hAnsi="Arial"/>
          <w:b/>
          <w:sz w:val="24"/>
        </w:rPr>
      </w:pPr>
      <w:r w:rsidRPr="004F6EC3">
        <w:rPr>
          <w:rFonts w:ascii="Arial" w:hAnsi="Arial"/>
          <w:b/>
          <w:sz w:val="24"/>
        </w:rPr>
        <w:t>Large Standard Offer</w:t>
      </w:r>
    </w:p>
    <w:p w:rsidR="002B4D9D" w:rsidRPr="004F6EC3" w:rsidRDefault="002B4D9D" w:rsidP="004F6EC3">
      <w:pPr>
        <w:pStyle w:val="ListParagraph"/>
        <w:numPr>
          <w:ilvl w:val="1"/>
          <w:numId w:val="5"/>
        </w:numPr>
        <w:rPr>
          <w:rFonts w:ascii="Arial" w:hAnsi="Arial"/>
          <w:sz w:val="24"/>
        </w:rPr>
      </w:pPr>
      <w:r w:rsidRPr="004F6EC3">
        <w:rPr>
          <w:rFonts w:ascii="Arial" w:hAnsi="Arial"/>
          <w:sz w:val="24"/>
        </w:rPr>
        <w:t xml:space="preserve">$ </w:t>
      </w:r>
      <w:r w:rsidR="003B320B" w:rsidRPr="004F6EC3">
        <w:rPr>
          <w:rFonts w:ascii="Arial" w:hAnsi="Arial"/>
          <w:sz w:val="24"/>
        </w:rPr>
        <w:t>1.1</w:t>
      </w:r>
      <w:r w:rsidRPr="004F6EC3">
        <w:rPr>
          <w:rFonts w:ascii="Arial" w:hAnsi="Arial"/>
          <w:sz w:val="24"/>
        </w:rPr>
        <w:t xml:space="preserve"> million</w:t>
      </w:r>
      <w:r w:rsidR="00EB1A7D" w:rsidRPr="004F6EC3">
        <w:rPr>
          <w:rFonts w:ascii="Arial" w:hAnsi="Arial"/>
          <w:sz w:val="24"/>
        </w:rPr>
        <w:t xml:space="preserve"> (for</w:t>
      </w:r>
      <w:r w:rsidRPr="004F6EC3">
        <w:rPr>
          <w:rFonts w:ascii="Arial" w:hAnsi="Arial"/>
          <w:sz w:val="24"/>
        </w:rPr>
        <w:t xml:space="preserve"> fixed price</w:t>
      </w:r>
      <w:r w:rsidR="009B4DB9" w:rsidRPr="004F6EC3">
        <w:rPr>
          <w:rFonts w:ascii="Arial" w:hAnsi="Arial"/>
          <w:sz w:val="24"/>
        </w:rPr>
        <w:t xml:space="preserve"> proposal</w:t>
      </w:r>
      <w:r w:rsidR="00EB1A7D" w:rsidRPr="004F6EC3">
        <w:rPr>
          <w:rFonts w:ascii="Arial" w:hAnsi="Arial"/>
          <w:sz w:val="24"/>
        </w:rPr>
        <w:t>) or</w:t>
      </w:r>
    </w:p>
    <w:p w:rsidR="002B4D9D" w:rsidRPr="004F6EC3" w:rsidRDefault="002B4D9D">
      <w:pPr>
        <w:numPr>
          <w:ilvl w:val="1"/>
          <w:numId w:val="5"/>
        </w:numPr>
        <w:rPr>
          <w:rFonts w:ascii="Arial" w:hAnsi="Arial"/>
          <w:sz w:val="24"/>
        </w:rPr>
      </w:pPr>
      <w:r w:rsidRPr="004F6EC3">
        <w:rPr>
          <w:rFonts w:ascii="Arial" w:hAnsi="Arial"/>
          <w:sz w:val="24"/>
        </w:rPr>
        <w:t>$ 2</w:t>
      </w:r>
      <w:r w:rsidR="003B320B" w:rsidRPr="004F6EC3">
        <w:rPr>
          <w:rFonts w:ascii="Arial" w:hAnsi="Arial"/>
          <w:sz w:val="24"/>
        </w:rPr>
        <w:t>0</w:t>
      </w:r>
      <w:r w:rsidRPr="004F6EC3">
        <w:rPr>
          <w:rFonts w:ascii="Arial" w:hAnsi="Arial"/>
          <w:sz w:val="24"/>
        </w:rPr>
        <w:t>0,000</w:t>
      </w:r>
      <w:r w:rsidR="00EB1A7D" w:rsidRPr="004F6EC3">
        <w:rPr>
          <w:rFonts w:ascii="Arial" w:hAnsi="Arial"/>
          <w:sz w:val="24"/>
        </w:rPr>
        <w:t xml:space="preserve"> (for </w:t>
      </w:r>
      <w:r w:rsidRPr="004F6EC3">
        <w:rPr>
          <w:rFonts w:ascii="Arial" w:hAnsi="Arial"/>
          <w:sz w:val="24"/>
        </w:rPr>
        <w:t>indexed</w:t>
      </w:r>
      <w:r w:rsidR="009B4DB9" w:rsidRPr="004F6EC3">
        <w:rPr>
          <w:rFonts w:ascii="Arial" w:hAnsi="Arial"/>
          <w:sz w:val="24"/>
        </w:rPr>
        <w:t xml:space="preserve"> proposal</w:t>
      </w:r>
      <w:r w:rsidR="00EB1A7D" w:rsidRPr="004F6EC3">
        <w:rPr>
          <w:rFonts w:ascii="Arial" w:hAnsi="Arial"/>
          <w:sz w:val="24"/>
        </w:rPr>
        <w:t>)</w:t>
      </w:r>
    </w:p>
    <w:p w:rsidR="002B4D9D" w:rsidRPr="00372C55" w:rsidRDefault="002B4D9D">
      <w:pPr>
        <w:ind w:left="2520"/>
        <w:rPr>
          <w:rFonts w:ascii="Arial" w:hAnsi="Arial"/>
          <w:sz w:val="24"/>
        </w:rPr>
      </w:pPr>
    </w:p>
    <w:p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rsidR="00B45379" w:rsidRDefault="00B45379" w:rsidP="00B45379">
      <w:pPr>
        <w:ind w:left="1440"/>
        <w:rPr>
          <w:rFonts w:ascii="Arial" w:hAnsi="Arial"/>
          <w:sz w:val="24"/>
        </w:rPr>
      </w:pPr>
    </w:p>
    <w:p w:rsidR="004F6EC3" w:rsidRDefault="002B4D9D" w:rsidP="004F6EC3">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rsidR="004F6EC3" w:rsidRDefault="004F6EC3" w:rsidP="004F6EC3">
      <w:pPr>
        <w:ind w:left="1440"/>
        <w:rPr>
          <w:rFonts w:ascii="Arial" w:hAnsi="Arial"/>
          <w:sz w:val="24"/>
        </w:rPr>
      </w:pPr>
    </w:p>
    <w:p w:rsidR="002B4D9D" w:rsidRDefault="002B4D9D" w:rsidP="004F6EC3">
      <w:pPr>
        <w:ind w:left="1440"/>
        <w:rPr>
          <w:rFonts w:ascii="Arial" w:hAnsi="Arial"/>
          <w:sz w:val="24"/>
        </w:rPr>
      </w:pPr>
      <w:r>
        <w:rPr>
          <w:rFonts w:ascii="Arial" w:hAnsi="Arial"/>
          <w:b/>
          <w:sz w:val="24"/>
        </w:rPr>
        <w:lastRenderedPageBreak/>
        <w:t xml:space="preserve">Excess Market Exposure </w:t>
      </w:r>
      <w:proofErr w:type="gramStart"/>
      <w:r>
        <w:rPr>
          <w:rFonts w:ascii="Arial" w:hAnsi="Arial"/>
          <w:b/>
          <w:sz w:val="24"/>
        </w:rPr>
        <w:t>Security</w:t>
      </w:r>
      <w:r w:rsidR="004F6EC3">
        <w:rPr>
          <w:rFonts w:ascii="Arial" w:hAnsi="Arial"/>
          <w:sz w:val="24"/>
        </w:rPr>
        <w:t xml:space="preserve">  </w:t>
      </w:r>
      <w:r>
        <w:rPr>
          <w:rFonts w:ascii="Arial" w:hAnsi="Arial"/>
          <w:sz w:val="24"/>
        </w:rPr>
        <w:t>The</w:t>
      </w:r>
      <w:proofErr w:type="gramEnd"/>
      <w:r>
        <w:rPr>
          <w:rFonts w:ascii="Arial" w:hAnsi="Arial"/>
          <w:sz w:val="24"/>
        </w:rPr>
        <w:t xml:space="preserve"> incremental replacement cost </w:t>
      </w:r>
      <w:r w:rsidR="009B4DB9">
        <w:rPr>
          <w:rFonts w:ascii="Arial" w:hAnsi="Arial"/>
          <w:sz w:val="24"/>
        </w:rPr>
        <w:t>of standard</w:t>
      </w:r>
      <w:r>
        <w:rPr>
          <w:rFonts w:ascii="Arial" w:hAnsi="Arial"/>
          <w:sz w:val="24"/>
        </w:rPr>
        <w:t xml:space="preserve"> offer  supply during the remaining term of service in excess of the Base Security for the class, as determined from time to time using commercially reasonable practices</w:t>
      </w:r>
      <w:r w:rsidR="00552329">
        <w:rPr>
          <w:rFonts w:ascii="Arial" w:hAnsi="Arial"/>
          <w:sz w:val="24"/>
        </w:rPr>
        <w:t>.</w:t>
      </w:r>
    </w:p>
    <w:p w:rsidR="002B4D9D" w:rsidRDefault="002B4D9D">
      <w:pPr>
        <w:ind w:left="288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sz w:val="24"/>
        </w:rPr>
        <w:t xml:space="preserve">The Base Security must be furnished to </w:t>
      </w:r>
      <w:r w:rsidR="00345720">
        <w:rPr>
          <w:rFonts w:ascii="Arial" w:hAnsi="Arial"/>
          <w:sz w:val="24"/>
        </w:rPr>
        <w:t>EM-BHD</w:t>
      </w:r>
      <w:r>
        <w:rPr>
          <w:rFonts w:ascii="Arial" w:hAnsi="Arial"/>
          <w:sz w:val="24"/>
        </w:rPr>
        <w:t xml:space="preserve"> with a copy to the Commission no later than three business days after the date the Commission designates the provider such that </w:t>
      </w:r>
      <w:r w:rsidR="00345720">
        <w:rPr>
          <w:rFonts w:ascii="Arial" w:hAnsi="Arial"/>
          <w:sz w:val="24"/>
        </w:rPr>
        <w:t>EM-BHD</w:t>
      </w:r>
      <w:r>
        <w:rPr>
          <w:rFonts w:ascii="Arial" w:hAnsi="Arial"/>
          <w:sz w:val="24"/>
        </w:rPr>
        <w:t xml:space="preserve"> can access the full amount of the financial security on that date.  Any Excess Market Exposure Security required during the term of the obligation must be furnished to </w:t>
      </w:r>
      <w:r w:rsidR="00345720">
        <w:rPr>
          <w:rFonts w:ascii="Arial" w:hAnsi="Arial"/>
          <w:sz w:val="24"/>
        </w:rPr>
        <w:t>EM-BHD</w:t>
      </w:r>
      <w:r>
        <w:rPr>
          <w:rFonts w:ascii="Arial" w:hAnsi="Arial"/>
          <w:sz w:val="24"/>
        </w:rPr>
        <w:t xml:space="preserve"> no later than three business days after </w:t>
      </w:r>
      <w:r w:rsidR="00345720">
        <w:rPr>
          <w:rFonts w:ascii="Arial" w:hAnsi="Arial"/>
          <w:sz w:val="24"/>
        </w:rPr>
        <w:t>EM-BHD</w:t>
      </w:r>
      <w:r>
        <w:rPr>
          <w:rFonts w:ascii="Arial" w:hAnsi="Arial"/>
          <w:sz w:val="24"/>
        </w:rPr>
        <w:t xml:space="preserve">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rsidR="002B4D9D" w:rsidRDefault="002B4D9D">
      <w:pPr>
        <w:ind w:left="144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2B4D9D" w:rsidRDefault="002B4D9D">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rsidR="002B4D9D" w:rsidRDefault="002B4D9D">
      <w:pPr>
        <w:ind w:left="2160"/>
        <w:rPr>
          <w:rFonts w:ascii="Arial" w:hAnsi="Arial"/>
          <w:sz w:val="24"/>
        </w:rPr>
      </w:pPr>
    </w:p>
    <w:p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4"/>
      </w:r>
      <w:r>
        <w:rPr>
          <w:rFonts w:ascii="Arial" w:hAnsi="Arial"/>
          <w:sz w:val="24"/>
        </w:rPr>
        <w:t xml:space="preserve"> </w:t>
      </w:r>
      <w:r>
        <w:rPr>
          <w:rStyle w:val="FootnoteReference"/>
          <w:rFonts w:ascii="Arial" w:hAnsi="Arial" w:cs="Arial"/>
          <w:color w:val="000000"/>
          <w:sz w:val="24"/>
          <w:szCs w:val="28"/>
        </w:rPr>
        <w:footnoteReference w:id="5"/>
      </w:r>
      <w:r>
        <w:rPr>
          <w:rFonts w:ascii="Arial" w:hAnsi="Arial" w:cs="Arial"/>
          <w:color w:val="000000"/>
          <w:sz w:val="24"/>
          <w:szCs w:val="28"/>
        </w:rPr>
        <w:t xml:space="preserve"> </w:t>
      </w:r>
      <w:r>
        <w:rPr>
          <w:rStyle w:val="FootnoteReference"/>
          <w:rFonts w:ascii="Arial" w:hAnsi="Arial" w:cs="Arial"/>
          <w:bCs/>
          <w:color w:val="000000"/>
          <w:sz w:val="24"/>
          <w:szCs w:val="24"/>
        </w:rPr>
        <w:footnoteReference w:id="6"/>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p>
    <w:p w:rsidR="00AB32DA" w:rsidRDefault="00AB32DA">
      <w:pPr>
        <w:ind w:left="1440"/>
        <w:rPr>
          <w:rFonts w:ascii="Arial" w:hAnsi="Arial" w:cs="Arial"/>
          <w:color w:val="000000"/>
          <w:sz w:val="24"/>
          <w:szCs w:val="28"/>
        </w:rPr>
      </w:pPr>
    </w:p>
    <w:p w:rsidR="002B4D9D" w:rsidRDefault="004F6EC3" w:rsidP="00C07061">
      <w:pPr>
        <w:ind w:left="720" w:hanging="720"/>
        <w:jc w:val="center"/>
        <w:rPr>
          <w:rFonts w:ascii="Arial" w:hAnsi="Arial" w:cs="Arial"/>
          <w:b/>
          <w:bCs/>
          <w:color w:val="000000"/>
          <w:sz w:val="24"/>
          <w:szCs w:val="24"/>
        </w:rPr>
      </w:pPr>
      <w:r w:rsidRPr="004F6EC3">
        <w:rPr>
          <w:noProof/>
        </w:rPr>
        <w:drawing>
          <wp:inline distT="0" distB="0" distL="0" distR="0">
            <wp:extent cx="4146550" cy="39446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0" cy="3944620"/>
                    </a:xfrm>
                    <a:prstGeom prst="rect">
                      <a:avLst/>
                    </a:prstGeom>
                    <a:noFill/>
                    <a:ln>
                      <a:noFill/>
                    </a:ln>
                  </pic:spPr>
                </pic:pic>
              </a:graphicData>
            </a:graphic>
          </wp:inline>
        </w:drawing>
      </w:r>
    </w:p>
    <w:p w:rsidR="002B4D9D" w:rsidRDefault="002B4D9D" w:rsidP="004F6EC3">
      <w:pPr>
        <w:jc w:val="center"/>
      </w:pPr>
    </w:p>
    <w:p w:rsidR="00AB32DA" w:rsidRDefault="00AB32DA">
      <w:pPr>
        <w:ind w:left="2160"/>
        <w:rPr>
          <w:rFonts w:ascii="Arial" w:hAnsi="Arial"/>
          <w:sz w:val="24"/>
        </w:rPr>
      </w:pPr>
    </w:p>
    <w:p w:rsidR="00AB32DA" w:rsidRDefault="004260B0" w:rsidP="00C07061">
      <w:pPr>
        <w:ind w:left="720" w:hanging="720"/>
        <w:jc w:val="center"/>
        <w:rPr>
          <w:rFonts w:ascii="Arial" w:hAnsi="Arial"/>
          <w:sz w:val="24"/>
        </w:rPr>
      </w:pPr>
      <w:r w:rsidRPr="004260B0">
        <w:rPr>
          <w:noProof/>
        </w:rPr>
        <w:drawing>
          <wp:inline distT="0" distB="0" distL="0" distR="0">
            <wp:extent cx="4146550" cy="37109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890F99" w:rsidRDefault="00890F99" w:rsidP="00B01659">
      <w:pPr>
        <w:ind w:left="720"/>
        <w:jc w:val="center"/>
        <w:rPr>
          <w:rFonts w:ascii="Arial" w:hAnsi="Arial"/>
          <w:sz w:val="24"/>
        </w:rPr>
      </w:pPr>
    </w:p>
    <w:p w:rsidR="00AB32DA" w:rsidRDefault="004260B0" w:rsidP="00C07061">
      <w:pPr>
        <w:ind w:left="720" w:hanging="720"/>
        <w:jc w:val="center"/>
        <w:rPr>
          <w:rFonts w:ascii="Arial" w:hAnsi="Arial"/>
          <w:sz w:val="24"/>
        </w:rPr>
      </w:pPr>
      <w:r w:rsidRPr="004260B0">
        <w:rPr>
          <w:noProof/>
        </w:rPr>
        <w:drawing>
          <wp:inline distT="0" distB="0" distL="0" distR="0">
            <wp:extent cx="4146550" cy="3710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AB32DA" w:rsidRDefault="00AB32DA" w:rsidP="00B01659">
      <w:pPr>
        <w:ind w:left="72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2B4D9D" w:rsidRDefault="002B4D9D">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2B4D9D" w:rsidRDefault="002B4D9D">
      <w:pPr>
        <w:tabs>
          <w:tab w:val="left" w:pos="0"/>
        </w:tabs>
        <w:rPr>
          <w:rFonts w:ascii="Arial" w:hAnsi="Arial"/>
          <w:sz w:val="24"/>
        </w:rPr>
      </w:pPr>
    </w:p>
    <w:p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w:t>
      </w:r>
      <w:proofErr w:type="spellStart"/>
      <w:r>
        <w:rPr>
          <w:rFonts w:ascii="Arial" w:hAnsi="Arial"/>
          <w:sz w:val="24"/>
        </w:rPr>
        <w:t>i</w:t>
      </w:r>
      <w:proofErr w:type="spellEnd"/>
      <w:r>
        <w:rPr>
          <w:rFonts w:ascii="Arial" w:hAnsi="Arial"/>
          <w:sz w:val="24"/>
        </w:rPr>
        <w:t xml:space="preserve">) unconditionally obligate the issuing commercial bank(s) to honor drafts drawn on such letter(s) for </w:t>
      </w:r>
      <w:r>
        <w:rPr>
          <w:rFonts w:ascii="Arial" w:hAnsi="Arial"/>
          <w:sz w:val="24"/>
        </w:rPr>
        <w:lastRenderedPageBreak/>
        <w:t xml:space="preserve">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w:t>
      </w:r>
      <w:r w:rsidR="00345720">
        <w:rPr>
          <w:rFonts w:ascii="Arial" w:hAnsi="Arial"/>
          <w:sz w:val="24"/>
        </w:rPr>
        <w:t>Emera Maine</w:t>
      </w:r>
      <w:r>
        <w:rPr>
          <w:rFonts w:ascii="Arial" w:hAnsi="Arial"/>
          <w:sz w:val="24"/>
        </w:rPr>
        <w:t xml:space="preserve">  as long as the drafts do not exceed the total amount of the letter of credit; and that any draft presented by </w:t>
      </w:r>
      <w:r w:rsidR="00345720">
        <w:rPr>
          <w:rFonts w:ascii="Arial" w:hAnsi="Arial"/>
          <w:sz w:val="24"/>
        </w:rPr>
        <w:t>Emera Maine</w:t>
      </w:r>
      <w:r>
        <w:rPr>
          <w:rFonts w:ascii="Arial" w:hAnsi="Arial"/>
          <w:sz w:val="24"/>
        </w:rPr>
        <w:t xml:space="preserve"> will be honored by the issuer upon presentation.”</w:t>
      </w:r>
    </w:p>
    <w:p w:rsidR="002B4D9D" w:rsidRDefault="002B4D9D">
      <w:pPr>
        <w:tabs>
          <w:tab w:val="left" w:pos="90"/>
        </w:tabs>
        <w:rPr>
          <w:rFonts w:ascii="Arial" w:hAnsi="Arial"/>
          <w:sz w:val="24"/>
        </w:rPr>
      </w:pPr>
    </w:p>
    <w:p w:rsidR="002B4D9D" w:rsidRDefault="002B4D9D">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Electricity and Natural Gas and </w:t>
      </w:r>
      <w:r w:rsidR="00345720">
        <w:rPr>
          <w:rFonts w:ascii="Arial" w:hAnsi="Arial"/>
          <w:sz w:val="24"/>
        </w:rPr>
        <w:t>EM-BHD</w:t>
      </w:r>
      <w:r>
        <w:rPr>
          <w:rFonts w:ascii="Arial" w:hAnsi="Arial"/>
          <w:sz w:val="24"/>
        </w:rPr>
        <w:t xml:space="preserve"> in writing; and (2) provide replacement security that satisfies the requirements of Chapter 301 and this RFP.</w:t>
      </w:r>
    </w:p>
    <w:p w:rsidR="002B4D9D" w:rsidRDefault="002B4D9D">
      <w:pPr>
        <w:tabs>
          <w:tab w:val="left" w:pos="-90"/>
        </w:tabs>
        <w:ind w:left="1440"/>
        <w:rPr>
          <w:rFonts w:ascii="Arial" w:hAnsi="Arial"/>
          <w:sz w:val="24"/>
        </w:rPr>
      </w:pPr>
    </w:p>
    <w:p w:rsidR="002B4D9D" w:rsidRDefault="002B4D9D">
      <w:pPr>
        <w:pStyle w:val="BlockText"/>
        <w:spacing w:line="240" w:lineRule="auto"/>
        <w:ind w:left="0"/>
      </w:pPr>
      <w:r>
        <w:tab/>
      </w:r>
      <w:r>
        <w:tab/>
      </w:r>
    </w:p>
    <w:p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rsidR="002B4D9D" w:rsidRDefault="002B4D9D">
      <w:pPr>
        <w:ind w:left="2160" w:hanging="720"/>
        <w:rPr>
          <w:rFonts w:ascii="Arial" w:hAnsi="Arial"/>
          <w:b/>
          <w:bCs/>
          <w:sz w:val="24"/>
        </w:rPr>
      </w:pPr>
    </w:p>
    <w:p w:rsidR="002B4D9D" w:rsidRDefault="002B4D9D">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The provider’s license must be effective as of the date it is designated a standard offer  provider.</w:t>
      </w:r>
    </w:p>
    <w:p w:rsidR="002B4D9D" w:rsidRDefault="002B4D9D">
      <w:pPr>
        <w:tabs>
          <w:tab w:val="left" w:pos="0"/>
        </w:tabs>
        <w:rPr>
          <w:rFonts w:ascii="Arial" w:hAnsi="Arial"/>
          <w:b/>
          <w:bCs/>
          <w:sz w:val="24"/>
        </w:rPr>
      </w:pPr>
    </w:p>
    <w:p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2B4D9D" w:rsidRDefault="002B4D9D">
      <w:pPr>
        <w:tabs>
          <w:tab w:val="left" w:pos="0"/>
        </w:tabs>
        <w:ind w:left="1440"/>
        <w:rPr>
          <w:rFonts w:ascii="Arial" w:hAnsi="Arial"/>
          <w:b/>
          <w:bCs/>
          <w:sz w:val="24"/>
        </w:rPr>
      </w:pPr>
    </w:p>
    <w:p w:rsidR="002B4D9D" w:rsidRDefault="002B4D9D">
      <w:pPr>
        <w:tabs>
          <w:tab w:val="left" w:pos="0"/>
        </w:tabs>
        <w:ind w:left="1440"/>
        <w:rPr>
          <w:rFonts w:ascii="Arial" w:hAnsi="Arial"/>
          <w:sz w:val="24"/>
        </w:rPr>
      </w:pPr>
      <w:r>
        <w:rPr>
          <w:rFonts w:ascii="Arial" w:hAnsi="Arial"/>
          <w:sz w:val="24"/>
        </w:rPr>
        <w:t xml:space="preserve">Standard offer provider must have an executed Service Agreement with </w:t>
      </w:r>
      <w:r w:rsidR="00345720">
        <w:rPr>
          <w:rFonts w:ascii="Arial" w:hAnsi="Arial"/>
          <w:sz w:val="24"/>
        </w:rPr>
        <w:t>EM-BHD</w:t>
      </w:r>
      <w:r>
        <w:rPr>
          <w:rFonts w:ascii="Arial" w:hAnsi="Arial"/>
          <w:sz w:val="24"/>
        </w:rPr>
        <w:t xml:space="preserve"> within 24 hours of being designated.  (See Appendix C for a Standard Form Service Agreement.)</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must comply with the resource portfolio requirements of Chapter 311 of the Commission’s Rules.  </w:t>
      </w:r>
    </w:p>
    <w:p w:rsidR="002B4D9D" w:rsidRDefault="002B4D9D">
      <w:pPr>
        <w:ind w:firstLine="720"/>
        <w:rPr>
          <w:rFonts w:ascii="Arial" w:hAnsi="Arial"/>
          <w:b/>
          <w:bCs/>
          <w:sz w:val="24"/>
        </w:rPr>
      </w:pPr>
    </w:p>
    <w:p w:rsidR="002B4D9D" w:rsidRDefault="002B4D9D">
      <w:pPr>
        <w:ind w:firstLine="720"/>
        <w:rPr>
          <w:rFonts w:ascii="Arial" w:hAnsi="Arial"/>
          <w:b/>
          <w:bCs/>
          <w:sz w:val="24"/>
        </w:rPr>
      </w:pPr>
      <w:r>
        <w:rPr>
          <w:rFonts w:ascii="Arial" w:hAnsi="Arial"/>
          <w:b/>
          <w:bCs/>
          <w:sz w:val="24"/>
        </w:rPr>
        <w:t>4.10    Disclosure Requirement</w:t>
      </w:r>
    </w:p>
    <w:p w:rsidR="002B4D9D" w:rsidRDefault="002B4D9D">
      <w:pPr>
        <w:ind w:firstLine="720"/>
        <w:rPr>
          <w:rFonts w:ascii="Arial" w:hAnsi="Arial"/>
          <w:b/>
          <w:bCs/>
          <w:sz w:val="24"/>
        </w:rPr>
      </w:pPr>
    </w:p>
    <w:p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w:t>
      </w:r>
      <w:r w:rsidR="00345720">
        <w:rPr>
          <w:rFonts w:ascii="Arial" w:hAnsi="Arial"/>
          <w:sz w:val="24"/>
        </w:rPr>
        <w:t>EM-BHD</w:t>
      </w:r>
      <w:r>
        <w:rPr>
          <w:rFonts w:ascii="Arial" w:hAnsi="Arial"/>
          <w:sz w:val="24"/>
        </w:rPr>
        <w:t xml:space="preserve"> will produce and make available on its website standard offer service disclosure labels pursuant to Chapter 306 of the Commission’s rules on behalf of standard offer provider.  Provider must supply </w:t>
      </w:r>
      <w:r w:rsidR="00345720">
        <w:rPr>
          <w:rFonts w:ascii="Arial" w:hAnsi="Arial"/>
          <w:sz w:val="24"/>
        </w:rPr>
        <w:t>EM-BHD</w:t>
      </w:r>
      <w:r>
        <w:rPr>
          <w:rFonts w:ascii="Arial" w:hAnsi="Arial"/>
          <w:sz w:val="24"/>
        </w:rPr>
        <w:t xml:space="preserve"> with the information needed to prepare accurate and timely labels to be posted on </w:t>
      </w:r>
      <w:r w:rsidR="00345720">
        <w:rPr>
          <w:rFonts w:ascii="Arial" w:hAnsi="Arial"/>
          <w:sz w:val="24"/>
        </w:rPr>
        <w:t>EM-BHD</w:t>
      </w:r>
      <w:r>
        <w:rPr>
          <w:rFonts w:ascii="Arial" w:hAnsi="Arial"/>
          <w:sz w:val="24"/>
        </w:rPr>
        <w:t xml:space="preserve">’s website. </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lastRenderedPageBreak/>
        <w:t>Standard offer provider (or an affiliate) must comply with all applicable ISO-NE requirements, (and those of any successor entity or entities), and shall be the designated load serving entity with a settlement account for the applicable load.  The necessary ISO-NE designations and accounts must be effective at least 30 business days prior to the start of the service term.</w:t>
      </w:r>
    </w:p>
    <w:p w:rsidR="002B4D9D" w:rsidRDefault="002B4D9D">
      <w:pPr>
        <w:ind w:left="1440"/>
        <w:rPr>
          <w:rFonts w:ascii="Arial" w:hAnsi="Arial"/>
          <w:sz w:val="24"/>
        </w:rPr>
      </w:pPr>
    </w:p>
    <w:p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2B4D9D" w:rsidRDefault="002B4D9D">
      <w:pPr>
        <w:tabs>
          <w:tab w:val="left" w:pos="-360"/>
          <w:tab w:val="left" w:pos="540"/>
        </w:tabs>
        <w:rPr>
          <w:rFonts w:ascii="Arial" w:hAnsi="Arial"/>
          <w:b/>
          <w:bCs/>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must exchange data with </w:t>
      </w:r>
      <w:r w:rsidR="00345720">
        <w:rPr>
          <w:rFonts w:ascii="Arial" w:hAnsi="Arial"/>
          <w:sz w:val="24"/>
        </w:rPr>
        <w:t>EM-BHD</w:t>
      </w:r>
      <w:r>
        <w:rPr>
          <w:rFonts w:ascii="Arial" w:hAnsi="Arial"/>
          <w:sz w:val="24"/>
        </w:rPr>
        <w:t xml:space="preserve"> using the electronic business transactions (EBT) protocols and procedures contained in Maine’s EBT standards. The EBT standards are available from the Commission’s web site.</w:t>
      </w:r>
    </w:p>
    <w:p w:rsidR="002B4D9D" w:rsidRDefault="002B4D9D">
      <w:pPr>
        <w:tabs>
          <w:tab w:val="left" w:pos="-360"/>
          <w:tab w:val="left" w:pos="540"/>
        </w:tabs>
        <w:ind w:left="1440"/>
        <w:rPr>
          <w:rFonts w:ascii="Arial" w:hAnsi="Arial"/>
          <w:sz w:val="24"/>
        </w:rPr>
      </w:pPr>
    </w:p>
    <w:p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2B4D9D" w:rsidRDefault="002B4D9D">
      <w:pPr>
        <w:tabs>
          <w:tab w:val="left" w:pos="-360"/>
          <w:tab w:val="left" w:pos="540"/>
        </w:tabs>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w:t>
      </w:r>
      <w:r w:rsidR="00345720">
        <w:rPr>
          <w:rFonts w:ascii="Arial" w:hAnsi="Arial"/>
          <w:sz w:val="24"/>
        </w:rPr>
        <w:t>EM-BHD</w:t>
      </w:r>
      <w:r>
        <w:rPr>
          <w:rFonts w:ascii="Arial" w:hAnsi="Arial"/>
          <w:sz w:val="24"/>
        </w:rPr>
        <w:t xml:space="preserve">.  </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03770C" w:rsidRPr="0003770C">
        <w:rPr>
          <w:rFonts w:ascii="Arial" w:hAnsi="Arial"/>
          <w:sz w:val="24"/>
        </w:rPr>
        <w:t xml:space="preserve">the standard offer provider designated to serve residential customers </w:t>
      </w:r>
      <w:r>
        <w:rPr>
          <w:rFonts w:ascii="Arial" w:hAnsi="Arial"/>
          <w:sz w:val="24"/>
        </w:rPr>
        <w:t xml:space="preserve">to purchase the aggregated output of generators in </w:t>
      </w:r>
      <w:r w:rsidR="00345720">
        <w:rPr>
          <w:rFonts w:ascii="Arial" w:hAnsi="Arial"/>
          <w:sz w:val="24"/>
        </w:rPr>
        <w:t>EM-BHD</w:t>
      </w:r>
      <w:r>
        <w:rPr>
          <w:rFonts w:ascii="Arial" w:hAnsi="Arial"/>
          <w:sz w:val="24"/>
        </w:rPr>
        <w:t>’s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These provisions do not apply to providers of medium and large class standard offer service.</w:t>
      </w:r>
    </w:p>
    <w:p w:rsidR="002B4D9D" w:rsidRDefault="002B4D9D">
      <w:pPr>
        <w:tabs>
          <w:tab w:val="left" w:pos="-360"/>
          <w:tab w:val="left" w:pos="540"/>
        </w:tabs>
        <w:ind w:left="1440"/>
        <w:rPr>
          <w:rFonts w:ascii="Arial" w:hAnsi="Arial"/>
          <w:sz w:val="24"/>
        </w:rPr>
      </w:pPr>
    </w:p>
    <w:p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rsidR="002B4D9D" w:rsidRDefault="002B4D9D">
      <w:pPr>
        <w:rPr>
          <w:rFonts w:ascii="Arial" w:hAnsi="Arial"/>
          <w:b/>
          <w:sz w:val="24"/>
        </w:rPr>
      </w:pPr>
    </w:p>
    <w:p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rsidR="002B4D9D" w:rsidRDefault="002B4D9D">
      <w:pPr>
        <w:rPr>
          <w:rFonts w:ascii="Arial" w:hAnsi="Arial"/>
          <w:b/>
          <w:sz w:val="24"/>
        </w:rPr>
      </w:pPr>
    </w:p>
    <w:p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rsidR="002B4D9D" w:rsidRDefault="002B4D9D">
      <w:pPr>
        <w:numPr>
          <w:ilvl w:val="12"/>
          <w:numId w:val="0"/>
        </w:numPr>
        <w:rPr>
          <w:rFonts w:ascii="Arial" w:hAnsi="Arial"/>
          <w:sz w:val="24"/>
        </w:rPr>
      </w:pPr>
    </w:p>
    <w:p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rsidR="002B4D9D" w:rsidRDefault="002B4D9D">
      <w:pPr>
        <w:pStyle w:val="BodyTextIndent3"/>
        <w:spacing w:after="0"/>
        <w:jc w:val="left"/>
        <w:rPr>
          <w:sz w:val="24"/>
        </w:rPr>
      </w:pPr>
    </w:p>
    <w:p w:rsidR="002B4D9D" w:rsidRDefault="00345720">
      <w:pPr>
        <w:pStyle w:val="BodyTextIndent3"/>
        <w:spacing w:after="0"/>
        <w:jc w:val="left"/>
        <w:rPr>
          <w:sz w:val="24"/>
        </w:rPr>
      </w:pPr>
      <w:r>
        <w:rPr>
          <w:sz w:val="24"/>
        </w:rPr>
        <w:lastRenderedPageBreak/>
        <w:t>EM-BHD</w:t>
      </w:r>
      <w:r w:rsidR="002B4D9D">
        <w:rPr>
          <w:sz w:val="24"/>
        </w:rPr>
        <w:t xml:space="preserve"> will issue bills and receive payments from customers for standard offer service and will transfer funds to the standard offer provider in accordance with the Service Agreement.</w:t>
      </w:r>
    </w:p>
    <w:p w:rsidR="002B4D9D" w:rsidRDefault="002B4D9D">
      <w:pPr>
        <w:pStyle w:val="BodyTextIndent3"/>
        <w:spacing w:after="0"/>
        <w:jc w:val="left"/>
        <w:rPr>
          <w:sz w:val="24"/>
        </w:rPr>
      </w:pPr>
    </w:p>
    <w:p w:rsidR="002B4D9D" w:rsidRDefault="002B4D9D">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2B4D9D" w:rsidRDefault="002B4D9D">
      <w:pPr>
        <w:pStyle w:val="BodyTextIndent3"/>
        <w:spacing w:after="0"/>
        <w:ind w:left="0"/>
        <w:jc w:val="left"/>
        <w:rPr>
          <w:b/>
          <w:sz w:val="24"/>
        </w:rPr>
      </w:pPr>
    </w:p>
    <w:p w:rsidR="002B4D9D" w:rsidRDefault="002B4D9D">
      <w:pPr>
        <w:pStyle w:val="BodyTextIndent3"/>
        <w:spacing w:after="0"/>
        <w:ind w:left="0"/>
        <w:jc w:val="left"/>
        <w:rPr>
          <w:b/>
          <w:sz w:val="24"/>
        </w:rPr>
      </w:pPr>
      <w:r>
        <w:rPr>
          <w:b/>
          <w:sz w:val="24"/>
        </w:rPr>
        <w:t>6.</w:t>
      </w:r>
      <w:r>
        <w:rPr>
          <w:b/>
          <w:sz w:val="24"/>
        </w:rPr>
        <w:tab/>
        <w:t>PROVIDER LEGAL OBLIGATIONS</w:t>
      </w:r>
    </w:p>
    <w:p w:rsidR="002B4D9D" w:rsidRDefault="002B4D9D">
      <w:pPr>
        <w:pStyle w:val="BodyTextIndent3"/>
        <w:spacing w:after="0"/>
        <w:ind w:left="0"/>
        <w:jc w:val="left"/>
        <w:rPr>
          <w:sz w:val="24"/>
        </w:rPr>
      </w:pPr>
    </w:p>
    <w:p w:rsidR="002B4D9D" w:rsidRDefault="002B4D9D">
      <w:pPr>
        <w:pStyle w:val="BodyTextIndent3"/>
        <w:spacing w:after="0"/>
        <w:ind w:left="720"/>
        <w:jc w:val="left"/>
        <w:rPr>
          <w:sz w:val="24"/>
        </w:rPr>
      </w:pPr>
      <w:r>
        <w:rPr>
          <w:b/>
          <w:sz w:val="24"/>
        </w:rPr>
        <w:t>6.1</w:t>
      </w:r>
      <w:r>
        <w:rPr>
          <w:b/>
          <w:sz w:val="24"/>
        </w:rPr>
        <w:tab/>
        <w:t>Legal Obligations and Responsibilities</w:t>
      </w:r>
    </w:p>
    <w:p w:rsidR="002B4D9D" w:rsidRDefault="002B4D9D">
      <w:pPr>
        <w:pStyle w:val="BodyTextIndent3"/>
        <w:tabs>
          <w:tab w:val="left" w:pos="-1080"/>
          <w:tab w:val="left" w:pos="0"/>
        </w:tabs>
        <w:spacing w:after="0"/>
        <w:jc w:val="left"/>
        <w:rPr>
          <w:sz w:val="24"/>
        </w:rPr>
      </w:pPr>
    </w:p>
    <w:p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rsidR="002B4D9D" w:rsidRDefault="002B4D9D">
      <w:pPr>
        <w:pStyle w:val="BodyTextIndent3"/>
        <w:tabs>
          <w:tab w:val="left" w:pos="-1080"/>
          <w:tab w:val="left" w:pos="0"/>
        </w:tabs>
        <w:spacing w:after="0"/>
        <w:jc w:val="left"/>
        <w:rPr>
          <w:sz w:val="24"/>
        </w:rPr>
      </w:pPr>
    </w:p>
    <w:p w:rsidR="002B4D9D" w:rsidRDefault="002B4D9D">
      <w:pPr>
        <w:pStyle w:val="BodyTextIndent3"/>
        <w:spacing w:after="0"/>
        <w:ind w:left="720"/>
        <w:jc w:val="left"/>
        <w:rPr>
          <w:sz w:val="24"/>
        </w:rPr>
      </w:pPr>
      <w:r>
        <w:rPr>
          <w:b/>
          <w:sz w:val="24"/>
        </w:rPr>
        <w:t>6.2</w:t>
      </w:r>
      <w:r>
        <w:rPr>
          <w:b/>
          <w:sz w:val="24"/>
        </w:rPr>
        <w:tab/>
        <w:t>Provider Default</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If the Commission declares a provider to be in default and there are additional costs of replacement service</w:t>
      </w:r>
      <w:proofErr w:type="gramStart"/>
      <w:r>
        <w:rPr>
          <w:sz w:val="24"/>
        </w:rPr>
        <w:t>,  it</w:t>
      </w:r>
      <w:proofErr w:type="gramEnd"/>
      <w:r>
        <w:rPr>
          <w:sz w:val="24"/>
        </w:rPr>
        <w:t xml:space="preserve"> may direct </w:t>
      </w:r>
      <w:r w:rsidR="00345720">
        <w:rPr>
          <w:sz w:val="24"/>
        </w:rPr>
        <w:t>EM-BHD</w:t>
      </w:r>
      <w:r>
        <w:rPr>
          <w:sz w:val="24"/>
        </w:rPr>
        <w:t xml:space="preserve">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 the event that the defaulting provider fails to pay the additional costs of replacement service, as ordered by the Commission and the amounts obtained by </w:t>
      </w:r>
      <w:r w:rsidR="00345720">
        <w:rPr>
          <w:sz w:val="24"/>
        </w:rPr>
        <w:t>EM-BHD</w:t>
      </w:r>
      <w:r>
        <w:rPr>
          <w:sz w:val="24"/>
        </w:rPr>
        <w:t xml:space="preserve"> from the financial security are not sufficient to cover </w:t>
      </w:r>
      <w:r>
        <w:rPr>
          <w:sz w:val="24"/>
        </w:rPr>
        <w:lastRenderedPageBreak/>
        <w:t>the additional costs of replacement service, the Commission or Maine’s Attorney General may bring legal action in Maine courts to fully recover these amounts.</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2B4D9D" w:rsidRDefault="002B4D9D">
      <w:pPr>
        <w:pStyle w:val="BodyTextIndent3"/>
        <w:spacing w:after="0"/>
        <w:ind w:left="0"/>
        <w:jc w:val="left"/>
        <w:rPr>
          <w:sz w:val="24"/>
        </w:rPr>
      </w:pPr>
    </w:p>
    <w:p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2B4D9D" w:rsidRDefault="002B4D9D">
      <w:pPr>
        <w:pStyle w:val="BodyTextIndent3"/>
        <w:numPr>
          <w:ilvl w:val="12"/>
          <w:numId w:val="0"/>
        </w:numPr>
        <w:spacing w:after="0"/>
        <w:ind w:left="1440"/>
        <w:jc w:val="left"/>
        <w:rPr>
          <w:sz w:val="24"/>
        </w:rPr>
      </w:pPr>
    </w:p>
    <w:p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2B4D9D" w:rsidRDefault="002B4D9D">
      <w:pPr>
        <w:ind w:left="720"/>
        <w:jc w:val="both"/>
        <w:rPr>
          <w:rFonts w:ascii="Arial" w:hAnsi="Arial"/>
          <w:b/>
          <w:sz w:val="24"/>
        </w:rPr>
      </w:pPr>
    </w:p>
    <w:p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2B4D9D" w:rsidRDefault="002B4D9D">
      <w:pPr>
        <w:pStyle w:val="BodyTextIndent3"/>
        <w:numPr>
          <w:ilvl w:val="12"/>
          <w:numId w:val="0"/>
        </w:numPr>
        <w:spacing w:after="0"/>
        <w:ind w:left="1440"/>
        <w:jc w:val="left"/>
        <w:rPr>
          <w:sz w:val="24"/>
        </w:rPr>
      </w:pPr>
    </w:p>
    <w:p w:rsidR="002B4D9D" w:rsidRDefault="002B4D9D">
      <w:pPr>
        <w:pStyle w:val="Heading2"/>
        <w:numPr>
          <w:ilvl w:val="0"/>
          <w:numId w:val="0"/>
        </w:numPr>
        <w:ind w:left="720"/>
        <w:jc w:val="left"/>
        <w:rPr>
          <w:sz w:val="24"/>
        </w:rPr>
      </w:pPr>
      <w:r>
        <w:rPr>
          <w:sz w:val="24"/>
        </w:rPr>
        <w:t>7.3</w:t>
      </w:r>
      <w:r>
        <w:rPr>
          <w:sz w:val="24"/>
        </w:rPr>
        <w:tab/>
        <w:t>Rights of the Commission</w:t>
      </w:r>
    </w:p>
    <w:p w:rsidR="002B4D9D" w:rsidRDefault="002B4D9D">
      <w:pPr>
        <w:pStyle w:val="BodyTextIndent3"/>
        <w:spacing w:after="0"/>
        <w:ind w:left="720" w:firstLine="720"/>
        <w:jc w:val="left"/>
        <w:rPr>
          <w:sz w:val="24"/>
        </w:rPr>
      </w:pPr>
    </w:p>
    <w:p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2B4D9D" w:rsidRDefault="002B4D9D">
      <w:pPr>
        <w:pStyle w:val="BodyTextIndent3"/>
        <w:spacing w:after="0"/>
        <w:jc w:val="left"/>
        <w:rPr>
          <w:sz w:val="24"/>
        </w:rPr>
      </w:pPr>
    </w:p>
    <w:p w:rsidR="002B4D9D" w:rsidRDefault="002B4D9D">
      <w:pPr>
        <w:pStyle w:val="BodyTextIndent3"/>
        <w:spacing w:after="0"/>
        <w:ind w:left="720"/>
        <w:jc w:val="left"/>
        <w:rPr>
          <w:sz w:val="24"/>
        </w:rPr>
      </w:pPr>
      <w:r>
        <w:rPr>
          <w:b/>
          <w:sz w:val="24"/>
        </w:rPr>
        <w:t>7.4</w:t>
      </w:r>
      <w:r>
        <w:rPr>
          <w:b/>
          <w:sz w:val="24"/>
        </w:rPr>
        <w:tab/>
        <w:t>State Held Harmless</w:t>
      </w:r>
    </w:p>
    <w:p w:rsidR="002B4D9D" w:rsidRDefault="002B4D9D">
      <w:pPr>
        <w:pStyle w:val="BodyTextIndent3"/>
        <w:spacing w:after="0"/>
        <w:ind w:left="720"/>
        <w:jc w:val="left"/>
        <w:rPr>
          <w:sz w:val="24"/>
        </w:rPr>
      </w:pPr>
    </w:p>
    <w:p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rsidR="002B4D9D" w:rsidRDefault="002B4D9D">
      <w:pPr>
        <w:pStyle w:val="BodyTextIndent3"/>
        <w:spacing w:after="0"/>
        <w:jc w:val="left"/>
        <w:rPr>
          <w:sz w:val="24"/>
        </w:rPr>
      </w:pPr>
    </w:p>
    <w:p w:rsidR="002B4D9D" w:rsidRDefault="002B4D9D">
      <w:pPr>
        <w:pStyle w:val="Heading2"/>
        <w:numPr>
          <w:ilvl w:val="0"/>
          <w:numId w:val="0"/>
        </w:numPr>
        <w:ind w:left="720"/>
        <w:jc w:val="left"/>
        <w:rPr>
          <w:sz w:val="24"/>
        </w:rPr>
      </w:pPr>
      <w:r>
        <w:rPr>
          <w:sz w:val="24"/>
        </w:rPr>
        <w:lastRenderedPageBreak/>
        <w:t>7.5.</w:t>
      </w:r>
      <w:r>
        <w:rPr>
          <w:sz w:val="24"/>
        </w:rPr>
        <w:tab/>
        <w:t>Warranty</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6" w:rsidRDefault="00AE04B6">
      <w:r>
        <w:separator/>
      </w:r>
    </w:p>
  </w:endnote>
  <w:endnote w:type="continuationSeparator" w:id="0">
    <w:p w:rsidR="00AE04B6" w:rsidRDefault="00A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6" w:rsidRDefault="00AE04B6">
      <w:r>
        <w:separator/>
      </w:r>
    </w:p>
  </w:footnote>
  <w:footnote w:type="continuationSeparator" w:id="0">
    <w:p w:rsidR="00AE04B6" w:rsidRDefault="00AE04B6">
      <w:r>
        <w:continuationSeparator/>
      </w:r>
    </w:p>
  </w:footnote>
  <w:footnote w:id="1">
    <w:p w:rsidR="00A0751B" w:rsidRPr="005B0682" w:rsidRDefault="00A0751B">
      <w:pPr>
        <w:pStyle w:val="FootnoteText"/>
        <w:rPr>
          <w:rFonts w:ascii="Arial" w:hAnsi="Arial" w:cs="Arial"/>
          <w:sz w:val="24"/>
          <w:szCs w:val="24"/>
        </w:rPr>
      </w:pPr>
      <w:r>
        <w:tab/>
      </w:r>
      <w:r w:rsidRPr="005B0682">
        <w:rPr>
          <w:rStyle w:val="FootnoteReference"/>
          <w:rFonts w:ascii="Arial" w:hAnsi="Arial" w:cs="Arial"/>
          <w:sz w:val="24"/>
          <w:szCs w:val="24"/>
        </w:rPr>
        <w:footnoteRef/>
      </w:r>
      <w:r w:rsidRPr="005B0682">
        <w:rPr>
          <w:rFonts w:ascii="Arial" w:hAnsi="Arial" w:cs="Arial"/>
          <w:sz w:val="24"/>
          <w:szCs w:val="24"/>
        </w:rPr>
        <w:t xml:space="preserve"> A 34% tranche is supplied by an existing arrangement through February 29, 2016.</w:t>
      </w:r>
    </w:p>
  </w:footnote>
  <w:footnote w:id="2">
    <w:p w:rsidR="002B4D9D" w:rsidRDefault="002B4D9D">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Pr>
          <w:rFonts w:ascii="Arial" w:hAnsi="Arial" w:cs="Arial"/>
        </w:rPr>
        <w:t>. The applicable data set codes and descriptions are NI—ISO New England Mass Hub Day-Ahead Peak Calendar-Month 2.5 MW Futures and KI—ISO New England Mass Hub Off-Peak LMP Futures.</w:t>
      </w:r>
    </w:p>
    <w:p w:rsidR="002B4D9D" w:rsidRDefault="002B4D9D">
      <w:pPr>
        <w:pStyle w:val="FootnoteText"/>
      </w:pPr>
    </w:p>
  </w:footnote>
  <w:footnote w:id="3">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4">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2B4D9D" w:rsidRDefault="002B4D9D">
      <w:pPr>
        <w:pStyle w:val="FootnoteText"/>
        <w:rPr>
          <w:rFonts w:ascii="Arial" w:hAnsi="Arial" w:cs="Arial"/>
        </w:rPr>
      </w:pPr>
    </w:p>
  </w:footnote>
  <w:footnote w:id="5">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2B4D9D" w:rsidRDefault="002B4D9D">
      <w:pPr>
        <w:pStyle w:val="FootnoteText"/>
        <w:rPr>
          <w:rFonts w:ascii="Arial" w:hAnsi="Arial" w:cs="Arial"/>
        </w:rPr>
      </w:pPr>
      <w:r>
        <w:rPr>
          <w:rFonts w:ascii="Arial" w:hAnsi="Arial" w:cs="Arial"/>
        </w:rPr>
        <w:tab/>
      </w:r>
    </w:p>
  </w:footnote>
  <w:footnote w:id="6">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4259DB">
      <w:rPr>
        <w:rFonts w:ascii="Arial" w:hAnsi="Arial"/>
        <w:b/>
        <w:noProof/>
        <w:snapToGrid w:val="0"/>
        <w:sz w:val="24"/>
        <w:u w:val="single"/>
      </w:rPr>
      <w:t>20</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r>
    <w:r w:rsidR="00345720">
      <w:rPr>
        <w:rFonts w:ascii="Arial" w:hAnsi="Arial"/>
        <w:b/>
        <w:sz w:val="24"/>
        <w:u w:val="single"/>
      </w:rPr>
      <w:t>EM-BHD</w:t>
    </w:r>
    <w:r>
      <w:rPr>
        <w:rFonts w:ascii="Arial" w:hAnsi="Arial"/>
        <w:b/>
        <w:sz w:val="24"/>
        <w:u w:val="single"/>
      </w:rPr>
      <w:t xml:space="preserve"> Standard Offer</w:t>
    </w:r>
  </w:p>
  <w:p w:rsidR="002B4D9D" w:rsidRDefault="002B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016359"/>
    <w:multiLevelType w:val="hybridMultilevel"/>
    <w:tmpl w:val="34840BB8"/>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6">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6"/>
  </w:num>
  <w:num w:numId="8">
    <w:abstractNumId w:val="17"/>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3770C"/>
    <w:rsid w:val="00054805"/>
    <w:rsid w:val="00074654"/>
    <w:rsid w:val="000820A5"/>
    <w:rsid w:val="000929AA"/>
    <w:rsid w:val="00107E18"/>
    <w:rsid w:val="00123028"/>
    <w:rsid w:val="00144661"/>
    <w:rsid w:val="00162AFF"/>
    <w:rsid w:val="00164788"/>
    <w:rsid w:val="00171096"/>
    <w:rsid w:val="001F74D0"/>
    <w:rsid w:val="00245143"/>
    <w:rsid w:val="0026168A"/>
    <w:rsid w:val="00283F83"/>
    <w:rsid w:val="002B4D9D"/>
    <w:rsid w:val="002C11AE"/>
    <w:rsid w:val="002C6A94"/>
    <w:rsid w:val="002F14F9"/>
    <w:rsid w:val="00321C48"/>
    <w:rsid w:val="00345720"/>
    <w:rsid w:val="00357775"/>
    <w:rsid w:val="003711A4"/>
    <w:rsid w:val="003723E9"/>
    <w:rsid w:val="00372C55"/>
    <w:rsid w:val="003B320B"/>
    <w:rsid w:val="003C3655"/>
    <w:rsid w:val="003E22C4"/>
    <w:rsid w:val="00422CF8"/>
    <w:rsid w:val="004259DB"/>
    <w:rsid w:val="004260B0"/>
    <w:rsid w:val="00436C0D"/>
    <w:rsid w:val="004755EA"/>
    <w:rsid w:val="004865B6"/>
    <w:rsid w:val="004B0ED7"/>
    <w:rsid w:val="004B5052"/>
    <w:rsid w:val="004F6EC3"/>
    <w:rsid w:val="00552329"/>
    <w:rsid w:val="00574B44"/>
    <w:rsid w:val="00577963"/>
    <w:rsid w:val="00596B80"/>
    <w:rsid w:val="005B0682"/>
    <w:rsid w:val="005B2F2E"/>
    <w:rsid w:val="006229B9"/>
    <w:rsid w:val="00622B90"/>
    <w:rsid w:val="00675FA0"/>
    <w:rsid w:val="006F1EFD"/>
    <w:rsid w:val="00714265"/>
    <w:rsid w:val="00735064"/>
    <w:rsid w:val="0074089A"/>
    <w:rsid w:val="00746C98"/>
    <w:rsid w:val="0076002D"/>
    <w:rsid w:val="00767250"/>
    <w:rsid w:val="00790520"/>
    <w:rsid w:val="007A28AE"/>
    <w:rsid w:val="007D3A9A"/>
    <w:rsid w:val="007D6591"/>
    <w:rsid w:val="00815AA7"/>
    <w:rsid w:val="0085134C"/>
    <w:rsid w:val="00890F99"/>
    <w:rsid w:val="008937C5"/>
    <w:rsid w:val="008B46CC"/>
    <w:rsid w:val="008B6F5C"/>
    <w:rsid w:val="008B7C6E"/>
    <w:rsid w:val="008E5BE1"/>
    <w:rsid w:val="008F6940"/>
    <w:rsid w:val="00967CF8"/>
    <w:rsid w:val="009B4258"/>
    <w:rsid w:val="009B4DB9"/>
    <w:rsid w:val="009D20C4"/>
    <w:rsid w:val="009F5719"/>
    <w:rsid w:val="00A0751B"/>
    <w:rsid w:val="00A1177B"/>
    <w:rsid w:val="00A17C26"/>
    <w:rsid w:val="00A25D08"/>
    <w:rsid w:val="00A345C7"/>
    <w:rsid w:val="00A378F9"/>
    <w:rsid w:val="00A41CCF"/>
    <w:rsid w:val="00A57C20"/>
    <w:rsid w:val="00A8439B"/>
    <w:rsid w:val="00A867B1"/>
    <w:rsid w:val="00AA79EA"/>
    <w:rsid w:val="00AB0690"/>
    <w:rsid w:val="00AB32DA"/>
    <w:rsid w:val="00AC7683"/>
    <w:rsid w:val="00AD22BC"/>
    <w:rsid w:val="00AD6F20"/>
    <w:rsid w:val="00AE04B6"/>
    <w:rsid w:val="00AE1850"/>
    <w:rsid w:val="00B01659"/>
    <w:rsid w:val="00B11E9B"/>
    <w:rsid w:val="00B41AEE"/>
    <w:rsid w:val="00B44E1C"/>
    <w:rsid w:val="00B45379"/>
    <w:rsid w:val="00B50FB9"/>
    <w:rsid w:val="00B555E6"/>
    <w:rsid w:val="00B75BF0"/>
    <w:rsid w:val="00C07061"/>
    <w:rsid w:val="00C10630"/>
    <w:rsid w:val="00C41824"/>
    <w:rsid w:val="00C63FA6"/>
    <w:rsid w:val="00C67EF2"/>
    <w:rsid w:val="00C738C0"/>
    <w:rsid w:val="00CA2368"/>
    <w:rsid w:val="00CA4A45"/>
    <w:rsid w:val="00CC1F0E"/>
    <w:rsid w:val="00CE61D8"/>
    <w:rsid w:val="00D11F2D"/>
    <w:rsid w:val="00D90454"/>
    <w:rsid w:val="00DA4432"/>
    <w:rsid w:val="00DC2238"/>
    <w:rsid w:val="00DF3D9E"/>
    <w:rsid w:val="00E55DE4"/>
    <w:rsid w:val="00EA42C2"/>
    <w:rsid w:val="00EB1A7D"/>
    <w:rsid w:val="00F100A5"/>
    <w:rsid w:val="00F46B05"/>
    <w:rsid w:val="00F737CD"/>
    <w:rsid w:val="00F84772"/>
    <w:rsid w:val="00FA21CC"/>
    <w:rsid w:val="00FB1447"/>
    <w:rsid w:val="00FB3C0C"/>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F6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F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gela.monroe@maine.gov" TargetMode="External"/><Relationship Id="rId17" Type="http://schemas.openxmlformats.org/officeDocument/2006/relationships/hyperlink" Target="http://www.maine.gov/mpuc/electricity/rfps/so_solicitations.shtml" TargetMode="External"/><Relationship Id="rId2" Type="http://schemas.openxmlformats.org/officeDocument/2006/relationships/numbering" Target="numbering.xml"/><Relationship Id="rId16" Type="http://schemas.openxmlformats.org/officeDocument/2006/relationships/hyperlink" Target="http://www.maine.gov/mpuc"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23" Type="http://schemas.openxmlformats.org/officeDocument/2006/relationships/theme" Target="theme/theme1.xml"/><Relationship Id="rId10" Type="http://schemas.openxmlformats.org/officeDocument/2006/relationships/hyperlink" Target="mailto:faith.huntington@maine.go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maine.gov/mpuc/electricity/rfps/so_solicitations.shtml" TargetMode="External"/><Relationship Id="rId14" Type="http://schemas.openxmlformats.org/officeDocument/2006/relationships/hyperlink" Target="mailto:tim.olesniewicz@emerama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049E-C2A9-4A58-99D5-FFB91899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32633</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16</cp:revision>
  <cp:lastPrinted>2014-11-04T15:23:00Z</cp:lastPrinted>
  <dcterms:created xsi:type="dcterms:W3CDTF">2015-09-08T19:27:00Z</dcterms:created>
  <dcterms:modified xsi:type="dcterms:W3CDTF">2015-09-09T14:29:00Z</dcterms:modified>
</cp:coreProperties>
</file>