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20" w:rsidRPr="00484A3F" w:rsidRDefault="00882A0B" w:rsidP="00716620">
      <w:pPr>
        <w:pStyle w:val="Title"/>
        <w:rPr>
          <w:color w:val="FFFFFF"/>
        </w:rPr>
      </w:pPr>
      <w:r>
        <w:rPr>
          <w:color w:val="auto"/>
          <w14:shadow w14:blurRad="0" w14:dist="0" w14:dir="0" w14:sx="0" w14:sy="0" w14:kx="0" w14:ky="0" w14:algn="none">
            <w14:srgbClr w14:val="000000"/>
          </w14:shadow>
          <w14:textFill>
            <w14:solidFill>
              <w14:srgbClr w14:val="FFFFFF"/>
            </w14:solidFill>
          </w14:textFill>
        </w:rPr>
        <w:drawing>
          <wp:anchor distT="0" distB="0" distL="114300" distR="114300" simplePos="0" relativeHeight="251657728" behindDoc="0" locked="0" layoutInCell="1" allowOverlap="0">
            <wp:simplePos x="0" y="0"/>
            <wp:positionH relativeFrom="column">
              <wp:posOffset>0</wp:posOffset>
            </wp:positionH>
            <wp:positionV relativeFrom="paragraph">
              <wp:posOffset>0</wp:posOffset>
            </wp:positionV>
            <wp:extent cx="880110" cy="709930"/>
            <wp:effectExtent l="0" t="0" r="0" b="0"/>
            <wp:wrapNone/>
            <wp:docPr id="8" name="Picture 440" descr="Maine Department of Labor, Center for Workforce Research and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Maine Department of Labor, Center for Workforce Research and Inform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20" w:rsidRPr="00484A3F">
        <w:rPr>
          <w:color w:val="FFFFFF"/>
          <w:szCs w:val="72"/>
        </w:rPr>
        <w:t>Research</w:t>
      </w:r>
      <w:r w:rsidR="00716620" w:rsidRPr="00484A3F">
        <w:rPr>
          <w:color w:val="FFFFFF"/>
        </w:rPr>
        <w:t xml:space="preserve"> Brief</w:t>
      </w:r>
    </w:p>
    <w:p w:rsidR="00716620" w:rsidRPr="00484A3F" w:rsidRDefault="00716620" w:rsidP="00716620">
      <w:pPr>
        <w:pStyle w:val="Subtitle"/>
        <w:rPr>
          <w:color w:val="FFFFFF"/>
        </w:rPr>
      </w:pPr>
      <w:r w:rsidRPr="00484A3F">
        <w:rPr>
          <w:color w:val="FFFFFF"/>
        </w:rPr>
        <w:t xml:space="preserve">Center for </w:t>
      </w:r>
      <w:r w:rsidRPr="00484A3F">
        <w:rPr>
          <w:color w:val="FFFFFF"/>
          <w:szCs w:val="32"/>
        </w:rPr>
        <w:t>Workforce</w:t>
      </w:r>
      <w:r w:rsidRPr="00484A3F">
        <w:rPr>
          <w:color w:val="FFFFFF"/>
        </w:rPr>
        <w:t xml:space="preserve"> Research and Information</w:t>
      </w:r>
    </w:p>
    <w:p w:rsidR="00716620" w:rsidRPr="00DC0571" w:rsidRDefault="008E6818" w:rsidP="00DC0571">
      <w:pPr>
        <w:pStyle w:val="Header"/>
      </w:pPr>
      <w:r>
        <w:t>August</w:t>
      </w:r>
      <w:r w:rsidR="00E052EE">
        <w:t xml:space="preserve"> 2013</w:t>
      </w:r>
    </w:p>
    <w:p w:rsidR="001208C3" w:rsidRPr="005B3EA7" w:rsidRDefault="005B3EA7" w:rsidP="00415200">
      <w:pPr>
        <w:pStyle w:val="Heading1"/>
        <w:spacing w:before="480" w:after="240"/>
      </w:pPr>
      <w:r>
        <w:t>New Businesses Started in</w:t>
      </w:r>
      <w:r w:rsidR="00DA121F">
        <w:t xml:space="preserve"> 2008</w:t>
      </w:r>
      <w:r>
        <w:t xml:space="preserve">: </w:t>
      </w:r>
      <w:r w:rsidR="00415200">
        <w:br/>
      </w:r>
      <w:r>
        <w:t>Tracking Jobs and W</w:t>
      </w:r>
      <w:r w:rsidRPr="005B3EA7">
        <w:t xml:space="preserve">ages through </w:t>
      </w:r>
      <w:r w:rsidR="00DA121F" w:rsidRPr="005B3EA7">
        <w:t>2012</w:t>
      </w:r>
    </w:p>
    <w:p w:rsidR="00DA121F" w:rsidRPr="00DA121F" w:rsidRDefault="00DA121F" w:rsidP="00DA121F">
      <w:pPr>
        <w:pStyle w:val="BodyText"/>
      </w:pPr>
      <w:r w:rsidRPr="00DA121F">
        <w:t xml:space="preserve">New businesses are the focus of recent </w:t>
      </w:r>
      <w:r w:rsidR="00301637">
        <w:t>national research as a primary</w:t>
      </w:r>
      <w:r w:rsidRPr="00DA121F">
        <w:t xml:space="preserve"> source of new jobs.</w:t>
      </w:r>
      <w:r w:rsidRPr="00DA121F">
        <w:rPr>
          <w:vertAlign w:val="superscript"/>
        </w:rPr>
        <w:footnoteReference w:id="1"/>
      </w:r>
      <w:r w:rsidRPr="00DA121F">
        <w:t xml:space="preserve"> Prior reports from the Center for Workforce Research and Information document that new Maine businesses created more new jobs during their initial year than existing private businesses. In this report, we revisit businesses that debuted in 2008, tracking employment and wages through 2012 to measure how these new businesses performed over time in order to gain a deeper understanding of job creation and destruction at young firms.</w:t>
      </w:r>
    </w:p>
    <w:p w:rsidR="00DA121F" w:rsidRPr="00DA121F" w:rsidRDefault="00DA121F" w:rsidP="00DA121F">
      <w:pPr>
        <w:pStyle w:val="Heading2"/>
      </w:pPr>
      <w:r w:rsidRPr="00DA121F">
        <w:t>Defining and Identifying New Businesses</w:t>
      </w:r>
    </w:p>
    <w:p w:rsidR="00DA121F" w:rsidRPr="00DA121F" w:rsidRDefault="00DA121F" w:rsidP="00DA121F">
      <w:pPr>
        <w:pStyle w:val="BodyText"/>
      </w:pPr>
      <w:r w:rsidRPr="00DA121F">
        <w:t xml:space="preserve">New businesses are defined in this report as those employing covered workers for the first time in 2008. Data are from the Quarterly Census of Employment and Wages (QCEW), a database derived from unemployment insurance tax reports. New businesses are establishments: firms with a single work location or worksites of firms with multiple locations. </w:t>
      </w:r>
    </w:p>
    <w:p w:rsidR="00DA121F" w:rsidRPr="00DA121F" w:rsidRDefault="00DA121F" w:rsidP="00DA121F">
      <w:pPr>
        <w:pStyle w:val="BodyText"/>
      </w:pPr>
      <w:r w:rsidRPr="00DA121F">
        <w:t>Business opening is defined as the start of covered employment.  We define business closure as the end of covered employment, as indicated by an end date or—in the absence of an end date—assigned after four consecutive quarters with zero wages. The interval between the start and end of covered employment marks the duration of business survival. For our purposes, the transfer</w:t>
      </w:r>
      <w:r w:rsidR="005B3EA7">
        <w:t xml:space="preserve"> of employment from one business to a succeeding business</w:t>
      </w:r>
      <w:r w:rsidRPr="00DA121F">
        <w:t xml:space="preserve"> constitutes continuation of covered e</w:t>
      </w:r>
      <w:bookmarkStart w:id="0" w:name="_GoBack"/>
      <w:bookmarkEnd w:id="0"/>
      <w:r w:rsidRPr="00DA121F">
        <w:t>mployment; new businesses that are succeeded without interruption are counted as surviving with the succeeding employer added to the roster of new businesses, except in cases of acquisition by or merger with a larger firm.</w:t>
      </w:r>
    </w:p>
    <w:p w:rsidR="00DA121F" w:rsidRPr="00DA121F" w:rsidRDefault="00DA121F" w:rsidP="00DA121F">
      <w:pPr>
        <w:pStyle w:val="BodyText"/>
      </w:pPr>
      <w:r w:rsidRPr="00DA121F">
        <w:t>Initial criteria used to identify potential new businesses are first employment in 2008 and private ownership—excluding construction firms, private households and membership organizations. Businesses are further researched for links to pre-existing businesses, for missing or incomplete data, and for successors. The method employed to identify and verify new businesses is detailed in the Appendix.</w:t>
      </w:r>
    </w:p>
    <w:p w:rsidR="00DA121F" w:rsidRPr="00DA121F" w:rsidRDefault="00DA121F" w:rsidP="00A53B05">
      <w:pPr>
        <w:pStyle w:val="Heading3"/>
      </w:pPr>
      <w:r w:rsidRPr="00DA121F">
        <w:t>Scope of Analysis</w:t>
      </w:r>
    </w:p>
    <w:p w:rsidR="00DA121F" w:rsidRPr="00DA121F" w:rsidRDefault="00DA121F" w:rsidP="00DA121F">
      <w:pPr>
        <w:pStyle w:val="BodyText"/>
      </w:pPr>
      <w:r w:rsidRPr="00DA121F">
        <w:t>This analysis uses annual data to describe the group as a whole and sub-groups by industry and location. Where comparison is made to the state, private sector employment and wages are used (excluding construction firms, membership organizations and private household employers). All data in this report are from the Maine Department of Labor’s Center for Workforce Research and Information.</w:t>
      </w:r>
    </w:p>
    <w:p w:rsidR="00DA121F" w:rsidRPr="00DA121F" w:rsidRDefault="00DA121F" w:rsidP="00DA121F">
      <w:pPr>
        <w:pStyle w:val="BodyText"/>
      </w:pPr>
      <w:r w:rsidRPr="00DA121F">
        <w:lastRenderedPageBreak/>
        <w:t>New businesses are counted as business units for the purposes of calculating survival rates and analyzing industry composition. Annual business-unit counts are calculated by counting the number of businesses that were open at any time during the year with the following qualifications. A wage-paying business that closed mid-year is counted as surviving during that year and non-surviving the following year; however, a business with zero wages that closed mid-year is counted as closed for that year.</w:t>
      </w:r>
    </w:p>
    <w:p w:rsidR="00DA121F" w:rsidRPr="00DA121F" w:rsidRDefault="00DA121F" w:rsidP="00DA121F">
      <w:pPr>
        <w:pStyle w:val="BodyText"/>
      </w:pPr>
      <w:r w:rsidRPr="00DA121F">
        <w:t>Annual employment is calculated by averaging monthly employment totals. Annual payroll is the sum of total quarterly wages for the year. Because businesses opened at various points throughout the year, average employment, annual payroll and annual wage data for 2008 do not reflect a full year of operation for all business units. Accordingly, except for the 2008 unit count, other metrics calculated from 2008 data are not comparable to other years. For this reason, changes in employment, wages, and business size over time are calculated using 2009 as the base year.  Survival is calculated from 2008.</w:t>
      </w:r>
    </w:p>
    <w:p w:rsidR="00DA121F" w:rsidRPr="00DA121F" w:rsidRDefault="00DA121F" w:rsidP="00703F02">
      <w:pPr>
        <w:pStyle w:val="Heading2"/>
      </w:pPr>
      <w:r w:rsidRPr="00DA121F">
        <w:t>2008 New Businesses – All Industries</w:t>
      </w:r>
    </w:p>
    <w:p w:rsidR="00DA121F" w:rsidRPr="00DA121F" w:rsidRDefault="00DA121F" w:rsidP="00A53B05">
      <w:pPr>
        <w:pStyle w:val="Heading3"/>
      </w:pPr>
      <w:r w:rsidRPr="00DA121F">
        <w:t>Survival</w:t>
      </w:r>
    </w:p>
    <w:p w:rsidR="00DA121F" w:rsidRPr="00DA121F" w:rsidRDefault="00DA121F" w:rsidP="00DA121F">
      <w:pPr>
        <w:pStyle w:val="BodyText"/>
      </w:pPr>
      <w:r w:rsidRPr="00DA121F">
        <w:t>In 2008, 2,360 new businesses paid wages to covered employees for the first time. During 2009,</w:t>
      </w:r>
      <w:r w:rsidR="001A038E">
        <w:t xml:space="preserve"> 2,061 of those</w:t>
      </w:r>
      <w:r w:rsidRPr="00DA121F">
        <w:t xml:space="preserve"> businesses </w:t>
      </w:r>
      <w:r w:rsidR="001A038E">
        <w:t>(</w:t>
      </w:r>
      <w:r w:rsidRPr="00DA121F">
        <w:t>or their successors</w:t>
      </w:r>
      <w:r w:rsidR="001A038E">
        <w:t>)</w:t>
      </w:r>
      <w:r w:rsidRPr="00DA121F">
        <w:t xml:space="preserve"> remained open, a one-year survival rate of 87 percent. In 2010, the number fell by 365 to 1,696, or 72 percent of the original group. In 2011, 1474 new businesses survived, down 222 units over the year; and in 2012, 1,314 new businesses or their successors remained open, yielding an average survival rate from 2008 to 2012 of 56 percent.</w:t>
      </w:r>
    </w:p>
    <w:p w:rsidR="00DA121F" w:rsidRPr="00DA121F" w:rsidRDefault="00DA121F" w:rsidP="00703F02">
      <w:pPr>
        <w:pStyle w:val="BodyText"/>
        <w:jc w:val="center"/>
      </w:pPr>
      <w:r w:rsidRPr="00DA121F">
        <w:rPr>
          <w:noProof/>
        </w:rPr>
        <w:drawing>
          <wp:inline distT="0" distB="0" distL="0" distR="0" wp14:anchorId="426930C1" wp14:editId="58803A99">
            <wp:extent cx="4562475" cy="2743200"/>
            <wp:effectExtent l="0" t="0" r="9525" b="19050"/>
            <wp:docPr id="24" name="Chart 24" descr="2008: 2,360 units, 100% survival&#10;2009: 2,061 units, 87% survival&#10;2010: 1,696 units, 72% survival&#10;2011: 1,474 units, 62% survival&#10;2012:1,314 units, 56% survival" title="Surviving Business Uni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121F" w:rsidRPr="00DA121F" w:rsidRDefault="00DA121F" w:rsidP="00DA121F">
      <w:pPr>
        <w:pStyle w:val="BodyText"/>
      </w:pPr>
      <w:r w:rsidRPr="00DA121F">
        <w:t xml:space="preserve">The largest over-the-year loss occurred between 2009 and 2010, when the survival rate fell by 15 percentage points. The rate of attrition slowed after 2010. The survival rate declined by an additional ten percentage points in 2011 and an additional seven percentage points in 2012. </w:t>
      </w:r>
    </w:p>
    <w:p w:rsidR="00DA121F" w:rsidRPr="00A53B05" w:rsidRDefault="00DA121F" w:rsidP="00A53B05">
      <w:pPr>
        <w:pStyle w:val="Heading3"/>
      </w:pPr>
      <w:r w:rsidRPr="00A53B05">
        <w:t>Employment</w:t>
      </w:r>
    </w:p>
    <w:p w:rsidR="00DA121F" w:rsidRPr="00DA121F" w:rsidRDefault="00DA121F" w:rsidP="00DA121F">
      <w:pPr>
        <w:pStyle w:val="BodyText"/>
      </w:pPr>
      <w:r w:rsidRPr="00DA121F">
        <w:t>During 2008, monthly job totals for new businesses increased from 730 in January to 7,300 in December as businesses opened throughout the year. In 2009, average annual employment was 7,167. The number of jobs fell by 177 between 2009 and 2010. Job losses slowed between 2010 and 2012</w:t>
      </w:r>
      <w:r w:rsidR="001A038E">
        <w:t xml:space="preserve"> and, on </w:t>
      </w:r>
      <w:r w:rsidR="001A038E">
        <w:lastRenderedPageBreak/>
        <w:t>average, those</w:t>
      </w:r>
      <w:r w:rsidRPr="00DA121F">
        <w:t xml:space="preserve"> that survived added jobs. Average business size increased from fewer than four jobs per unit in 2009 to more than five jobs per unit in 2012.</w:t>
      </w:r>
    </w:p>
    <w:p w:rsidR="00DA121F" w:rsidRPr="00DA121F" w:rsidRDefault="00DA121F" w:rsidP="00703F02">
      <w:pPr>
        <w:pStyle w:val="BodyText"/>
        <w:jc w:val="center"/>
      </w:pPr>
      <w:r w:rsidRPr="00DA121F">
        <w:rPr>
          <w:noProof/>
        </w:rPr>
        <w:drawing>
          <wp:inline distT="0" distB="0" distL="0" distR="0" wp14:anchorId="1C494C2C" wp14:editId="42FBF685">
            <wp:extent cx="4572000" cy="3019425"/>
            <wp:effectExtent l="0" t="0" r="19050" b="9525"/>
            <wp:docPr id="41" name="Chart 41" descr="While the number of businesses decreased, aggregate employment remained relatively flat, indicating that surviving businesses grew.&#10;2009: 7,167 jobs, 3.5 jobs per unit&#10;2010: 6,990 jobs, 4.1 jobs per unit&#10;2011: 6,917 jobs, 4.7 jobs per unit&#10;2012: 6,901 jobs, 5.3 jobs per unit" title="Average Employment and Business Size 2009-20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121F" w:rsidRPr="00DA121F" w:rsidRDefault="00DA121F" w:rsidP="00A53B05">
      <w:pPr>
        <w:pStyle w:val="Heading3"/>
      </w:pPr>
      <w:r w:rsidRPr="00DA121F">
        <w:t>Payroll and Average Wages</w:t>
      </w:r>
    </w:p>
    <w:p w:rsidR="00DA121F" w:rsidRPr="00DA121F" w:rsidRDefault="00DA121F" w:rsidP="00DA121F">
      <w:pPr>
        <w:pStyle w:val="BodyText"/>
      </w:pPr>
      <w:r w:rsidRPr="00DA121F">
        <w:t xml:space="preserve">Total payroll paid by new businesses increased by 6 percent between 2009 and 2012. More than half of the increase occurred between 2011 and 2012. </w:t>
      </w:r>
    </w:p>
    <w:p w:rsidR="00DA121F" w:rsidRDefault="00DA121F" w:rsidP="00700203">
      <w:pPr>
        <w:pStyle w:val="BodyText"/>
      </w:pPr>
      <w:r w:rsidRPr="00700203">
        <w:t>Average annual wages at new businesses increased from $27,216 in 2009 to $29,839 in 2012, an increase of 10 percent. Though the average wage increased at a faster rate, it remained significantly below the private sector average wage of $38,030 in 2012.</w:t>
      </w:r>
    </w:p>
    <w:p w:rsidR="0052534B" w:rsidRPr="00700203" w:rsidRDefault="0052534B" w:rsidP="0052534B">
      <w:pPr>
        <w:pStyle w:val="BodyText"/>
        <w:jc w:val="center"/>
      </w:pPr>
      <w:r w:rsidRPr="00DA121F">
        <w:rPr>
          <w:noProof/>
        </w:rPr>
        <mc:AlternateContent>
          <mc:Choice Requires="wpg">
            <w:drawing>
              <wp:inline distT="0" distB="0" distL="0" distR="0">
                <wp:extent cx="3895090" cy="1563370"/>
                <wp:effectExtent l="0" t="0" r="10160" b="17780"/>
                <wp:docPr id="4" name="Group 3" descr="2009: $195M, $27,216&#10;2010: $197.6M, $28,269&#10;2011: $199.6M, $28,860&#10;2012: $205.9M, $29,839" title="Annual Payroll and Average Annual Wag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895090" cy="1563370"/>
                          <a:chOff x="0" y="0"/>
                          <a:chExt cx="8056332" cy="2743200"/>
                        </a:xfrm>
                      </wpg:grpSpPr>
                      <wpg:graphicFrame>
                        <wpg:cNvPr id="2" name="Chart 2"/>
                        <wpg:cNvFrPr>
                          <a:graphicFrameLocks/>
                        </wpg:cNvFrPr>
                        <wpg:xfrm>
                          <a:off x="0" y="0"/>
                          <a:ext cx="4029014" cy="274320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3" name="Chart 3"/>
                        <wpg:cNvFrPr>
                          <a:graphicFrameLocks/>
                        </wpg:cNvFrPr>
                        <wpg:xfrm>
                          <a:off x="4027318" y="0"/>
                          <a:ext cx="4029014" cy="274320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inline>
            </w:drawing>
          </mc:Choice>
          <mc:Fallback>
            <w:pict>
              <v:group id="Group 3" o:spid="_x0000_s1026" alt="Title: Annual Payroll and Average Annual Wage - Description: 2009: $195M, $27,216&#10;2010: $197.6M, $28,269&#10;2011: $199.6M, $28,860&#10;2012: $205.9M, $29,839" style="width:306.7pt;height:123.1pt;mso-position-horizontal-relative:char;mso-position-vertical-relative:line" coordsize="80563,27432"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">
                <o:lock v:ext="edit" aspectratio="t"/>
                <v:shape id="Chart 2" o:spid="_x0000_s1027" type="#_x0000_t75" style="position:absolute;left:-126;top:-106;width:40599;height:275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">
                  <v:imagedata r:id="rId14" o:title=""/>
                  <o:lock v:ext="edit" aspectratio="f"/>
                </v:shape>
                <v:shape id="Chart 3" o:spid="_x0000_s1028" type="#_x0000_t75" style="position:absolute;left:40095;top:-106;width:40599;height:275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">
                  <v:imagedata r:id="rId15" o:title=""/>
                  <o:lock v:ext="edit" aspectratio="f"/>
                </v:shape>
                <w10:anchorlock/>
              </v:group>
            </w:pict>
          </mc:Fallback>
        </mc:AlternateContent>
      </w:r>
    </w:p>
    <w:p w:rsidR="00DA121F" w:rsidRPr="00DA121F" w:rsidRDefault="00703F02" w:rsidP="00724928">
      <w:pPr>
        <w:pStyle w:val="Heading2"/>
      </w:pPr>
      <w:r>
        <w:br w:type="page"/>
      </w:r>
      <w:r w:rsidR="00DA121F" w:rsidRPr="00DA121F">
        <w:lastRenderedPageBreak/>
        <w:t>New Businesses by Industry</w:t>
      </w:r>
    </w:p>
    <w:p w:rsidR="00DA121F" w:rsidRDefault="00DA121F" w:rsidP="00DA121F">
      <w:pPr>
        <w:pStyle w:val="BodyText"/>
      </w:pPr>
      <w:r w:rsidRPr="00DA121F">
        <w:t>Though businesses opened in every industry sector in 2008, six industries each claimed 10 percent or more of new business units and/or employment. These key industries are: accommodation and food services; administrative, support, waste and remediation services (hereafter administrative and waste services); health care and social assistance (hereafter health and social services); professional, scientific and technical services (hereafter professional and technical services); retail trade; and wholesale trade. New business sur</w:t>
      </w:r>
      <w:r w:rsidR="001A038E">
        <w:t>vival, job growth, and wages</w:t>
      </w:r>
      <w:r w:rsidRPr="00DA121F">
        <w:t xml:space="preserve"> vary by industry from the average for all industries. In the following section, differences between key industries are examined in detail.</w:t>
      </w:r>
    </w:p>
    <w:p w:rsidR="00700203" w:rsidRDefault="00700203" w:rsidP="0052534B">
      <w:pPr>
        <w:pStyle w:val="BodyText"/>
        <w:jc w:val="center"/>
      </w:pPr>
      <w:r w:rsidRPr="00DA121F">
        <w:rPr>
          <w:noProof/>
        </w:rPr>
        <w:drawing>
          <wp:inline distT="0" distB="0" distL="0" distR="0">
            <wp:extent cx="5934075" cy="1983740"/>
            <wp:effectExtent l="0" t="0" r="9525" b="0"/>
            <wp:docPr id="7" name="Picture 4" descr="Accommodation &amp; Food Services: 8% units, 2008; 22% jobs, 2009.&#10;Admin. &amp; Waste Services:10% units, 2008; 11% jobs, 2009.&#10;Health &amp; Social Services: 9% units, 2008; 10% jobs, 2009.&#10;Prof. &amp; Technical Services: 20% units, 2008; 9% jobs, 2009.&#10;Retail Trade: 11% units, 2008; 22% jobs, 2009.&#10;Wholesale Trade: 11% units, 2008; 5% jobs, 2009.&#10;All Other iNdustries: 31% units, 2008; 21% jobs, 2009." title="Key Industries - Initial Shares of Units and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34075" cy="1983740"/>
                    </a:xfrm>
                    <a:prstGeom prst="rect">
                      <a:avLst/>
                    </a:prstGeom>
                  </pic:spPr>
                </pic:pic>
              </a:graphicData>
            </a:graphic>
          </wp:inline>
        </w:drawing>
      </w:r>
    </w:p>
    <w:p w:rsidR="00DA121F" w:rsidRPr="00A53B05" w:rsidRDefault="00DA121F" w:rsidP="0052534B">
      <w:pPr>
        <w:pStyle w:val="Heading3"/>
      </w:pPr>
      <w:r w:rsidRPr="00A53B05">
        <w:t>Differences in Survival</w:t>
      </w:r>
    </w:p>
    <w:p w:rsidR="00DA121F" w:rsidRPr="00DA121F" w:rsidRDefault="00DA121F" w:rsidP="00DA121F">
      <w:pPr>
        <w:pStyle w:val="BodyText"/>
      </w:pPr>
      <w:r w:rsidRPr="00DA121F">
        <w:t>Among key industry groups, the percentage of businesses that survived into 2012 varied by as many as six percentage points below and 12 percentage points above the all-industries average. On average, businesses in wholesale trade, professional and technical services, and administrative and waste services survived at lower rates, those in accommodation and food services were closest to the all-industries average, and those in retail trade and health services survived at higher rates.</w:t>
      </w:r>
    </w:p>
    <w:p w:rsidR="00A54343" w:rsidRDefault="00DA121F" w:rsidP="00192056">
      <w:pPr>
        <w:pStyle w:val="BodyText"/>
        <w:spacing w:before="240"/>
      </w:pPr>
      <w:r w:rsidRPr="00DA121F">
        <w:t>Variations in the timing and rates of business closures are revealed by plotting cumulative survival rates, indexed to 2008 = 100 percent. Four of six key industries: retail trade, health and social services, professional and technical services, and wholesale trade, show a pattern similar to the all-industry average: greatest losses between 2009 and 2010 and fewer losses after 2010.</w:t>
      </w:r>
    </w:p>
    <w:p w:rsidR="00DA121F" w:rsidRPr="00DA121F" w:rsidRDefault="0052534B" w:rsidP="00A54343">
      <w:pPr>
        <w:pStyle w:val="BodyText"/>
        <w:spacing w:before="240"/>
        <w:jc w:val="center"/>
      </w:pPr>
      <w:r w:rsidRPr="00DA121F">
        <w:rPr>
          <w:noProof/>
        </w:rPr>
        <w:drawing>
          <wp:inline distT="0" distB="0" distL="0" distR="0" wp14:anchorId="2F0E3423" wp14:editId="4EF2E76C">
            <wp:extent cx="4846320" cy="1728216"/>
            <wp:effectExtent l="0" t="0" r="11430" b="24765"/>
            <wp:docPr id="1" name="Chart 1" descr="Accommodation &amp; Food Services: 58%&#10;Admin. &amp; Waste Services: 50%&#10;Health &amp; Social Services: 65%&#10;Prof. &amp; Technical Services: 51%&#10;Retail Trade: 68%&#10;Wholesale Trade: 51%&#10;Average, all industries: 56%&#10;" title="Survival by Key Industry, 2008 to 20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121F" w:rsidRPr="00DA121F" w:rsidRDefault="00DA121F" w:rsidP="00A54343">
      <w:pPr>
        <w:pStyle w:val="BodyText"/>
        <w:jc w:val="center"/>
      </w:pPr>
      <w:r w:rsidRPr="00DA121F">
        <w:rPr>
          <w:noProof/>
        </w:rPr>
        <w:lastRenderedPageBreak/>
        <w:drawing>
          <wp:inline distT="0" distB="0" distL="0" distR="0">
            <wp:extent cx="5678424" cy="4974336"/>
            <wp:effectExtent l="0" t="0" r="17780" b="17145"/>
            <wp:docPr id="16" name="Chart 16" descr="Survival: 2008,2009,2010,2011,2012&#10;Accommodation &amp; Food Services: 100%,84%,74%,67%,58%&#10;Admin. &amp; Waste Services: 100%, 82%, 69%, 58%, 50%&#10;Health &amp; Social Services: 100%, 93%, 80%, 71%, 65%&#10;Prof. &amp; Technical Services: 100%, 89%, 69%, 58%, 51%&#10;Retail Trade: 100%, 93%, 82%, 75%, 68%&#10;Wholesale Trade: 100%, 88%, 71%, 59%, 51%&#10;Average, all industries: 100%, 87%, 72%, 62%, 56%&#10;" title="Survival by year, indexed to 2008 =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121F" w:rsidRPr="00DA121F" w:rsidRDefault="00DA121F" w:rsidP="00DA121F">
      <w:pPr>
        <w:pStyle w:val="BodyText"/>
      </w:pPr>
      <w:r w:rsidRPr="00DA121F">
        <w:t>Some differences between industries:</w:t>
      </w:r>
    </w:p>
    <w:p w:rsidR="00DA121F" w:rsidRPr="00DA121F" w:rsidRDefault="00DA121F" w:rsidP="00DA121F">
      <w:pPr>
        <w:pStyle w:val="BodyText"/>
        <w:numPr>
          <w:ilvl w:val="0"/>
          <w:numId w:val="20"/>
        </w:numPr>
      </w:pPr>
      <w:r w:rsidRPr="00DA121F">
        <w:t xml:space="preserve">Accommodation and food services, and administrative and waste services industries lost the most businesses (16 and 18 percent, respectively) during the first year of business, between 2008 and 2009. </w:t>
      </w:r>
    </w:p>
    <w:p w:rsidR="00DA121F" w:rsidRPr="00DA121F" w:rsidRDefault="00DA121F" w:rsidP="00DA121F">
      <w:pPr>
        <w:pStyle w:val="BodyText"/>
        <w:numPr>
          <w:ilvl w:val="0"/>
          <w:numId w:val="20"/>
        </w:numPr>
      </w:pPr>
      <w:r w:rsidRPr="00DA121F">
        <w:t>After greater losses between 2008 and 2009, business closures in accommodation and food services slowed to below-average rates in 2010 and 2011, yielding an overall survival rate of 58 percent between 2008 and 2012, higher than the average for all industries.</w:t>
      </w:r>
    </w:p>
    <w:p w:rsidR="00DA121F" w:rsidRPr="00DA121F" w:rsidRDefault="00DA121F" w:rsidP="00DA121F">
      <w:pPr>
        <w:pStyle w:val="BodyText"/>
        <w:numPr>
          <w:ilvl w:val="0"/>
          <w:numId w:val="20"/>
        </w:numPr>
      </w:pPr>
      <w:r w:rsidRPr="00DA121F">
        <w:t>Businesses in administrative and waste services survived at rates consistently below the average rate for all industries.</w:t>
      </w:r>
    </w:p>
    <w:p w:rsidR="00DA121F" w:rsidRPr="00DA121F" w:rsidRDefault="00DA121F" w:rsidP="00DA121F">
      <w:pPr>
        <w:pStyle w:val="BodyText"/>
        <w:numPr>
          <w:ilvl w:val="0"/>
          <w:numId w:val="20"/>
        </w:numPr>
      </w:pPr>
      <w:r w:rsidRPr="00DA121F">
        <w:t>Businesses in retail trade and health care survived at rates that were consistently higher than the average rate for all industries.</w:t>
      </w:r>
    </w:p>
    <w:p w:rsidR="00A54343" w:rsidRPr="00A54343" w:rsidRDefault="00DF7F40" w:rsidP="00724928">
      <w:pPr>
        <w:jc w:val="center"/>
        <w:rPr>
          <w:rStyle w:val="BodyTextChar"/>
        </w:rPr>
      </w:pPr>
      <w:r>
        <w:br w:type="page"/>
      </w:r>
      <w:r w:rsidR="00A54343">
        <w:rPr>
          <w:noProof/>
        </w:rPr>
        <w:lastRenderedPageBreak/>
        <w:drawing>
          <wp:inline distT="0" distB="0" distL="0" distR="0" wp14:anchorId="17BF6429" wp14:editId="24724A1E">
            <wp:extent cx="5952744" cy="3118104"/>
            <wp:effectExtent l="0" t="0" r="0" b="6350"/>
            <wp:docPr id="18" name="Picture 18" descr="Industry: 2009 jobs, 2012 jobs, percent change&#10;Accommodation &amp; Food Services: 1,601, 1,524, -5%&#10;Admin. &amp; Waste Services: 816, 628, -23%&#10;Health &amp; Social Services: 718, 765, 7%&#10;Prof. &amp; Technical Services: 621, 612, -1%&#10;Retail Trade: 1,591, 1,629, 2%&#10;Wholesale Trade: 343,280, -18%" title="Jobs by Industry, 2009 and 2012, and Percen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744" cy="3118104"/>
                    </a:xfrm>
                    <a:prstGeom prst="rect">
                      <a:avLst/>
                    </a:prstGeom>
                    <a:noFill/>
                  </pic:spPr>
                </pic:pic>
              </a:graphicData>
            </a:graphic>
          </wp:inline>
        </w:drawing>
      </w:r>
    </w:p>
    <w:p w:rsidR="00DA121F" w:rsidRPr="00DA121F" w:rsidRDefault="00DA121F" w:rsidP="00A53B05">
      <w:pPr>
        <w:pStyle w:val="Heading3"/>
      </w:pPr>
      <w:r w:rsidRPr="00DA121F">
        <w:t>Differences in Job Growth and Wages</w:t>
      </w:r>
    </w:p>
    <w:p w:rsidR="00DA121F" w:rsidRPr="00DA121F" w:rsidRDefault="00DA121F" w:rsidP="00A53B05">
      <w:pPr>
        <w:pStyle w:val="Heading4"/>
      </w:pPr>
      <w:r w:rsidRPr="00DA121F">
        <w:t>Accommodation and Food Services</w:t>
      </w:r>
    </w:p>
    <w:p w:rsidR="00DA121F" w:rsidRPr="00DA121F" w:rsidRDefault="00DA121F" w:rsidP="00DA121F">
      <w:pPr>
        <w:pStyle w:val="BodyText"/>
      </w:pPr>
      <w:r w:rsidRPr="00DA121F">
        <w:t>The accommodation and food services sector comprises establishments providing customers with lodging and/or prepared meals, snacks, and beverages for immediate consumption. The sector includes both accommodation and food services establishments because the two activities are often combined at the same establishment.</w:t>
      </w:r>
    </w:p>
    <w:tbl>
      <w:tblPr>
        <w:tblStyle w:val="TableGrid"/>
        <w:tblW w:w="0" w:type="auto"/>
        <w:jc w:val="center"/>
        <w:tblLook w:val="06A0" w:firstRow="1" w:lastRow="0" w:firstColumn="1" w:lastColumn="0" w:noHBand="1" w:noVBand="1"/>
        <w:tblCaption w:val="Accommodations and Food Services"/>
        <w:tblDescription w:val="Summary statistics "/>
      </w:tblPr>
      <w:tblGrid>
        <w:gridCol w:w="2505"/>
        <w:gridCol w:w="703"/>
        <w:gridCol w:w="1185"/>
        <w:gridCol w:w="1185"/>
        <w:gridCol w:w="954"/>
        <w:gridCol w:w="965"/>
        <w:gridCol w:w="1149"/>
      </w:tblGrid>
      <w:tr w:rsidR="00DA121F" w:rsidRPr="00DA121F" w:rsidTr="006D1660">
        <w:trPr>
          <w:trHeight w:val="199"/>
          <w:jc w:val="center"/>
        </w:trPr>
        <w:tc>
          <w:tcPr>
            <w:tcW w:w="8635" w:type="dxa"/>
            <w:gridSpan w:val="7"/>
            <w:shd w:val="clear" w:color="auto" w:fill="215868" w:themeFill="accent5" w:themeFillShade="80"/>
            <w:noWrap/>
            <w:hideMark/>
          </w:tcPr>
          <w:p w:rsidR="00DA121F" w:rsidRPr="00DA121F" w:rsidRDefault="00DA121F" w:rsidP="00DA121F">
            <w:pPr>
              <w:pStyle w:val="BodyText"/>
            </w:pPr>
            <w:r w:rsidRPr="00DA121F">
              <w:t> </w:t>
            </w:r>
          </w:p>
        </w:tc>
      </w:tr>
      <w:tr w:rsidR="00DA121F" w:rsidRPr="00DA121F" w:rsidTr="006D1660">
        <w:trPr>
          <w:trHeight w:val="300"/>
          <w:jc w:val="center"/>
        </w:trPr>
        <w:tc>
          <w:tcPr>
            <w:tcW w:w="2505" w:type="dxa"/>
            <w:vMerge w:val="restart"/>
            <w:vAlign w:val="center"/>
            <w:hideMark/>
          </w:tcPr>
          <w:p w:rsidR="00DA121F" w:rsidRPr="00DA121F" w:rsidRDefault="00DA121F" w:rsidP="00A54343">
            <w:pPr>
              <w:pStyle w:val="TableColumnHeaders"/>
            </w:pPr>
            <w:r w:rsidRPr="00DA121F">
              <w:t>Accommodations &amp; Food Services</w:t>
            </w:r>
          </w:p>
        </w:tc>
        <w:tc>
          <w:tcPr>
            <w:tcW w:w="4027" w:type="dxa"/>
            <w:gridSpan w:val="4"/>
            <w:noWrap/>
            <w:vAlign w:val="center"/>
            <w:hideMark/>
          </w:tcPr>
          <w:p w:rsidR="00DA121F" w:rsidRPr="00DA121F" w:rsidRDefault="00DA121F" w:rsidP="00A54343">
            <w:pPr>
              <w:pStyle w:val="TableColumnHeaders"/>
              <w:jc w:val="center"/>
            </w:pPr>
            <w:r w:rsidRPr="00DA121F">
              <w:t>New Businesses</w:t>
            </w:r>
          </w:p>
        </w:tc>
        <w:tc>
          <w:tcPr>
            <w:tcW w:w="2103" w:type="dxa"/>
            <w:gridSpan w:val="2"/>
            <w:noWrap/>
            <w:vAlign w:val="center"/>
            <w:hideMark/>
          </w:tcPr>
          <w:p w:rsidR="00DA121F" w:rsidRPr="00DA121F" w:rsidRDefault="00DA121F" w:rsidP="00C8766C">
            <w:pPr>
              <w:pStyle w:val="StyleTableColumnHeadersItalic1"/>
            </w:pPr>
            <w:r w:rsidRPr="00DA121F">
              <w:t>Industry Avg.</w:t>
            </w:r>
          </w:p>
        </w:tc>
      </w:tr>
      <w:tr w:rsidR="00DA121F" w:rsidRPr="00DA121F" w:rsidTr="00255C93">
        <w:trPr>
          <w:trHeight w:val="300"/>
          <w:jc w:val="center"/>
        </w:trPr>
        <w:tc>
          <w:tcPr>
            <w:tcW w:w="2505" w:type="dxa"/>
            <w:vMerge/>
            <w:vAlign w:val="center"/>
            <w:hideMark/>
          </w:tcPr>
          <w:p w:rsidR="00DA121F" w:rsidRPr="00DA121F" w:rsidRDefault="00DA121F" w:rsidP="00A54343">
            <w:pPr>
              <w:pStyle w:val="TableColumnHeaders"/>
            </w:pPr>
          </w:p>
        </w:tc>
        <w:tc>
          <w:tcPr>
            <w:tcW w:w="703" w:type="dxa"/>
            <w:noWrap/>
            <w:vAlign w:val="center"/>
            <w:hideMark/>
          </w:tcPr>
          <w:p w:rsidR="00DA121F" w:rsidRPr="00DA121F" w:rsidRDefault="00DA121F" w:rsidP="00A54343">
            <w:pPr>
              <w:pStyle w:val="TableColumnHeaders"/>
              <w:jc w:val="center"/>
            </w:pPr>
            <w:r w:rsidRPr="00DA121F">
              <w:t>2008</w:t>
            </w:r>
          </w:p>
        </w:tc>
        <w:tc>
          <w:tcPr>
            <w:tcW w:w="1185" w:type="dxa"/>
            <w:tcBorders>
              <w:bottom w:val="single" w:sz="4" w:space="0" w:color="auto"/>
            </w:tcBorders>
            <w:noWrap/>
            <w:vAlign w:val="center"/>
            <w:hideMark/>
          </w:tcPr>
          <w:p w:rsidR="00DA121F" w:rsidRPr="00DA121F" w:rsidRDefault="00DA121F" w:rsidP="00A54343">
            <w:pPr>
              <w:pStyle w:val="TableColumnHeaders"/>
              <w:jc w:val="center"/>
            </w:pPr>
            <w:r w:rsidRPr="00DA121F">
              <w:t>2009</w:t>
            </w:r>
          </w:p>
        </w:tc>
        <w:tc>
          <w:tcPr>
            <w:tcW w:w="1185" w:type="dxa"/>
            <w:noWrap/>
            <w:vAlign w:val="center"/>
            <w:hideMark/>
          </w:tcPr>
          <w:p w:rsidR="00DA121F" w:rsidRPr="00DA121F" w:rsidRDefault="00DA121F" w:rsidP="00A54343">
            <w:pPr>
              <w:pStyle w:val="TableColumnHeaders"/>
              <w:jc w:val="center"/>
            </w:pPr>
            <w:r w:rsidRPr="00DA121F">
              <w:t>2012</w:t>
            </w:r>
          </w:p>
        </w:tc>
        <w:tc>
          <w:tcPr>
            <w:tcW w:w="954" w:type="dxa"/>
            <w:noWrap/>
            <w:vAlign w:val="center"/>
            <w:hideMark/>
          </w:tcPr>
          <w:p w:rsidR="00DA121F" w:rsidRPr="00DA121F" w:rsidRDefault="00DA121F" w:rsidP="00A54343">
            <w:pPr>
              <w:pStyle w:val="TableColumnHeaders"/>
              <w:jc w:val="center"/>
            </w:pPr>
            <w:r w:rsidRPr="00DA121F">
              <w:t>Change</w:t>
            </w:r>
          </w:p>
        </w:tc>
        <w:tc>
          <w:tcPr>
            <w:tcW w:w="954" w:type="dxa"/>
            <w:tcBorders>
              <w:bottom w:val="single" w:sz="4" w:space="0" w:color="auto"/>
            </w:tcBorders>
            <w:noWrap/>
            <w:vAlign w:val="center"/>
            <w:hideMark/>
          </w:tcPr>
          <w:p w:rsidR="00DA121F" w:rsidRPr="00DA121F" w:rsidRDefault="00DA121F" w:rsidP="00C8766C">
            <w:pPr>
              <w:pStyle w:val="StyleTableColumnHeadersItalic1"/>
            </w:pPr>
            <w:r w:rsidRPr="00DA121F">
              <w:t>Change</w:t>
            </w:r>
          </w:p>
        </w:tc>
        <w:tc>
          <w:tcPr>
            <w:tcW w:w="1149" w:type="dxa"/>
            <w:tcBorders>
              <w:bottom w:val="single" w:sz="4" w:space="0" w:color="auto"/>
            </w:tcBorders>
            <w:noWrap/>
            <w:vAlign w:val="center"/>
            <w:hideMark/>
          </w:tcPr>
          <w:p w:rsidR="00DA121F" w:rsidRPr="00DA121F" w:rsidRDefault="00DA121F" w:rsidP="00C8766C">
            <w:pPr>
              <w:pStyle w:val="StyleTableColumnHeadersItalic1"/>
            </w:pPr>
            <w:r w:rsidRPr="00DA121F">
              <w:t>2012</w:t>
            </w:r>
            <w:r w:rsidR="00192056">
              <w:t xml:space="preserve"> </w:t>
            </w:r>
            <w:proofErr w:type="spellStart"/>
            <w:r w:rsidR="00192056">
              <w:t>Avg</w:t>
            </w:r>
            <w:proofErr w:type="spellEnd"/>
          </w:p>
        </w:tc>
      </w:tr>
      <w:tr w:rsidR="00DA121F" w:rsidRPr="00DA121F" w:rsidTr="00255C93">
        <w:trPr>
          <w:trHeight w:val="300"/>
          <w:jc w:val="center"/>
        </w:trPr>
        <w:tc>
          <w:tcPr>
            <w:tcW w:w="2505" w:type="dxa"/>
            <w:noWrap/>
            <w:hideMark/>
          </w:tcPr>
          <w:p w:rsidR="00DA121F" w:rsidRPr="00DA121F" w:rsidRDefault="00DA121F" w:rsidP="00700203">
            <w:pPr>
              <w:pStyle w:val="TableRowLabels"/>
            </w:pPr>
            <w:r w:rsidRPr="00DA121F">
              <w:t>Units</w:t>
            </w:r>
          </w:p>
        </w:tc>
        <w:tc>
          <w:tcPr>
            <w:tcW w:w="703" w:type="dxa"/>
            <w:tcBorders>
              <w:bottom w:val="single" w:sz="4" w:space="0" w:color="auto"/>
            </w:tcBorders>
            <w:noWrap/>
            <w:vAlign w:val="center"/>
            <w:hideMark/>
          </w:tcPr>
          <w:p w:rsidR="00DA121F" w:rsidRPr="00DA121F" w:rsidRDefault="00DA121F" w:rsidP="00F71DEB">
            <w:pPr>
              <w:pStyle w:val="BodyText"/>
              <w:jc w:val="right"/>
            </w:pPr>
            <w:r w:rsidRPr="00DA121F">
              <w:t>197</w:t>
            </w:r>
          </w:p>
        </w:tc>
        <w:tc>
          <w:tcPr>
            <w:tcW w:w="1185" w:type="dxa"/>
            <w:shd w:val="pct10" w:color="auto" w:fill="FFFFFF" w:themeFill="background1"/>
            <w:noWrap/>
            <w:vAlign w:val="center"/>
            <w:hideMark/>
          </w:tcPr>
          <w:p w:rsidR="00DA121F" w:rsidRPr="00DA121F" w:rsidRDefault="00DA121F" w:rsidP="00F71DEB">
            <w:pPr>
              <w:pStyle w:val="BodyText"/>
              <w:jc w:val="right"/>
            </w:pPr>
          </w:p>
        </w:tc>
        <w:tc>
          <w:tcPr>
            <w:tcW w:w="1185" w:type="dxa"/>
            <w:noWrap/>
            <w:vAlign w:val="center"/>
            <w:hideMark/>
          </w:tcPr>
          <w:p w:rsidR="00DA121F" w:rsidRPr="00DA121F" w:rsidRDefault="00DA121F" w:rsidP="00F71DEB">
            <w:pPr>
              <w:pStyle w:val="BodyText"/>
              <w:jc w:val="right"/>
            </w:pPr>
            <w:r w:rsidRPr="00DA121F">
              <w:t>114</w:t>
            </w:r>
          </w:p>
        </w:tc>
        <w:tc>
          <w:tcPr>
            <w:tcW w:w="954" w:type="dxa"/>
            <w:noWrap/>
            <w:vAlign w:val="center"/>
            <w:hideMark/>
          </w:tcPr>
          <w:p w:rsidR="00DA121F" w:rsidRPr="00DA121F" w:rsidRDefault="00DA121F" w:rsidP="00F71DEB">
            <w:pPr>
              <w:pStyle w:val="BodyText"/>
              <w:jc w:val="right"/>
            </w:pPr>
            <w:r w:rsidRPr="00DA121F">
              <w:t>-42%</w:t>
            </w:r>
          </w:p>
        </w:tc>
        <w:tc>
          <w:tcPr>
            <w:tcW w:w="954" w:type="dxa"/>
            <w:shd w:val="pct10" w:color="auto" w:fill="FFFFFF" w:themeFill="background1"/>
            <w:noWrap/>
            <w:vAlign w:val="center"/>
            <w:hideMark/>
          </w:tcPr>
          <w:p w:rsidR="00DA121F" w:rsidRPr="00DA121F" w:rsidRDefault="00DA121F" w:rsidP="00F71DEB">
            <w:pPr>
              <w:pStyle w:val="BodyText"/>
              <w:jc w:val="right"/>
              <w:rPr>
                <w:i/>
                <w:iCs/>
              </w:rPr>
            </w:pPr>
          </w:p>
        </w:tc>
        <w:tc>
          <w:tcPr>
            <w:tcW w:w="1149" w:type="dxa"/>
            <w:tcBorders>
              <w:bottom w:val="single" w:sz="4" w:space="0" w:color="auto"/>
            </w:tcBorders>
            <w:shd w:val="pct10" w:color="auto" w:fill="FFFFFF" w:themeFill="background1"/>
            <w:noWrap/>
            <w:vAlign w:val="center"/>
            <w:hideMark/>
          </w:tcPr>
          <w:p w:rsidR="00DA121F" w:rsidRPr="00DA121F" w:rsidRDefault="00DA121F" w:rsidP="00F71DEB">
            <w:pPr>
              <w:pStyle w:val="BodyText"/>
              <w:jc w:val="right"/>
              <w:rPr>
                <w:i/>
                <w:iCs/>
              </w:rPr>
            </w:pPr>
          </w:p>
        </w:tc>
      </w:tr>
      <w:tr w:rsidR="00DA121F" w:rsidRPr="00DA121F" w:rsidTr="00255C93">
        <w:trPr>
          <w:trHeight w:val="300"/>
          <w:jc w:val="center"/>
        </w:trPr>
        <w:tc>
          <w:tcPr>
            <w:tcW w:w="2505" w:type="dxa"/>
            <w:noWrap/>
            <w:hideMark/>
          </w:tcPr>
          <w:p w:rsidR="00DA121F" w:rsidRPr="00DA121F" w:rsidRDefault="00DA121F" w:rsidP="00700203">
            <w:pPr>
              <w:pStyle w:val="TableRowLabels"/>
            </w:pPr>
            <w:r w:rsidRPr="00DA121F">
              <w:t>Average Employment</w:t>
            </w:r>
          </w:p>
        </w:tc>
        <w:tc>
          <w:tcPr>
            <w:tcW w:w="703" w:type="dxa"/>
            <w:shd w:val="pct10" w:color="auto" w:fill="auto"/>
            <w:noWrap/>
            <w:vAlign w:val="center"/>
            <w:hideMark/>
          </w:tcPr>
          <w:p w:rsidR="00DA121F" w:rsidRPr="00DA121F" w:rsidRDefault="00DA121F" w:rsidP="00F71DEB">
            <w:pPr>
              <w:pStyle w:val="BodyText"/>
              <w:jc w:val="right"/>
            </w:pPr>
          </w:p>
        </w:tc>
        <w:tc>
          <w:tcPr>
            <w:tcW w:w="1185" w:type="dxa"/>
            <w:noWrap/>
            <w:vAlign w:val="center"/>
            <w:hideMark/>
          </w:tcPr>
          <w:p w:rsidR="00DA121F" w:rsidRPr="00DA121F" w:rsidRDefault="00DA121F" w:rsidP="00F71DEB">
            <w:pPr>
              <w:pStyle w:val="BodyText"/>
              <w:jc w:val="right"/>
            </w:pPr>
            <w:r w:rsidRPr="00DA121F">
              <w:t>1,601</w:t>
            </w:r>
          </w:p>
        </w:tc>
        <w:tc>
          <w:tcPr>
            <w:tcW w:w="1185" w:type="dxa"/>
            <w:noWrap/>
            <w:vAlign w:val="center"/>
            <w:hideMark/>
          </w:tcPr>
          <w:p w:rsidR="00DA121F" w:rsidRPr="00DA121F" w:rsidRDefault="00DA121F" w:rsidP="00F71DEB">
            <w:pPr>
              <w:pStyle w:val="BodyText"/>
              <w:jc w:val="right"/>
            </w:pPr>
            <w:r w:rsidRPr="00DA121F">
              <w:t>1,524</w:t>
            </w:r>
          </w:p>
        </w:tc>
        <w:tc>
          <w:tcPr>
            <w:tcW w:w="954" w:type="dxa"/>
            <w:noWrap/>
            <w:vAlign w:val="center"/>
            <w:hideMark/>
          </w:tcPr>
          <w:p w:rsidR="00DA121F" w:rsidRPr="00DA121F" w:rsidRDefault="00DA121F" w:rsidP="00F71DEB">
            <w:pPr>
              <w:pStyle w:val="BodyText"/>
              <w:jc w:val="right"/>
            </w:pPr>
            <w:r w:rsidRPr="00DA121F">
              <w:t>-5%</w:t>
            </w:r>
          </w:p>
        </w:tc>
        <w:tc>
          <w:tcPr>
            <w:tcW w:w="954" w:type="dxa"/>
            <w:noWrap/>
            <w:vAlign w:val="center"/>
            <w:hideMark/>
          </w:tcPr>
          <w:p w:rsidR="00DA121F" w:rsidRPr="00DA121F" w:rsidRDefault="00DA121F" w:rsidP="00F71DEB">
            <w:pPr>
              <w:pStyle w:val="BodyText"/>
              <w:jc w:val="right"/>
              <w:rPr>
                <w:i/>
                <w:iCs/>
              </w:rPr>
            </w:pPr>
            <w:r w:rsidRPr="00DA121F">
              <w:rPr>
                <w:i/>
                <w:iCs/>
              </w:rPr>
              <w:t>3%</w:t>
            </w:r>
          </w:p>
        </w:tc>
        <w:tc>
          <w:tcPr>
            <w:tcW w:w="1149" w:type="dxa"/>
            <w:shd w:val="pct10" w:color="auto" w:fill="auto"/>
            <w:noWrap/>
            <w:vAlign w:val="center"/>
            <w:hideMark/>
          </w:tcPr>
          <w:p w:rsidR="00DA121F" w:rsidRPr="00DA121F" w:rsidRDefault="00DA121F" w:rsidP="00F71DEB">
            <w:pPr>
              <w:pStyle w:val="BodyText"/>
              <w:jc w:val="right"/>
              <w:rPr>
                <w:i/>
                <w:iCs/>
              </w:rPr>
            </w:pPr>
          </w:p>
        </w:tc>
      </w:tr>
      <w:tr w:rsidR="00DA121F" w:rsidRPr="00DA121F" w:rsidTr="00255C93">
        <w:trPr>
          <w:trHeight w:val="300"/>
          <w:jc w:val="center"/>
        </w:trPr>
        <w:tc>
          <w:tcPr>
            <w:tcW w:w="2505" w:type="dxa"/>
            <w:noWrap/>
            <w:hideMark/>
          </w:tcPr>
          <w:p w:rsidR="00DA121F" w:rsidRPr="00DA121F" w:rsidRDefault="00DA121F" w:rsidP="00700203">
            <w:pPr>
              <w:pStyle w:val="TableRowLabels"/>
            </w:pPr>
            <w:r w:rsidRPr="00DA121F">
              <w:t>Avg. Annual Wage</w:t>
            </w:r>
          </w:p>
        </w:tc>
        <w:tc>
          <w:tcPr>
            <w:tcW w:w="703" w:type="dxa"/>
            <w:shd w:val="pct10" w:color="auto" w:fill="auto"/>
            <w:noWrap/>
            <w:vAlign w:val="center"/>
            <w:hideMark/>
          </w:tcPr>
          <w:p w:rsidR="00DA121F" w:rsidRPr="00DA121F" w:rsidRDefault="00DA121F" w:rsidP="00F71DEB">
            <w:pPr>
              <w:pStyle w:val="BodyText"/>
              <w:jc w:val="right"/>
            </w:pPr>
          </w:p>
        </w:tc>
        <w:tc>
          <w:tcPr>
            <w:tcW w:w="1185" w:type="dxa"/>
            <w:noWrap/>
            <w:vAlign w:val="center"/>
            <w:hideMark/>
          </w:tcPr>
          <w:p w:rsidR="00DA121F" w:rsidRPr="00DA121F" w:rsidRDefault="00DA121F" w:rsidP="00F71DEB">
            <w:pPr>
              <w:pStyle w:val="BodyText"/>
              <w:jc w:val="right"/>
            </w:pPr>
            <w:r w:rsidRPr="00DA121F">
              <w:t>$ 14,048</w:t>
            </w:r>
          </w:p>
        </w:tc>
        <w:tc>
          <w:tcPr>
            <w:tcW w:w="1185" w:type="dxa"/>
            <w:noWrap/>
            <w:vAlign w:val="center"/>
            <w:hideMark/>
          </w:tcPr>
          <w:p w:rsidR="00DA121F" w:rsidRPr="00DA121F" w:rsidRDefault="00DA121F" w:rsidP="00F71DEB">
            <w:pPr>
              <w:pStyle w:val="BodyText"/>
              <w:jc w:val="right"/>
            </w:pPr>
            <w:r w:rsidRPr="00DA121F">
              <w:t>$ 16,259</w:t>
            </w:r>
          </w:p>
        </w:tc>
        <w:tc>
          <w:tcPr>
            <w:tcW w:w="954" w:type="dxa"/>
            <w:noWrap/>
            <w:vAlign w:val="center"/>
            <w:hideMark/>
          </w:tcPr>
          <w:p w:rsidR="00DA121F" w:rsidRPr="00DA121F" w:rsidRDefault="00DA121F" w:rsidP="00F71DEB">
            <w:pPr>
              <w:pStyle w:val="BodyText"/>
              <w:jc w:val="right"/>
            </w:pPr>
            <w:r w:rsidRPr="00DA121F">
              <w:t>16%</w:t>
            </w:r>
          </w:p>
        </w:tc>
        <w:tc>
          <w:tcPr>
            <w:tcW w:w="954" w:type="dxa"/>
            <w:tcBorders>
              <w:bottom w:val="single" w:sz="4" w:space="0" w:color="auto"/>
            </w:tcBorders>
            <w:noWrap/>
            <w:vAlign w:val="center"/>
            <w:hideMark/>
          </w:tcPr>
          <w:p w:rsidR="00DA121F" w:rsidRPr="00DA121F" w:rsidRDefault="00DA121F" w:rsidP="00F71DEB">
            <w:pPr>
              <w:pStyle w:val="BodyText"/>
              <w:jc w:val="right"/>
              <w:rPr>
                <w:i/>
                <w:iCs/>
              </w:rPr>
            </w:pPr>
            <w:r w:rsidRPr="00DA121F">
              <w:rPr>
                <w:i/>
                <w:iCs/>
              </w:rPr>
              <w:t>7%</w:t>
            </w:r>
          </w:p>
        </w:tc>
        <w:tc>
          <w:tcPr>
            <w:tcW w:w="1149" w:type="dxa"/>
            <w:noWrap/>
            <w:vAlign w:val="center"/>
            <w:hideMark/>
          </w:tcPr>
          <w:p w:rsidR="00DA121F" w:rsidRPr="00DA121F" w:rsidRDefault="00DA121F" w:rsidP="00F71DEB">
            <w:pPr>
              <w:pStyle w:val="BodyText"/>
              <w:jc w:val="right"/>
              <w:rPr>
                <w:i/>
                <w:iCs/>
              </w:rPr>
            </w:pPr>
            <w:r w:rsidRPr="00DA121F">
              <w:rPr>
                <w:i/>
                <w:iCs/>
              </w:rPr>
              <w:t>$ 16,535</w:t>
            </w:r>
          </w:p>
        </w:tc>
      </w:tr>
      <w:tr w:rsidR="00DA121F" w:rsidRPr="00DA121F" w:rsidTr="00255C93">
        <w:trPr>
          <w:trHeight w:val="300"/>
          <w:jc w:val="center"/>
        </w:trPr>
        <w:tc>
          <w:tcPr>
            <w:tcW w:w="2505" w:type="dxa"/>
            <w:noWrap/>
            <w:hideMark/>
          </w:tcPr>
          <w:p w:rsidR="00DA121F" w:rsidRPr="00DA121F" w:rsidRDefault="00DA121F" w:rsidP="00700203">
            <w:pPr>
              <w:pStyle w:val="TableRowLabels"/>
            </w:pPr>
            <w:r w:rsidRPr="00DA121F">
              <w:t>Avg. Business Size</w:t>
            </w:r>
          </w:p>
        </w:tc>
        <w:tc>
          <w:tcPr>
            <w:tcW w:w="703" w:type="dxa"/>
            <w:shd w:val="pct10" w:color="auto" w:fill="auto"/>
            <w:noWrap/>
            <w:vAlign w:val="center"/>
            <w:hideMark/>
          </w:tcPr>
          <w:p w:rsidR="00DA121F" w:rsidRPr="00DA121F" w:rsidRDefault="00DA121F" w:rsidP="00F71DEB">
            <w:pPr>
              <w:pStyle w:val="BodyText"/>
              <w:jc w:val="right"/>
            </w:pPr>
          </w:p>
        </w:tc>
        <w:tc>
          <w:tcPr>
            <w:tcW w:w="1185" w:type="dxa"/>
            <w:noWrap/>
            <w:vAlign w:val="center"/>
            <w:hideMark/>
          </w:tcPr>
          <w:p w:rsidR="00DA121F" w:rsidRPr="00DA121F" w:rsidRDefault="00DA121F" w:rsidP="00F71DEB">
            <w:pPr>
              <w:pStyle w:val="BodyText"/>
              <w:jc w:val="right"/>
            </w:pPr>
            <w:r w:rsidRPr="00DA121F">
              <w:t>9.7</w:t>
            </w:r>
          </w:p>
        </w:tc>
        <w:tc>
          <w:tcPr>
            <w:tcW w:w="1185" w:type="dxa"/>
            <w:noWrap/>
            <w:vAlign w:val="center"/>
            <w:hideMark/>
          </w:tcPr>
          <w:p w:rsidR="00DA121F" w:rsidRPr="00DA121F" w:rsidRDefault="00DA121F" w:rsidP="00F71DEB">
            <w:pPr>
              <w:pStyle w:val="BodyText"/>
              <w:jc w:val="right"/>
            </w:pPr>
            <w:r w:rsidRPr="00DA121F">
              <w:t>13.4</w:t>
            </w:r>
          </w:p>
        </w:tc>
        <w:tc>
          <w:tcPr>
            <w:tcW w:w="954" w:type="dxa"/>
            <w:noWrap/>
            <w:vAlign w:val="center"/>
            <w:hideMark/>
          </w:tcPr>
          <w:p w:rsidR="00DA121F" w:rsidRPr="00DA121F" w:rsidRDefault="00DA121F" w:rsidP="00F71DEB">
            <w:pPr>
              <w:pStyle w:val="BodyText"/>
              <w:jc w:val="right"/>
            </w:pPr>
            <w:r w:rsidRPr="00DA121F">
              <w:t>38%</w:t>
            </w:r>
          </w:p>
        </w:tc>
        <w:tc>
          <w:tcPr>
            <w:tcW w:w="954" w:type="dxa"/>
            <w:shd w:val="pct10" w:color="auto" w:fill="auto"/>
            <w:noWrap/>
            <w:vAlign w:val="center"/>
            <w:hideMark/>
          </w:tcPr>
          <w:p w:rsidR="00DA121F" w:rsidRPr="00DA121F" w:rsidRDefault="00DA121F" w:rsidP="00F71DEB">
            <w:pPr>
              <w:pStyle w:val="BodyText"/>
              <w:jc w:val="right"/>
              <w:rPr>
                <w:i/>
                <w:iCs/>
              </w:rPr>
            </w:pPr>
          </w:p>
        </w:tc>
        <w:tc>
          <w:tcPr>
            <w:tcW w:w="1149" w:type="dxa"/>
            <w:noWrap/>
            <w:vAlign w:val="center"/>
            <w:hideMark/>
          </w:tcPr>
          <w:p w:rsidR="00DA121F" w:rsidRPr="00DA121F" w:rsidRDefault="00DA121F" w:rsidP="00F71DEB">
            <w:pPr>
              <w:pStyle w:val="BodyText"/>
              <w:jc w:val="right"/>
              <w:rPr>
                <w:i/>
                <w:iCs/>
              </w:rPr>
            </w:pPr>
            <w:r w:rsidRPr="00DA121F">
              <w:rPr>
                <w:i/>
                <w:iCs/>
              </w:rPr>
              <w:t>13.5</w:t>
            </w:r>
          </w:p>
        </w:tc>
      </w:tr>
      <w:tr w:rsidR="00DA121F" w:rsidRPr="00DA121F" w:rsidTr="006D1660">
        <w:trPr>
          <w:trHeight w:val="199"/>
          <w:jc w:val="center"/>
        </w:trPr>
        <w:tc>
          <w:tcPr>
            <w:tcW w:w="8635" w:type="dxa"/>
            <w:gridSpan w:val="7"/>
            <w:shd w:val="clear" w:color="auto" w:fill="215868" w:themeFill="accent5" w:themeFillShade="80"/>
            <w:noWrap/>
            <w:hideMark/>
          </w:tcPr>
          <w:p w:rsidR="00DA121F" w:rsidRPr="00DA121F" w:rsidRDefault="00DA121F" w:rsidP="00DA121F">
            <w:pPr>
              <w:pStyle w:val="BodyText"/>
            </w:pPr>
            <w:r w:rsidRPr="00DA121F">
              <w:t> </w:t>
            </w:r>
          </w:p>
        </w:tc>
      </w:tr>
    </w:tbl>
    <w:p w:rsidR="00DA121F" w:rsidRPr="00DA121F" w:rsidRDefault="00DA121F" w:rsidP="000B3D7F">
      <w:pPr>
        <w:pStyle w:val="BodyText"/>
        <w:spacing w:before="120"/>
      </w:pPr>
      <w:r w:rsidRPr="00DA121F">
        <w:t>New businesses in accommodation and food services lost five percent of jobs between 2009 and 2012, compared to the industry as a whole that added jobs during the period. Average business size, the largest among new businesses, increased from about 10 to 13 jobs per unit, nearly equal to the 2012 industry average. The average annual wage increased by 16 percent to $16,259 in 2012, approaching the industry average wage of $16,535.</w:t>
      </w:r>
    </w:p>
    <w:p w:rsidR="00DA121F" w:rsidRPr="00DA121F" w:rsidRDefault="00DA121F" w:rsidP="00A53B05">
      <w:pPr>
        <w:pStyle w:val="Heading4"/>
      </w:pPr>
      <w:r w:rsidRPr="00DA121F">
        <w:t>Administrative and Waste Services</w:t>
      </w:r>
    </w:p>
    <w:p w:rsidR="00DA121F" w:rsidRPr="00DA121F" w:rsidRDefault="00DA121F" w:rsidP="00DA121F">
      <w:pPr>
        <w:pStyle w:val="BodyText"/>
      </w:pPr>
      <w:r w:rsidRPr="00DA121F">
        <w:t xml:space="preserve">The administrative, support and waste management and remediation services sector comprises establishments performing routine support activities for the day-to-day operations of other </w:t>
      </w:r>
      <w:r w:rsidRPr="00DA121F">
        <w:lastRenderedPageBreak/>
        <w:t>organizations, specializing in one or more of support activities that include: office administration, hiring and placing of personnel, document preparation and clerical, solicitation, collection, security and surveillance, cleaning, and waste disposal services.</w:t>
      </w:r>
    </w:p>
    <w:tbl>
      <w:tblPr>
        <w:tblStyle w:val="TableGrid"/>
        <w:tblW w:w="0" w:type="auto"/>
        <w:jc w:val="center"/>
        <w:tblLook w:val="04A0" w:firstRow="1" w:lastRow="0" w:firstColumn="1" w:lastColumn="0" w:noHBand="0" w:noVBand="1"/>
        <w:tblCaption w:val="Administrative &amp; Waste Services"/>
        <w:tblDescription w:val="summary statistics"/>
      </w:tblPr>
      <w:tblGrid>
        <w:gridCol w:w="2500"/>
        <w:gridCol w:w="703"/>
        <w:gridCol w:w="1191"/>
        <w:gridCol w:w="1191"/>
        <w:gridCol w:w="954"/>
        <w:gridCol w:w="965"/>
        <w:gridCol w:w="1182"/>
      </w:tblGrid>
      <w:tr w:rsidR="00DA121F" w:rsidRPr="00DA121F" w:rsidTr="00472E7F">
        <w:trPr>
          <w:trHeight w:val="199"/>
          <w:jc w:val="center"/>
        </w:trPr>
        <w:tc>
          <w:tcPr>
            <w:tcW w:w="8523" w:type="dxa"/>
            <w:gridSpan w:val="7"/>
            <w:shd w:val="clear" w:color="auto" w:fill="215868" w:themeFill="accent5" w:themeFillShade="80"/>
            <w:noWrap/>
            <w:hideMark/>
          </w:tcPr>
          <w:p w:rsidR="00DA121F" w:rsidRPr="00DA121F" w:rsidRDefault="00DA121F" w:rsidP="00DA121F">
            <w:pPr>
              <w:pStyle w:val="BodyText"/>
            </w:pPr>
            <w:r w:rsidRPr="00DA121F">
              <w:t xml:space="preserve"> </w:t>
            </w:r>
          </w:p>
        </w:tc>
      </w:tr>
      <w:tr w:rsidR="00DA121F" w:rsidRPr="00DA121F" w:rsidTr="00F71DEB">
        <w:trPr>
          <w:trHeight w:val="300"/>
          <w:jc w:val="center"/>
        </w:trPr>
        <w:tc>
          <w:tcPr>
            <w:tcW w:w="2500" w:type="dxa"/>
            <w:vMerge w:val="restart"/>
            <w:vAlign w:val="center"/>
            <w:hideMark/>
          </w:tcPr>
          <w:p w:rsidR="00DA121F" w:rsidRPr="00A54343" w:rsidRDefault="00DA121F" w:rsidP="00A54343">
            <w:pPr>
              <w:pStyle w:val="TableColumnHeaders"/>
            </w:pPr>
            <w:r w:rsidRPr="00A54343">
              <w:t>Administrative &amp; Waste Services</w:t>
            </w:r>
          </w:p>
        </w:tc>
        <w:tc>
          <w:tcPr>
            <w:tcW w:w="3938" w:type="dxa"/>
            <w:gridSpan w:val="4"/>
            <w:noWrap/>
            <w:vAlign w:val="center"/>
            <w:hideMark/>
          </w:tcPr>
          <w:p w:rsidR="00DA121F" w:rsidRPr="00DA121F" w:rsidRDefault="00DA121F" w:rsidP="00C8766C">
            <w:pPr>
              <w:pStyle w:val="TableColumnHeaders"/>
              <w:jc w:val="center"/>
            </w:pPr>
            <w:r w:rsidRPr="00DA121F">
              <w:t>New Businesses</w:t>
            </w:r>
          </w:p>
        </w:tc>
        <w:tc>
          <w:tcPr>
            <w:tcW w:w="2085" w:type="dxa"/>
            <w:gridSpan w:val="2"/>
            <w:noWrap/>
            <w:vAlign w:val="center"/>
            <w:hideMark/>
          </w:tcPr>
          <w:p w:rsidR="00DA121F" w:rsidRPr="00C8766C" w:rsidRDefault="00DA121F" w:rsidP="00C8766C">
            <w:pPr>
              <w:pStyle w:val="TableColumnHeaders"/>
              <w:jc w:val="center"/>
              <w:rPr>
                <w:i/>
                <w:iCs/>
              </w:rPr>
            </w:pPr>
            <w:r w:rsidRPr="00C8766C">
              <w:rPr>
                <w:i/>
                <w:iCs/>
              </w:rPr>
              <w:t>Industry Avg.</w:t>
            </w:r>
          </w:p>
        </w:tc>
      </w:tr>
      <w:tr w:rsidR="00DA121F" w:rsidRPr="00DA121F" w:rsidTr="00255C93">
        <w:trPr>
          <w:trHeight w:val="300"/>
          <w:jc w:val="center"/>
        </w:trPr>
        <w:tc>
          <w:tcPr>
            <w:tcW w:w="2500" w:type="dxa"/>
            <w:vMerge/>
            <w:vAlign w:val="center"/>
            <w:hideMark/>
          </w:tcPr>
          <w:p w:rsidR="00DA121F" w:rsidRPr="00DA121F" w:rsidRDefault="00DA121F" w:rsidP="00A54343">
            <w:pPr>
              <w:pStyle w:val="TableColumnHeaders"/>
            </w:pPr>
          </w:p>
        </w:tc>
        <w:tc>
          <w:tcPr>
            <w:tcW w:w="663" w:type="dxa"/>
            <w:noWrap/>
            <w:vAlign w:val="center"/>
            <w:hideMark/>
          </w:tcPr>
          <w:p w:rsidR="00DA121F" w:rsidRPr="00DA121F" w:rsidRDefault="00DA121F" w:rsidP="00C8766C">
            <w:pPr>
              <w:pStyle w:val="TableColumnHeaders"/>
              <w:jc w:val="center"/>
            </w:pPr>
            <w:r w:rsidRPr="00DA121F">
              <w:t>2008</w:t>
            </w:r>
          </w:p>
        </w:tc>
        <w:tc>
          <w:tcPr>
            <w:tcW w:w="1191" w:type="dxa"/>
            <w:tcBorders>
              <w:bottom w:val="single" w:sz="4" w:space="0" w:color="auto"/>
            </w:tcBorders>
            <w:noWrap/>
            <w:vAlign w:val="center"/>
            <w:hideMark/>
          </w:tcPr>
          <w:p w:rsidR="00DA121F" w:rsidRPr="00DA121F" w:rsidRDefault="00DA121F" w:rsidP="00C8766C">
            <w:pPr>
              <w:pStyle w:val="TableColumnHeaders"/>
              <w:jc w:val="center"/>
            </w:pPr>
            <w:r w:rsidRPr="00DA121F">
              <w:t>2009</w:t>
            </w:r>
          </w:p>
        </w:tc>
        <w:tc>
          <w:tcPr>
            <w:tcW w:w="1191" w:type="dxa"/>
            <w:noWrap/>
            <w:vAlign w:val="center"/>
            <w:hideMark/>
          </w:tcPr>
          <w:p w:rsidR="00DA121F" w:rsidRPr="00DA121F" w:rsidRDefault="00DA121F" w:rsidP="00C8766C">
            <w:pPr>
              <w:pStyle w:val="TableColumnHeaders"/>
              <w:jc w:val="center"/>
            </w:pPr>
            <w:r w:rsidRPr="00DA121F">
              <w:t>2012</w:t>
            </w:r>
          </w:p>
        </w:tc>
        <w:tc>
          <w:tcPr>
            <w:tcW w:w="893" w:type="dxa"/>
            <w:noWrap/>
            <w:vAlign w:val="center"/>
            <w:hideMark/>
          </w:tcPr>
          <w:p w:rsidR="00DA121F" w:rsidRPr="00DA121F" w:rsidRDefault="00DA121F" w:rsidP="00C8766C">
            <w:pPr>
              <w:pStyle w:val="TableColumnHeaders"/>
              <w:jc w:val="center"/>
            </w:pPr>
            <w:r w:rsidRPr="00DA121F">
              <w:t>Change</w:t>
            </w:r>
          </w:p>
        </w:tc>
        <w:tc>
          <w:tcPr>
            <w:tcW w:w="903" w:type="dxa"/>
            <w:tcBorders>
              <w:bottom w:val="single" w:sz="4" w:space="0" w:color="auto"/>
            </w:tcBorders>
            <w:noWrap/>
            <w:vAlign w:val="center"/>
            <w:hideMark/>
          </w:tcPr>
          <w:p w:rsidR="00DA121F" w:rsidRPr="00C8766C" w:rsidRDefault="00DA121F" w:rsidP="00C8766C">
            <w:pPr>
              <w:pStyle w:val="TableColumnHeaders"/>
              <w:jc w:val="center"/>
              <w:rPr>
                <w:i/>
                <w:iCs/>
              </w:rPr>
            </w:pPr>
            <w:r w:rsidRPr="00C8766C">
              <w:rPr>
                <w:i/>
                <w:iCs/>
              </w:rPr>
              <w:t>Change</w:t>
            </w:r>
          </w:p>
        </w:tc>
        <w:tc>
          <w:tcPr>
            <w:tcW w:w="1182" w:type="dxa"/>
            <w:tcBorders>
              <w:bottom w:val="single" w:sz="4" w:space="0" w:color="auto"/>
            </w:tcBorders>
            <w:noWrap/>
            <w:vAlign w:val="center"/>
            <w:hideMark/>
          </w:tcPr>
          <w:p w:rsidR="00DA121F" w:rsidRPr="00C8766C" w:rsidRDefault="00DA121F" w:rsidP="00C8766C">
            <w:pPr>
              <w:pStyle w:val="TableColumnHeaders"/>
              <w:jc w:val="center"/>
              <w:rPr>
                <w:i/>
                <w:iCs/>
              </w:rPr>
            </w:pPr>
            <w:r w:rsidRPr="00C8766C">
              <w:rPr>
                <w:i/>
                <w:iCs/>
              </w:rPr>
              <w:t xml:space="preserve">2012 </w:t>
            </w:r>
            <w:proofErr w:type="spellStart"/>
            <w:r w:rsidRPr="00C8766C">
              <w:rPr>
                <w:i/>
                <w:iCs/>
              </w:rPr>
              <w:t>Avg</w:t>
            </w:r>
            <w:proofErr w:type="spellEnd"/>
          </w:p>
        </w:tc>
      </w:tr>
      <w:tr w:rsidR="00DA121F" w:rsidRPr="00DA121F" w:rsidTr="00255C93">
        <w:trPr>
          <w:trHeight w:val="300"/>
          <w:jc w:val="center"/>
        </w:trPr>
        <w:tc>
          <w:tcPr>
            <w:tcW w:w="2500" w:type="dxa"/>
            <w:noWrap/>
            <w:hideMark/>
          </w:tcPr>
          <w:p w:rsidR="00DA121F" w:rsidRPr="00DA121F" w:rsidRDefault="00DA121F" w:rsidP="00A54343">
            <w:pPr>
              <w:pStyle w:val="TableRowLabels"/>
            </w:pPr>
            <w:r w:rsidRPr="00DA121F">
              <w:t>Units</w:t>
            </w:r>
          </w:p>
        </w:tc>
        <w:tc>
          <w:tcPr>
            <w:tcW w:w="663" w:type="dxa"/>
            <w:tcBorders>
              <w:bottom w:val="single" w:sz="4" w:space="0" w:color="auto"/>
            </w:tcBorders>
            <w:noWrap/>
            <w:vAlign w:val="center"/>
            <w:hideMark/>
          </w:tcPr>
          <w:p w:rsidR="00DA121F" w:rsidRPr="00DA121F" w:rsidRDefault="00DA121F" w:rsidP="00F71DEB">
            <w:pPr>
              <w:pStyle w:val="BodyText"/>
              <w:jc w:val="right"/>
            </w:pPr>
            <w:r w:rsidRPr="00DA121F">
              <w:t>244</w:t>
            </w:r>
          </w:p>
        </w:tc>
        <w:tc>
          <w:tcPr>
            <w:tcW w:w="1191" w:type="dxa"/>
            <w:shd w:val="pct10" w:color="auto" w:fill="auto"/>
            <w:noWrap/>
            <w:vAlign w:val="center"/>
            <w:hideMark/>
          </w:tcPr>
          <w:p w:rsidR="00DA121F" w:rsidRPr="00DA121F" w:rsidRDefault="00DA121F" w:rsidP="00F71DEB">
            <w:pPr>
              <w:pStyle w:val="BodyText"/>
              <w:jc w:val="right"/>
            </w:pPr>
            <w:r w:rsidRPr="00DA121F">
              <w:t> </w:t>
            </w:r>
          </w:p>
        </w:tc>
        <w:tc>
          <w:tcPr>
            <w:tcW w:w="1191" w:type="dxa"/>
            <w:noWrap/>
            <w:vAlign w:val="center"/>
            <w:hideMark/>
          </w:tcPr>
          <w:p w:rsidR="00DA121F" w:rsidRPr="00DA121F" w:rsidRDefault="00DA121F" w:rsidP="00F71DEB">
            <w:pPr>
              <w:pStyle w:val="BodyText"/>
              <w:jc w:val="right"/>
            </w:pPr>
            <w:r w:rsidRPr="00DA121F">
              <w:t>121</w:t>
            </w:r>
          </w:p>
        </w:tc>
        <w:tc>
          <w:tcPr>
            <w:tcW w:w="893" w:type="dxa"/>
            <w:noWrap/>
            <w:vAlign w:val="center"/>
            <w:hideMark/>
          </w:tcPr>
          <w:p w:rsidR="00DA121F" w:rsidRPr="00DA121F" w:rsidRDefault="00DA121F" w:rsidP="00F71DEB">
            <w:pPr>
              <w:pStyle w:val="BodyText"/>
              <w:jc w:val="right"/>
            </w:pPr>
            <w:r w:rsidRPr="00DA121F">
              <w:t>-50%</w:t>
            </w:r>
          </w:p>
        </w:tc>
        <w:tc>
          <w:tcPr>
            <w:tcW w:w="903" w:type="dxa"/>
            <w:shd w:val="pct10" w:color="auto" w:fill="auto"/>
            <w:noWrap/>
            <w:vAlign w:val="center"/>
            <w:hideMark/>
          </w:tcPr>
          <w:p w:rsidR="00DA121F" w:rsidRPr="00DA121F" w:rsidRDefault="00DA121F" w:rsidP="00F71DEB">
            <w:pPr>
              <w:pStyle w:val="BodyText"/>
              <w:jc w:val="right"/>
              <w:rPr>
                <w:i/>
                <w:iCs/>
              </w:rPr>
            </w:pPr>
            <w:r w:rsidRPr="00DA121F">
              <w:rPr>
                <w:i/>
                <w:iCs/>
              </w:rPr>
              <w:t> </w:t>
            </w:r>
          </w:p>
        </w:tc>
        <w:tc>
          <w:tcPr>
            <w:tcW w:w="1182" w:type="dxa"/>
            <w:tcBorders>
              <w:bottom w:val="single" w:sz="4" w:space="0" w:color="auto"/>
            </w:tcBorders>
            <w:shd w:val="pct10" w:color="auto" w:fill="auto"/>
            <w:noWrap/>
            <w:vAlign w:val="center"/>
            <w:hideMark/>
          </w:tcPr>
          <w:p w:rsidR="00DA121F" w:rsidRPr="00DA121F" w:rsidRDefault="00DA121F" w:rsidP="00F71DEB">
            <w:pPr>
              <w:pStyle w:val="BodyText"/>
              <w:jc w:val="right"/>
              <w:rPr>
                <w:i/>
                <w:iCs/>
              </w:rPr>
            </w:pPr>
            <w:r w:rsidRPr="00DA121F">
              <w:rPr>
                <w:i/>
                <w:iCs/>
              </w:rPr>
              <w:t> </w:t>
            </w:r>
          </w:p>
        </w:tc>
      </w:tr>
      <w:tr w:rsidR="00DA121F" w:rsidRPr="00DA121F" w:rsidTr="00255C93">
        <w:trPr>
          <w:trHeight w:val="300"/>
          <w:jc w:val="center"/>
        </w:trPr>
        <w:tc>
          <w:tcPr>
            <w:tcW w:w="2500" w:type="dxa"/>
            <w:noWrap/>
            <w:hideMark/>
          </w:tcPr>
          <w:p w:rsidR="00DA121F" w:rsidRPr="00DA121F" w:rsidRDefault="00DA121F" w:rsidP="00A54343">
            <w:pPr>
              <w:pStyle w:val="TableRowLabels"/>
            </w:pPr>
            <w:r w:rsidRPr="00DA121F">
              <w:t>Average Employment</w:t>
            </w:r>
          </w:p>
        </w:tc>
        <w:tc>
          <w:tcPr>
            <w:tcW w:w="663" w:type="dxa"/>
            <w:shd w:val="pct10" w:color="auto" w:fill="auto"/>
            <w:noWrap/>
            <w:vAlign w:val="center"/>
            <w:hideMark/>
          </w:tcPr>
          <w:p w:rsidR="00DA121F" w:rsidRPr="00DA121F" w:rsidRDefault="00DA121F" w:rsidP="00F71DEB">
            <w:pPr>
              <w:pStyle w:val="BodyText"/>
              <w:jc w:val="right"/>
            </w:pPr>
            <w:r w:rsidRPr="00DA121F">
              <w:t> </w:t>
            </w:r>
          </w:p>
        </w:tc>
        <w:tc>
          <w:tcPr>
            <w:tcW w:w="1191" w:type="dxa"/>
            <w:noWrap/>
            <w:vAlign w:val="center"/>
            <w:hideMark/>
          </w:tcPr>
          <w:p w:rsidR="00DA121F" w:rsidRPr="00DA121F" w:rsidRDefault="00DA121F" w:rsidP="00F71DEB">
            <w:pPr>
              <w:pStyle w:val="BodyText"/>
              <w:jc w:val="right"/>
            </w:pPr>
            <w:r w:rsidRPr="00DA121F">
              <w:t xml:space="preserve">816 </w:t>
            </w:r>
          </w:p>
        </w:tc>
        <w:tc>
          <w:tcPr>
            <w:tcW w:w="1191" w:type="dxa"/>
            <w:noWrap/>
            <w:vAlign w:val="center"/>
            <w:hideMark/>
          </w:tcPr>
          <w:p w:rsidR="00DA121F" w:rsidRPr="00DA121F" w:rsidRDefault="00DA121F" w:rsidP="00F71DEB">
            <w:pPr>
              <w:pStyle w:val="BodyText"/>
              <w:jc w:val="right"/>
            </w:pPr>
            <w:r w:rsidRPr="00DA121F">
              <w:t xml:space="preserve">628 </w:t>
            </w:r>
          </w:p>
        </w:tc>
        <w:tc>
          <w:tcPr>
            <w:tcW w:w="893" w:type="dxa"/>
            <w:noWrap/>
            <w:vAlign w:val="center"/>
            <w:hideMark/>
          </w:tcPr>
          <w:p w:rsidR="00DA121F" w:rsidRPr="00DA121F" w:rsidRDefault="00DA121F" w:rsidP="00F71DEB">
            <w:pPr>
              <w:pStyle w:val="BodyText"/>
              <w:jc w:val="right"/>
            </w:pPr>
            <w:r w:rsidRPr="00DA121F">
              <w:t>-23%</w:t>
            </w:r>
          </w:p>
        </w:tc>
        <w:tc>
          <w:tcPr>
            <w:tcW w:w="903" w:type="dxa"/>
            <w:noWrap/>
            <w:vAlign w:val="center"/>
            <w:hideMark/>
          </w:tcPr>
          <w:p w:rsidR="00DA121F" w:rsidRPr="00DA121F" w:rsidRDefault="00DA121F" w:rsidP="00F71DEB">
            <w:pPr>
              <w:pStyle w:val="BodyText"/>
              <w:jc w:val="right"/>
              <w:rPr>
                <w:i/>
                <w:iCs/>
              </w:rPr>
            </w:pPr>
            <w:r w:rsidRPr="00DA121F">
              <w:rPr>
                <w:i/>
                <w:iCs/>
              </w:rPr>
              <w:t>8%</w:t>
            </w:r>
          </w:p>
        </w:tc>
        <w:tc>
          <w:tcPr>
            <w:tcW w:w="1182" w:type="dxa"/>
            <w:shd w:val="pct10" w:color="auto" w:fill="auto"/>
            <w:noWrap/>
            <w:vAlign w:val="center"/>
            <w:hideMark/>
          </w:tcPr>
          <w:p w:rsidR="00DA121F" w:rsidRPr="00DA121F" w:rsidRDefault="00DA121F" w:rsidP="00F71DEB">
            <w:pPr>
              <w:pStyle w:val="BodyText"/>
              <w:jc w:val="right"/>
              <w:rPr>
                <w:i/>
                <w:iCs/>
              </w:rPr>
            </w:pPr>
            <w:r w:rsidRPr="00DA121F">
              <w:rPr>
                <w:i/>
                <w:iCs/>
              </w:rPr>
              <w:t> </w:t>
            </w:r>
          </w:p>
        </w:tc>
      </w:tr>
      <w:tr w:rsidR="00DA121F" w:rsidRPr="00DA121F" w:rsidTr="00255C93">
        <w:trPr>
          <w:trHeight w:val="300"/>
          <w:jc w:val="center"/>
        </w:trPr>
        <w:tc>
          <w:tcPr>
            <w:tcW w:w="2500" w:type="dxa"/>
            <w:noWrap/>
            <w:hideMark/>
          </w:tcPr>
          <w:p w:rsidR="00DA121F" w:rsidRPr="00DA121F" w:rsidRDefault="00DA121F" w:rsidP="00A54343">
            <w:pPr>
              <w:pStyle w:val="TableRowLabels"/>
            </w:pPr>
            <w:r w:rsidRPr="00DA121F">
              <w:t>Avg. Annual Wage</w:t>
            </w:r>
          </w:p>
        </w:tc>
        <w:tc>
          <w:tcPr>
            <w:tcW w:w="663" w:type="dxa"/>
            <w:shd w:val="pct10" w:color="auto" w:fill="auto"/>
            <w:noWrap/>
            <w:vAlign w:val="center"/>
            <w:hideMark/>
          </w:tcPr>
          <w:p w:rsidR="00DA121F" w:rsidRPr="00DA121F" w:rsidRDefault="00DA121F" w:rsidP="00F71DEB">
            <w:pPr>
              <w:pStyle w:val="BodyText"/>
              <w:jc w:val="right"/>
            </w:pPr>
            <w:r w:rsidRPr="00DA121F">
              <w:t> </w:t>
            </w:r>
          </w:p>
        </w:tc>
        <w:tc>
          <w:tcPr>
            <w:tcW w:w="1191" w:type="dxa"/>
            <w:noWrap/>
            <w:vAlign w:val="center"/>
            <w:hideMark/>
          </w:tcPr>
          <w:p w:rsidR="00DA121F" w:rsidRPr="00DA121F" w:rsidRDefault="00DA121F" w:rsidP="00F71DEB">
            <w:pPr>
              <w:pStyle w:val="BodyText"/>
              <w:jc w:val="right"/>
            </w:pPr>
            <w:r w:rsidRPr="00DA121F">
              <w:t xml:space="preserve">$ 27,446 </w:t>
            </w:r>
          </w:p>
        </w:tc>
        <w:tc>
          <w:tcPr>
            <w:tcW w:w="1191" w:type="dxa"/>
            <w:noWrap/>
            <w:vAlign w:val="center"/>
            <w:hideMark/>
          </w:tcPr>
          <w:p w:rsidR="00DA121F" w:rsidRPr="00DA121F" w:rsidRDefault="00DA121F" w:rsidP="00F71DEB">
            <w:pPr>
              <w:pStyle w:val="BodyText"/>
              <w:jc w:val="right"/>
            </w:pPr>
            <w:r w:rsidRPr="00DA121F">
              <w:t xml:space="preserve">$ 31,500 </w:t>
            </w:r>
          </w:p>
        </w:tc>
        <w:tc>
          <w:tcPr>
            <w:tcW w:w="893" w:type="dxa"/>
            <w:noWrap/>
            <w:vAlign w:val="center"/>
            <w:hideMark/>
          </w:tcPr>
          <w:p w:rsidR="00DA121F" w:rsidRPr="00DA121F" w:rsidRDefault="00DA121F" w:rsidP="00F71DEB">
            <w:pPr>
              <w:pStyle w:val="BodyText"/>
              <w:jc w:val="right"/>
            </w:pPr>
            <w:r w:rsidRPr="00DA121F">
              <w:t>15%</w:t>
            </w:r>
          </w:p>
        </w:tc>
        <w:tc>
          <w:tcPr>
            <w:tcW w:w="903" w:type="dxa"/>
            <w:tcBorders>
              <w:bottom w:val="single" w:sz="4" w:space="0" w:color="auto"/>
            </w:tcBorders>
            <w:noWrap/>
            <w:vAlign w:val="center"/>
            <w:hideMark/>
          </w:tcPr>
          <w:p w:rsidR="00DA121F" w:rsidRPr="00DA121F" w:rsidRDefault="00DA121F" w:rsidP="00F71DEB">
            <w:pPr>
              <w:pStyle w:val="BodyText"/>
              <w:jc w:val="right"/>
              <w:rPr>
                <w:i/>
                <w:iCs/>
              </w:rPr>
            </w:pPr>
            <w:r w:rsidRPr="00DA121F">
              <w:rPr>
                <w:i/>
                <w:iCs/>
              </w:rPr>
              <w:t>5%</w:t>
            </w:r>
          </w:p>
        </w:tc>
        <w:tc>
          <w:tcPr>
            <w:tcW w:w="1182" w:type="dxa"/>
            <w:noWrap/>
            <w:vAlign w:val="center"/>
            <w:hideMark/>
          </w:tcPr>
          <w:p w:rsidR="00DA121F" w:rsidRPr="00DA121F" w:rsidRDefault="00DA121F" w:rsidP="00F71DEB">
            <w:pPr>
              <w:pStyle w:val="BodyText"/>
              <w:jc w:val="right"/>
              <w:rPr>
                <w:i/>
                <w:iCs/>
              </w:rPr>
            </w:pPr>
            <w:r w:rsidRPr="00DA121F">
              <w:rPr>
                <w:i/>
                <w:iCs/>
              </w:rPr>
              <w:t>$ 31,699</w:t>
            </w:r>
          </w:p>
        </w:tc>
      </w:tr>
      <w:tr w:rsidR="00DA121F" w:rsidRPr="00DA121F" w:rsidTr="00255C93">
        <w:trPr>
          <w:trHeight w:val="300"/>
          <w:jc w:val="center"/>
        </w:trPr>
        <w:tc>
          <w:tcPr>
            <w:tcW w:w="2500" w:type="dxa"/>
            <w:noWrap/>
            <w:hideMark/>
          </w:tcPr>
          <w:p w:rsidR="00DA121F" w:rsidRPr="00DA121F" w:rsidRDefault="00DA121F" w:rsidP="00A54343">
            <w:pPr>
              <w:pStyle w:val="TableRowLabels"/>
            </w:pPr>
            <w:r w:rsidRPr="00DA121F">
              <w:t>Avg. Business Size</w:t>
            </w:r>
          </w:p>
        </w:tc>
        <w:tc>
          <w:tcPr>
            <w:tcW w:w="663" w:type="dxa"/>
            <w:shd w:val="pct10" w:color="auto" w:fill="auto"/>
            <w:noWrap/>
            <w:vAlign w:val="center"/>
            <w:hideMark/>
          </w:tcPr>
          <w:p w:rsidR="00DA121F" w:rsidRPr="00DA121F" w:rsidRDefault="00DA121F" w:rsidP="00F71DEB">
            <w:pPr>
              <w:pStyle w:val="BodyText"/>
              <w:jc w:val="right"/>
            </w:pPr>
            <w:r w:rsidRPr="00DA121F">
              <w:t> </w:t>
            </w:r>
          </w:p>
        </w:tc>
        <w:tc>
          <w:tcPr>
            <w:tcW w:w="1191" w:type="dxa"/>
            <w:noWrap/>
            <w:vAlign w:val="center"/>
            <w:hideMark/>
          </w:tcPr>
          <w:p w:rsidR="00DA121F" w:rsidRPr="00DA121F" w:rsidRDefault="00DA121F" w:rsidP="00F71DEB">
            <w:pPr>
              <w:pStyle w:val="BodyText"/>
              <w:jc w:val="right"/>
            </w:pPr>
            <w:r w:rsidRPr="00DA121F">
              <w:t xml:space="preserve">4.1 </w:t>
            </w:r>
          </w:p>
        </w:tc>
        <w:tc>
          <w:tcPr>
            <w:tcW w:w="1191" w:type="dxa"/>
            <w:noWrap/>
            <w:vAlign w:val="center"/>
            <w:hideMark/>
          </w:tcPr>
          <w:p w:rsidR="00DA121F" w:rsidRPr="00DA121F" w:rsidRDefault="00DA121F" w:rsidP="00F71DEB">
            <w:pPr>
              <w:pStyle w:val="BodyText"/>
              <w:jc w:val="right"/>
            </w:pPr>
            <w:r w:rsidRPr="00DA121F">
              <w:t xml:space="preserve">5.2 </w:t>
            </w:r>
          </w:p>
        </w:tc>
        <w:tc>
          <w:tcPr>
            <w:tcW w:w="893" w:type="dxa"/>
            <w:noWrap/>
            <w:vAlign w:val="center"/>
            <w:hideMark/>
          </w:tcPr>
          <w:p w:rsidR="00DA121F" w:rsidRPr="00DA121F" w:rsidRDefault="00DA121F" w:rsidP="00F71DEB">
            <w:pPr>
              <w:pStyle w:val="BodyText"/>
              <w:jc w:val="right"/>
            </w:pPr>
            <w:r w:rsidRPr="00DA121F">
              <w:t>28%</w:t>
            </w:r>
          </w:p>
        </w:tc>
        <w:tc>
          <w:tcPr>
            <w:tcW w:w="903" w:type="dxa"/>
            <w:shd w:val="pct10" w:color="auto" w:fill="auto"/>
            <w:noWrap/>
            <w:vAlign w:val="center"/>
            <w:hideMark/>
          </w:tcPr>
          <w:p w:rsidR="00DA121F" w:rsidRPr="00DA121F" w:rsidRDefault="00DA121F" w:rsidP="00F71DEB">
            <w:pPr>
              <w:pStyle w:val="BodyText"/>
              <w:jc w:val="right"/>
              <w:rPr>
                <w:i/>
                <w:iCs/>
              </w:rPr>
            </w:pPr>
            <w:r w:rsidRPr="00DA121F">
              <w:rPr>
                <w:i/>
                <w:iCs/>
              </w:rPr>
              <w:t> </w:t>
            </w:r>
          </w:p>
        </w:tc>
        <w:tc>
          <w:tcPr>
            <w:tcW w:w="1182" w:type="dxa"/>
            <w:noWrap/>
            <w:vAlign w:val="center"/>
            <w:hideMark/>
          </w:tcPr>
          <w:p w:rsidR="00DA121F" w:rsidRPr="00DA121F" w:rsidRDefault="00DA121F" w:rsidP="00F71DEB">
            <w:pPr>
              <w:pStyle w:val="BodyText"/>
              <w:jc w:val="right"/>
              <w:rPr>
                <w:i/>
                <w:iCs/>
              </w:rPr>
            </w:pPr>
            <w:r w:rsidRPr="00DA121F">
              <w:rPr>
                <w:i/>
                <w:iCs/>
              </w:rPr>
              <w:t>9.1</w:t>
            </w:r>
          </w:p>
        </w:tc>
      </w:tr>
      <w:tr w:rsidR="00DA121F" w:rsidRPr="00DA121F" w:rsidTr="00472E7F">
        <w:trPr>
          <w:trHeight w:val="199"/>
          <w:jc w:val="center"/>
        </w:trPr>
        <w:tc>
          <w:tcPr>
            <w:tcW w:w="8523" w:type="dxa"/>
            <w:gridSpan w:val="7"/>
            <w:shd w:val="clear" w:color="auto" w:fill="215868" w:themeFill="accent5" w:themeFillShade="80"/>
            <w:noWrap/>
            <w:hideMark/>
          </w:tcPr>
          <w:p w:rsidR="00DA121F" w:rsidRPr="00DA121F" w:rsidRDefault="00DA121F" w:rsidP="00DA121F">
            <w:pPr>
              <w:pStyle w:val="BodyText"/>
            </w:pPr>
            <w:r w:rsidRPr="00DA121F">
              <w:t> </w:t>
            </w:r>
          </w:p>
        </w:tc>
      </w:tr>
    </w:tbl>
    <w:p w:rsidR="00DA121F" w:rsidRPr="00DA121F" w:rsidRDefault="00DA121F" w:rsidP="000B3D7F">
      <w:pPr>
        <w:pStyle w:val="BodyText"/>
        <w:spacing w:before="120"/>
      </w:pPr>
      <w:r w:rsidRPr="00DA121F">
        <w:t xml:space="preserve">Half of new businesses in this industry sector survived to 2012. In total, the number of jobs at new businesses decreased by 23 percent; at the same time, employment in the industry as a whole increased by 8 percent. Businesses that survived grew from an average size of four jobs to five jobs per unit, smaller than the industry average of nine jobs per unit. The average wage increased by 15 percent to $31,500, nearly equal to the industry’s average wage. </w:t>
      </w:r>
    </w:p>
    <w:p w:rsidR="00DA121F" w:rsidRPr="00DA121F" w:rsidRDefault="00DA121F" w:rsidP="00A53B05">
      <w:pPr>
        <w:pStyle w:val="Heading4"/>
      </w:pPr>
      <w:r w:rsidRPr="00DA121F">
        <w:t>Health and Social Services</w:t>
      </w:r>
    </w:p>
    <w:p w:rsidR="00DA121F" w:rsidRPr="00DA121F" w:rsidRDefault="00DA121F" w:rsidP="00DA121F">
      <w:pPr>
        <w:pStyle w:val="BodyText"/>
      </w:pPr>
      <w:r w:rsidRPr="00DA121F">
        <w:t xml:space="preserve">The health and social services sector comprises establishments on a continuum starting with those establishments providing medical care exclusively, continuing with those providing both health and social services, and finally finishing with those providing only social assistance. </w:t>
      </w:r>
    </w:p>
    <w:tbl>
      <w:tblPr>
        <w:tblStyle w:val="TableGrid"/>
        <w:tblW w:w="0" w:type="auto"/>
        <w:jc w:val="center"/>
        <w:tblLook w:val="04A0" w:firstRow="1" w:lastRow="0" w:firstColumn="1" w:lastColumn="0" w:noHBand="0" w:noVBand="1"/>
        <w:tblCaption w:val="Health &amp; Social Services"/>
        <w:tblDescription w:val="summary statistics"/>
      </w:tblPr>
      <w:tblGrid>
        <w:gridCol w:w="2522"/>
        <w:gridCol w:w="703"/>
        <w:gridCol w:w="1202"/>
        <w:gridCol w:w="1202"/>
        <w:gridCol w:w="954"/>
        <w:gridCol w:w="965"/>
        <w:gridCol w:w="1190"/>
      </w:tblGrid>
      <w:tr w:rsidR="00DA121F" w:rsidRPr="00DA121F" w:rsidTr="00977300">
        <w:trPr>
          <w:trHeight w:val="199"/>
          <w:jc w:val="center"/>
        </w:trPr>
        <w:tc>
          <w:tcPr>
            <w:tcW w:w="8716" w:type="dxa"/>
            <w:gridSpan w:val="7"/>
            <w:shd w:val="clear" w:color="auto" w:fill="215868" w:themeFill="accent5" w:themeFillShade="80"/>
            <w:noWrap/>
            <w:hideMark/>
          </w:tcPr>
          <w:p w:rsidR="00DA121F" w:rsidRPr="00DA121F" w:rsidRDefault="00DA121F" w:rsidP="00DA121F">
            <w:pPr>
              <w:pStyle w:val="BodyText"/>
            </w:pPr>
            <w:r w:rsidRPr="00DA121F">
              <w:t> </w:t>
            </w:r>
          </w:p>
        </w:tc>
      </w:tr>
      <w:tr w:rsidR="00DA121F" w:rsidRPr="00DA121F" w:rsidTr="00977300">
        <w:trPr>
          <w:trHeight w:val="300"/>
          <w:jc w:val="center"/>
        </w:trPr>
        <w:tc>
          <w:tcPr>
            <w:tcW w:w="2522" w:type="dxa"/>
            <w:vMerge w:val="restart"/>
            <w:vAlign w:val="center"/>
            <w:hideMark/>
          </w:tcPr>
          <w:p w:rsidR="00DA121F" w:rsidRPr="00DA121F" w:rsidRDefault="00DA121F" w:rsidP="00C8766C">
            <w:pPr>
              <w:pStyle w:val="TableColumnHeaders"/>
            </w:pPr>
            <w:r w:rsidRPr="00DA121F">
              <w:t xml:space="preserve">Health </w:t>
            </w:r>
            <w:r w:rsidR="00977300">
              <w:t>&amp; Social</w:t>
            </w:r>
            <w:r w:rsidR="00C8766C">
              <w:t xml:space="preserve"> </w:t>
            </w:r>
            <w:r w:rsidRPr="00DA121F">
              <w:t>Services</w:t>
            </w:r>
          </w:p>
        </w:tc>
        <w:tc>
          <w:tcPr>
            <w:tcW w:w="4061" w:type="dxa"/>
            <w:gridSpan w:val="4"/>
            <w:noWrap/>
            <w:vAlign w:val="center"/>
            <w:hideMark/>
          </w:tcPr>
          <w:p w:rsidR="00DA121F" w:rsidRPr="00DA121F" w:rsidRDefault="00DA121F" w:rsidP="00C8766C">
            <w:pPr>
              <w:pStyle w:val="TableColumnHeaders"/>
              <w:jc w:val="center"/>
            </w:pPr>
            <w:r w:rsidRPr="00DA121F">
              <w:t>New Businesses</w:t>
            </w:r>
          </w:p>
        </w:tc>
        <w:tc>
          <w:tcPr>
            <w:tcW w:w="2133" w:type="dxa"/>
            <w:gridSpan w:val="2"/>
            <w:noWrap/>
            <w:vAlign w:val="center"/>
            <w:hideMark/>
          </w:tcPr>
          <w:p w:rsidR="00DA121F" w:rsidRPr="00C8766C" w:rsidRDefault="00DA121F" w:rsidP="00C8766C">
            <w:pPr>
              <w:pStyle w:val="TableColumnHeaders"/>
              <w:jc w:val="center"/>
              <w:rPr>
                <w:i/>
                <w:iCs/>
              </w:rPr>
            </w:pPr>
            <w:r w:rsidRPr="00C8766C">
              <w:rPr>
                <w:i/>
                <w:iCs/>
              </w:rPr>
              <w:t>Industry Avg.</w:t>
            </w:r>
          </w:p>
        </w:tc>
      </w:tr>
      <w:tr w:rsidR="00DA121F" w:rsidRPr="00DA121F" w:rsidTr="00255C93">
        <w:trPr>
          <w:trHeight w:val="300"/>
          <w:jc w:val="center"/>
        </w:trPr>
        <w:tc>
          <w:tcPr>
            <w:tcW w:w="2522" w:type="dxa"/>
            <w:vMerge/>
            <w:hideMark/>
          </w:tcPr>
          <w:p w:rsidR="00DA121F" w:rsidRPr="00DA121F" w:rsidRDefault="00DA121F" w:rsidP="00DA121F">
            <w:pPr>
              <w:pStyle w:val="BodyText"/>
              <w:rPr>
                <w:b/>
                <w:bCs/>
              </w:rPr>
            </w:pPr>
          </w:p>
        </w:tc>
        <w:tc>
          <w:tcPr>
            <w:tcW w:w="703" w:type="dxa"/>
            <w:noWrap/>
            <w:vAlign w:val="center"/>
            <w:hideMark/>
          </w:tcPr>
          <w:p w:rsidR="00DA121F" w:rsidRPr="00DA121F" w:rsidRDefault="00DA121F" w:rsidP="00C8766C">
            <w:pPr>
              <w:pStyle w:val="TableColumnHeaders"/>
              <w:jc w:val="center"/>
            </w:pPr>
            <w:r w:rsidRPr="00DA121F">
              <w:t>2008</w:t>
            </w:r>
          </w:p>
        </w:tc>
        <w:tc>
          <w:tcPr>
            <w:tcW w:w="1202" w:type="dxa"/>
            <w:tcBorders>
              <w:bottom w:val="single" w:sz="4" w:space="0" w:color="auto"/>
            </w:tcBorders>
            <w:noWrap/>
            <w:vAlign w:val="center"/>
            <w:hideMark/>
          </w:tcPr>
          <w:p w:rsidR="00DA121F" w:rsidRPr="00DA121F" w:rsidRDefault="00DA121F" w:rsidP="00C8766C">
            <w:pPr>
              <w:pStyle w:val="TableColumnHeaders"/>
              <w:jc w:val="center"/>
            </w:pPr>
            <w:r w:rsidRPr="00DA121F">
              <w:t>2009</w:t>
            </w:r>
          </w:p>
        </w:tc>
        <w:tc>
          <w:tcPr>
            <w:tcW w:w="1202" w:type="dxa"/>
            <w:noWrap/>
            <w:vAlign w:val="center"/>
            <w:hideMark/>
          </w:tcPr>
          <w:p w:rsidR="00DA121F" w:rsidRPr="00DA121F" w:rsidRDefault="00DA121F" w:rsidP="00C8766C">
            <w:pPr>
              <w:pStyle w:val="TableColumnHeaders"/>
              <w:jc w:val="center"/>
            </w:pPr>
            <w:r w:rsidRPr="00DA121F">
              <w:t>2012</w:t>
            </w:r>
          </w:p>
        </w:tc>
        <w:tc>
          <w:tcPr>
            <w:tcW w:w="954" w:type="dxa"/>
            <w:noWrap/>
            <w:vAlign w:val="center"/>
            <w:hideMark/>
          </w:tcPr>
          <w:p w:rsidR="00DA121F" w:rsidRPr="00DA121F" w:rsidRDefault="00DA121F" w:rsidP="00C8766C">
            <w:pPr>
              <w:pStyle w:val="TableColumnHeaders"/>
              <w:jc w:val="center"/>
            </w:pPr>
            <w:r w:rsidRPr="00DA121F">
              <w:t>Change</w:t>
            </w:r>
          </w:p>
        </w:tc>
        <w:tc>
          <w:tcPr>
            <w:tcW w:w="943" w:type="dxa"/>
            <w:tcBorders>
              <w:bottom w:val="single" w:sz="4" w:space="0" w:color="auto"/>
            </w:tcBorders>
            <w:noWrap/>
            <w:vAlign w:val="center"/>
            <w:hideMark/>
          </w:tcPr>
          <w:p w:rsidR="00DA121F" w:rsidRPr="00C8766C" w:rsidRDefault="00DA121F" w:rsidP="00C8766C">
            <w:pPr>
              <w:pStyle w:val="TableColumnHeaders"/>
              <w:jc w:val="center"/>
              <w:rPr>
                <w:i/>
                <w:iCs/>
              </w:rPr>
            </w:pPr>
            <w:r w:rsidRPr="00C8766C">
              <w:rPr>
                <w:i/>
                <w:iCs/>
              </w:rPr>
              <w:t>Change</w:t>
            </w:r>
          </w:p>
        </w:tc>
        <w:tc>
          <w:tcPr>
            <w:tcW w:w="1190" w:type="dxa"/>
            <w:tcBorders>
              <w:bottom w:val="single" w:sz="4" w:space="0" w:color="auto"/>
            </w:tcBorders>
            <w:noWrap/>
            <w:vAlign w:val="center"/>
            <w:hideMark/>
          </w:tcPr>
          <w:p w:rsidR="00DA121F" w:rsidRPr="00C8766C" w:rsidRDefault="00DA121F" w:rsidP="00C8766C">
            <w:pPr>
              <w:pStyle w:val="TableColumnHeaders"/>
              <w:jc w:val="center"/>
              <w:rPr>
                <w:i/>
                <w:iCs/>
              </w:rPr>
            </w:pPr>
            <w:r w:rsidRPr="00C8766C">
              <w:rPr>
                <w:i/>
                <w:iCs/>
              </w:rPr>
              <w:t xml:space="preserve">2012 </w:t>
            </w:r>
            <w:proofErr w:type="spellStart"/>
            <w:r w:rsidRPr="00C8766C">
              <w:rPr>
                <w:i/>
                <w:iCs/>
              </w:rPr>
              <w:t>Avg</w:t>
            </w:r>
            <w:proofErr w:type="spellEnd"/>
          </w:p>
        </w:tc>
      </w:tr>
      <w:tr w:rsidR="00DA121F" w:rsidRPr="00DA121F" w:rsidTr="00255C93">
        <w:trPr>
          <w:trHeight w:val="300"/>
          <w:jc w:val="center"/>
        </w:trPr>
        <w:tc>
          <w:tcPr>
            <w:tcW w:w="2522" w:type="dxa"/>
            <w:noWrap/>
            <w:hideMark/>
          </w:tcPr>
          <w:p w:rsidR="00DA121F" w:rsidRPr="00DA121F" w:rsidRDefault="00DA121F" w:rsidP="00C8766C">
            <w:pPr>
              <w:pStyle w:val="TableRowLabels"/>
            </w:pPr>
            <w:r w:rsidRPr="00DA121F">
              <w:t>Units</w:t>
            </w:r>
          </w:p>
        </w:tc>
        <w:tc>
          <w:tcPr>
            <w:tcW w:w="703" w:type="dxa"/>
            <w:tcBorders>
              <w:bottom w:val="single" w:sz="4" w:space="0" w:color="auto"/>
            </w:tcBorders>
            <w:noWrap/>
            <w:vAlign w:val="center"/>
            <w:hideMark/>
          </w:tcPr>
          <w:p w:rsidR="00DA121F" w:rsidRPr="00DA121F" w:rsidRDefault="00DA121F" w:rsidP="00977300">
            <w:pPr>
              <w:pStyle w:val="BodyText"/>
              <w:jc w:val="right"/>
            </w:pPr>
            <w:r w:rsidRPr="00DA121F">
              <w:t>209</w:t>
            </w:r>
          </w:p>
        </w:tc>
        <w:tc>
          <w:tcPr>
            <w:tcW w:w="1202" w:type="dxa"/>
            <w:shd w:val="pct10" w:color="auto" w:fill="auto"/>
            <w:noWrap/>
            <w:vAlign w:val="center"/>
            <w:hideMark/>
          </w:tcPr>
          <w:p w:rsidR="00DA121F" w:rsidRPr="00DA121F" w:rsidRDefault="00DA121F" w:rsidP="00977300">
            <w:pPr>
              <w:pStyle w:val="BodyText"/>
              <w:jc w:val="right"/>
            </w:pPr>
            <w:r w:rsidRPr="00DA121F">
              <w:t> </w:t>
            </w:r>
          </w:p>
        </w:tc>
        <w:tc>
          <w:tcPr>
            <w:tcW w:w="1202" w:type="dxa"/>
            <w:noWrap/>
            <w:vAlign w:val="center"/>
            <w:hideMark/>
          </w:tcPr>
          <w:p w:rsidR="00DA121F" w:rsidRPr="00DA121F" w:rsidRDefault="00DA121F" w:rsidP="00977300">
            <w:pPr>
              <w:pStyle w:val="BodyText"/>
              <w:jc w:val="right"/>
            </w:pPr>
            <w:r w:rsidRPr="00DA121F">
              <w:t>135</w:t>
            </w:r>
          </w:p>
        </w:tc>
        <w:tc>
          <w:tcPr>
            <w:tcW w:w="954" w:type="dxa"/>
            <w:noWrap/>
            <w:vAlign w:val="center"/>
            <w:hideMark/>
          </w:tcPr>
          <w:p w:rsidR="00DA121F" w:rsidRPr="00DA121F" w:rsidRDefault="00DA121F" w:rsidP="00977300">
            <w:pPr>
              <w:pStyle w:val="BodyText"/>
              <w:jc w:val="right"/>
            </w:pPr>
            <w:r w:rsidRPr="00DA121F">
              <w:t>-35%</w:t>
            </w:r>
          </w:p>
        </w:tc>
        <w:tc>
          <w:tcPr>
            <w:tcW w:w="943" w:type="dxa"/>
            <w:tcBorders>
              <w:right w:val="single" w:sz="4" w:space="0" w:color="auto"/>
            </w:tcBorders>
            <w:shd w:val="pct10" w:color="auto" w:fill="auto"/>
            <w:noWrap/>
            <w:vAlign w:val="center"/>
            <w:hideMark/>
          </w:tcPr>
          <w:p w:rsidR="00DA121F" w:rsidRPr="00DA121F" w:rsidRDefault="00DA121F" w:rsidP="00977300">
            <w:pPr>
              <w:pStyle w:val="BodyText"/>
              <w:jc w:val="right"/>
              <w:rPr>
                <w:i/>
                <w:iCs/>
              </w:rPr>
            </w:pPr>
            <w:r w:rsidRPr="00DA121F">
              <w:rPr>
                <w:i/>
                <w:iCs/>
              </w:rPr>
              <w:t> </w:t>
            </w:r>
          </w:p>
        </w:tc>
        <w:tc>
          <w:tcPr>
            <w:tcW w:w="1190" w:type="dxa"/>
            <w:tcBorders>
              <w:left w:val="single" w:sz="4" w:space="0" w:color="auto"/>
              <w:bottom w:val="single" w:sz="4" w:space="0" w:color="auto"/>
            </w:tcBorders>
            <w:shd w:val="pct10" w:color="auto" w:fill="auto"/>
            <w:noWrap/>
            <w:vAlign w:val="center"/>
            <w:hideMark/>
          </w:tcPr>
          <w:p w:rsidR="00DA121F" w:rsidRPr="00DA121F" w:rsidRDefault="00DA121F" w:rsidP="00977300">
            <w:pPr>
              <w:pStyle w:val="BodyText"/>
              <w:jc w:val="right"/>
              <w:rPr>
                <w:i/>
                <w:iCs/>
              </w:rPr>
            </w:pPr>
            <w:r w:rsidRPr="00DA121F">
              <w:rPr>
                <w:i/>
                <w:iCs/>
              </w:rPr>
              <w:t> </w:t>
            </w:r>
          </w:p>
        </w:tc>
      </w:tr>
      <w:tr w:rsidR="00DA121F" w:rsidRPr="00DA121F" w:rsidTr="00255C93">
        <w:trPr>
          <w:trHeight w:val="300"/>
          <w:jc w:val="center"/>
        </w:trPr>
        <w:tc>
          <w:tcPr>
            <w:tcW w:w="2522" w:type="dxa"/>
            <w:noWrap/>
            <w:hideMark/>
          </w:tcPr>
          <w:p w:rsidR="00DA121F" w:rsidRPr="00DA121F" w:rsidRDefault="00DA121F" w:rsidP="00C8766C">
            <w:pPr>
              <w:pStyle w:val="TableRowLabels"/>
            </w:pPr>
            <w:r w:rsidRPr="00DA121F">
              <w:t>Average Employment</w:t>
            </w:r>
          </w:p>
        </w:tc>
        <w:tc>
          <w:tcPr>
            <w:tcW w:w="703" w:type="dxa"/>
            <w:tcBorders>
              <w:bottom w:val="single" w:sz="4" w:space="0" w:color="auto"/>
            </w:tcBorders>
            <w:shd w:val="pct10" w:color="auto" w:fill="auto"/>
            <w:noWrap/>
            <w:vAlign w:val="center"/>
            <w:hideMark/>
          </w:tcPr>
          <w:p w:rsidR="00DA121F" w:rsidRPr="00DA121F" w:rsidRDefault="00DA121F" w:rsidP="00977300">
            <w:pPr>
              <w:pStyle w:val="BodyText"/>
              <w:jc w:val="right"/>
            </w:pPr>
            <w:r w:rsidRPr="00DA121F">
              <w:t> </w:t>
            </w:r>
          </w:p>
        </w:tc>
        <w:tc>
          <w:tcPr>
            <w:tcW w:w="1202" w:type="dxa"/>
            <w:noWrap/>
            <w:vAlign w:val="center"/>
            <w:hideMark/>
          </w:tcPr>
          <w:p w:rsidR="00DA121F" w:rsidRPr="00DA121F" w:rsidRDefault="00DA121F" w:rsidP="00977300">
            <w:pPr>
              <w:pStyle w:val="BodyText"/>
              <w:jc w:val="right"/>
            </w:pPr>
            <w:r w:rsidRPr="00DA121F">
              <w:t xml:space="preserve">718 </w:t>
            </w:r>
          </w:p>
        </w:tc>
        <w:tc>
          <w:tcPr>
            <w:tcW w:w="1202" w:type="dxa"/>
            <w:noWrap/>
            <w:vAlign w:val="center"/>
            <w:hideMark/>
          </w:tcPr>
          <w:p w:rsidR="00DA121F" w:rsidRPr="00DA121F" w:rsidRDefault="00DA121F" w:rsidP="00977300">
            <w:pPr>
              <w:pStyle w:val="BodyText"/>
              <w:jc w:val="right"/>
            </w:pPr>
            <w:r w:rsidRPr="00DA121F">
              <w:t xml:space="preserve">765 </w:t>
            </w:r>
          </w:p>
        </w:tc>
        <w:tc>
          <w:tcPr>
            <w:tcW w:w="954" w:type="dxa"/>
            <w:noWrap/>
            <w:vAlign w:val="center"/>
            <w:hideMark/>
          </w:tcPr>
          <w:p w:rsidR="00DA121F" w:rsidRPr="00DA121F" w:rsidRDefault="00DA121F" w:rsidP="00977300">
            <w:pPr>
              <w:pStyle w:val="BodyText"/>
              <w:jc w:val="right"/>
            </w:pPr>
            <w:r w:rsidRPr="00DA121F">
              <w:t>7%</w:t>
            </w:r>
          </w:p>
        </w:tc>
        <w:tc>
          <w:tcPr>
            <w:tcW w:w="943" w:type="dxa"/>
            <w:noWrap/>
            <w:vAlign w:val="center"/>
            <w:hideMark/>
          </w:tcPr>
          <w:p w:rsidR="00DA121F" w:rsidRPr="00DA121F" w:rsidRDefault="00DA121F" w:rsidP="00977300">
            <w:pPr>
              <w:pStyle w:val="BodyText"/>
              <w:jc w:val="right"/>
              <w:rPr>
                <w:i/>
                <w:iCs/>
              </w:rPr>
            </w:pPr>
            <w:r w:rsidRPr="00DA121F">
              <w:rPr>
                <w:i/>
                <w:iCs/>
              </w:rPr>
              <w:t>1%</w:t>
            </w:r>
          </w:p>
        </w:tc>
        <w:tc>
          <w:tcPr>
            <w:tcW w:w="1190" w:type="dxa"/>
            <w:shd w:val="pct10" w:color="auto" w:fill="auto"/>
            <w:noWrap/>
            <w:vAlign w:val="center"/>
            <w:hideMark/>
          </w:tcPr>
          <w:p w:rsidR="00DA121F" w:rsidRPr="00DA121F" w:rsidRDefault="00DA121F" w:rsidP="00977300">
            <w:pPr>
              <w:pStyle w:val="BodyText"/>
              <w:jc w:val="right"/>
              <w:rPr>
                <w:i/>
                <w:iCs/>
              </w:rPr>
            </w:pPr>
            <w:r w:rsidRPr="00DA121F">
              <w:rPr>
                <w:i/>
                <w:iCs/>
              </w:rPr>
              <w:t> </w:t>
            </w:r>
          </w:p>
        </w:tc>
      </w:tr>
      <w:tr w:rsidR="00DA121F" w:rsidRPr="00DA121F" w:rsidTr="00255C93">
        <w:trPr>
          <w:trHeight w:val="300"/>
          <w:jc w:val="center"/>
        </w:trPr>
        <w:tc>
          <w:tcPr>
            <w:tcW w:w="2522" w:type="dxa"/>
            <w:noWrap/>
            <w:hideMark/>
          </w:tcPr>
          <w:p w:rsidR="00DA121F" w:rsidRPr="00DA121F" w:rsidRDefault="00DA121F" w:rsidP="00C8766C">
            <w:pPr>
              <w:pStyle w:val="TableRowLabels"/>
            </w:pPr>
            <w:r w:rsidRPr="00DA121F">
              <w:t>Avg. Annual Wage</w:t>
            </w:r>
          </w:p>
        </w:tc>
        <w:tc>
          <w:tcPr>
            <w:tcW w:w="703" w:type="dxa"/>
            <w:tcBorders>
              <w:top w:val="single" w:sz="4" w:space="0" w:color="auto"/>
              <w:bottom w:val="single" w:sz="4" w:space="0" w:color="auto"/>
            </w:tcBorders>
            <w:shd w:val="pct10" w:color="auto" w:fill="auto"/>
            <w:noWrap/>
            <w:vAlign w:val="center"/>
            <w:hideMark/>
          </w:tcPr>
          <w:p w:rsidR="00DA121F" w:rsidRPr="00DA121F" w:rsidRDefault="00DA121F" w:rsidP="00977300">
            <w:pPr>
              <w:pStyle w:val="BodyText"/>
              <w:jc w:val="right"/>
            </w:pPr>
            <w:r w:rsidRPr="00DA121F">
              <w:t> </w:t>
            </w:r>
          </w:p>
        </w:tc>
        <w:tc>
          <w:tcPr>
            <w:tcW w:w="1202" w:type="dxa"/>
            <w:noWrap/>
            <w:vAlign w:val="center"/>
            <w:hideMark/>
          </w:tcPr>
          <w:p w:rsidR="00DA121F" w:rsidRPr="00DA121F" w:rsidRDefault="00DA121F" w:rsidP="00977300">
            <w:pPr>
              <w:pStyle w:val="BodyText"/>
              <w:jc w:val="right"/>
            </w:pPr>
            <w:r w:rsidRPr="00DA121F">
              <w:t xml:space="preserve">$ 24,528 </w:t>
            </w:r>
          </w:p>
        </w:tc>
        <w:tc>
          <w:tcPr>
            <w:tcW w:w="1202" w:type="dxa"/>
            <w:noWrap/>
            <w:vAlign w:val="center"/>
            <w:hideMark/>
          </w:tcPr>
          <w:p w:rsidR="00DA121F" w:rsidRPr="00DA121F" w:rsidRDefault="00DA121F" w:rsidP="00977300">
            <w:pPr>
              <w:pStyle w:val="BodyText"/>
              <w:jc w:val="right"/>
            </w:pPr>
            <w:r w:rsidRPr="00DA121F">
              <w:t xml:space="preserve">$ 24,921 </w:t>
            </w:r>
          </w:p>
        </w:tc>
        <w:tc>
          <w:tcPr>
            <w:tcW w:w="954" w:type="dxa"/>
            <w:noWrap/>
            <w:vAlign w:val="center"/>
            <w:hideMark/>
          </w:tcPr>
          <w:p w:rsidR="00DA121F" w:rsidRPr="00DA121F" w:rsidRDefault="00DA121F" w:rsidP="00977300">
            <w:pPr>
              <w:pStyle w:val="BodyText"/>
              <w:jc w:val="right"/>
            </w:pPr>
            <w:r w:rsidRPr="00DA121F">
              <w:t>2%</w:t>
            </w:r>
          </w:p>
        </w:tc>
        <w:tc>
          <w:tcPr>
            <w:tcW w:w="943" w:type="dxa"/>
            <w:tcBorders>
              <w:bottom w:val="single" w:sz="4" w:space="0" w:color="auto"/>
            </w:tcBorders>
            <w:noWrap/>
            <w:vAlign w:val="center"/>
            <w:hideMark/>
          </w:tcPr>
          <w:p w:rsidR="00DA121F" w:rsidRPr="00DA121F" w:rsidRDefault="00DA121F" w:rsidP="00977300">
            <w:pPr>
              <w:pStyle w:val="BodyText"/>
              <w:jc w:val="right"/>
              <w:rPr>
                <w:i/>
                <w:iCs/>
              </w:rPr>
            </w:pPr>
            <w:r w:rsidRPr="00DA121F">
              <w:rPr>
                <w:i/>
                <w:iCs/>
              </w:rPr>
              <w:t>5%</w:t>
            </w:r>
          </w:p>
        </w:tc>
        <w:tc>
          <w:tcPr>
            <w:tcW w:w="1190" w:type="dxa"/>
            <w:noWrap/>
            <w:vAlign w:val="center"/>
            <w:hideMark/>
          </w:tcPr>
          <w:p w:rsidR="00DA121F" w:rsidRPr="00DA121F" w:rsidRDefault="00DA121F" w:rsidP="00977300">
            <w:pPr>
              <w:pStyle w:val="BodyText"/>
              <w:jc w:val="right"/>
              <w:rPr>
                <w:i/>
                <w:iCs/>
              </w:rPr>
            </w:pPr>
            <w:r w:rsidRPr="00DA121F">
              <w:rPr>
                <w:i/>
                <w:iCs/>
              </w:rPr>
              <w:t>$ 41,289</w:t>
            </w:r>
          </w:p>
        </w:tc>
      </w:tr>
      <w:tr w:rsidR="00DA121F" w:rsidRPr="00DA121F" w:rsidTr="00255C93">
        <w:trPr>
          <w:trHeight w:val="300"/>
          <w:jc w:val="center"/>
        </w:trPr>
        <w:tc>
          <w:tcPr>
            <w:tcW w:w="2522" w:type="dxa"/>
            <w:tcBorders>
              <w:bottom w:val="single" w:sz="4" w:space="0" w:color="auto"/>
            </w:tcBorders>
            <w:noWrap/>
            <w:hideMark/>
          </w:tcPr>
          <w:p w:rsidR="00DA121F" w:rsidRPr="00DA121F" w:rsidRDefault="00DA121F" w:rsidP="00C8766C">
            <w:pPr>
              <w:pStyle w:val="TableRowLabels"/>
            </w:pPr>
            <w:r w:rsidRPr="00DA121F">
              <w:t>Avg. Business Size</w:t>
            </w:r>
          </w:p>
        </w:tc>
        <w:tc>
          <w:tcPr>
            <w:tcW w:w="703" w:type="dxa"/>
            <w:tcBorders>
              <w:top w:val="single" w:sz="4" w:space="0" w:color="auto"/>
              <w:bottom w:val="single" w:sz="4" w:space="0" w:color="auto"/>
            </w:tcBorders>
            <w:shd w:val="pct10" w:color="auto" w:fill="auto"/>
            <w:noWrap/>
            <w:vAlign w:val="center"/>
            <w:hideMark/>
          </w:tcPr>
          <w:p w:rsidR="00DA121F" w:rsidRPr="00DA121F" w:rsidRDefault="00DA121F" w:rsidP="00977300">
            <w:pPr>
              <w:pStyle w:val="BodyText"/>
              <w:jc w:val="right"/>
            </w:pPr>
            <w:r w:rsidRPr="00DA121F">
              <w:t> </w:t>
            </w:r>
          </w:p>
        </w:tc>
        <w:tc>
          <w:tcPr>
            <w:tcW w:w="1202" w:type="dxa"/>
            <w:tcBorders>
              <w:bottom w:val="single" w:sz="4" w:space="0" w:color="auto"/>
            </w:tcBorders>
            <w:noWrap/>
            <w:vAlign w:val="center"/>
            <w:hideMark/>
          </w:tcPr>
          <w:p w:rsidR="00DA121F" w:rsidRPr="00DA121F" w:rsidRDefault="00DA121F" w:rsidP="00977300">
            <w:pPr>
              <w:pStyle w:val="BodyText"/>
              <w:jc w:val="right"/>
            </w:pPr>
            <w:r w:rsidRPr="00DA121F">
              <w:t xml:space="preserve">3.7 </w:t>
            </w:r>
          </w:p>
        </w:tc>
        <w:tc>
          <w:tcPr>
            <w:tcW w:w="1202" w:type="dxa"/>
            <w:tcBorders>
              <w:bottom w:val="single" w:sz="4" w:space="0" w:color="auto"/>
            </w:tcBorders>
            <w:noWrap/>
            <w:vAlign w:val="center"/>
            <w:hideMark/>
          </w:tcPr>
          <w:p w:rsidR="00DA121F" w:rsidRPr="00DA121F" w:rsidRDefault="00DA121F" w:rsidP="00977300">
            <w:pPr>
              <w:pStyle w:val="BodyText"/>
              <w:jc w:val="right"/>
            </w:pPr>
            <w:r w:rsidRPr="00DA121F">
              <w:t xml:space="preserve">5.7 </w:t>
            </w:r>
          </w:p>
        </w:tc>
        <w:tc>
          <w:tcPr>
            <w:tcW w:w="954" w:type="dxa"/>
            <w:tcBorders>
              <w:bottom w:val="single" w:sz="4" w:space="0" w:color="auto"/>
            </w:tcBorders>
            <w:noWrap/>
            <w:vAlign w:val="center"/>
            <w:hideMark/>
          </w:tcPr>
          <w:p w:rsidR="00DA121F" w:rsidRPr="00DA121F" w:rsidRDefault="00DA121F" w:rsidP="00977300">
            <w:pPr>
              <w:pStyle w:val="BodyText"/>
              <w:jc w:val="right"/>
            </w:pPr>
            <w:r w:rsidRPr="00DA121F">
              <w:t>54%</w:t>
            </w:r>
          </w:p>
        </w:tc>
        <w:tc>
          <w:tcPr>
            <w:tcW w:w="943" w:type="dxa"/>
            <w:tcBorders>
              <w:bottom w:val="single" w:sz="4" w:space="0" w:color="auto"/>
            </w:tcBorders>
            <w:shd w:val="pct10" w:color="auto" w:fill="auto"/>
            <w:noWrap/>
            <w:vAlign w:val="center"/>
            <w:hideMark/>
          </w:tcPr>
          <w:p w:rsidR="00DA121F" w:rsidRPr="00DA121F" w:rsidRDefault="00DA121F" w:rsidP="00977300">
            <w:pPr>
              <w:pStyle w:val="BodyText"/>
              <w:jc w:val="right"/>
              <w:rPr>
                <w:i/>
                <w:iCs/>
              </w:rPr>
            </w:pPr>
            <w:r w:rsidRPr="00DA121F">
              <w:rPr>
                <w:i/>
                <w:iCs/>
              </w:rPr>
              <w:t> </w:t>
            </w:r>
          </w:p>
        </w:tc>
        <w:tc>
          <w:tcPr>
            <w:tcW w:w="1190" w:type="dxa"/>
            <w:tcBorders>
              <w:bottom w:val="single" w:sz="4" w:space="0" w:color="auto"/>
            </w:tcBorders>
            <w:noWrap/>
            <w:vAlign w:val="center"/>
            <w:hideMark/>
          </w:tcPr>
          <w:p w:rsidR="00DA121F" w:rsidRPr="00DA121F" w:rsidRDefault="00DA121F" w:rsidP="00977300">
            <w:pPr>
              <w:pStyle w:val="BodyText"/>
              <w:jc w:val="right"/>
              <w:rPr>
                <w:i/>
                <w:iCs/>
              </w:rPr>
            </w:pPr>
            <w:r w:rsidRPr="00DA121F">
              <w:rPr>
                <w:i/>
                <w:iCs/>
              </w:rPr>
              <w:t>22.5</w:t>
            </w:r>
          </w:p>
        </w:tc>
      </w:tr>
      <w:tr w:rsidR="000B3D7F" w:rsidRPr="00DA121F" w:rsidTr="00977300">
        <w:trPr>
          <w:trHeight w:val="300"/>
          <w:jc w:val="center"/>
        </w:trPr>
        <w:tc>
          <w:tcPr>
            <w:tcW w:w="8716" w:type="dxa"/>
            <w:gridSpan w:val="7"/>
            <w:shd w:val="clear" w:color="auto" w:fill="215868" w:themeFill="accent5" w:themeFillShade="80"/>
            <w:noWrap/>
          </w:tcPr>
          <w:p w:rsidR="000B3D7F" w:rsidRPr="00DA121F" w:rsidRDefault="000B3D7F" w:rsidP="00DA121F">
            <w:pPr>
              <w:pStyle w:val="BodyText"/>
              <w:rPr>
                <w:i/>
                <w:iCs/>
              </w:rPr>
            </w:pPr>
          </w:p>
        </w:tc>
      </w:tr>
    </w:tbl>
    <w:p w:rsidR="00DA121F" w:rsidRPr="00DA121F" w:rsidRDefault="00DA121F" w:rsidP="000B3D7F">
      <w:pPr>
        <w:pStyle w:val="BodyText"/>
        <w:spacing w:before="120"/>
      </w:pPr>
      <w:r w:rsidRPr="00DA121F">
        <w:t>New businesses in health and social services survived at above-average rates and added jobs at a rate of 7 percent. Business size increased from nearly four jobs to nearly six jobs per unit, remaining well below the industry average of 22.5. The average annual wage increased by 2 percent between 2009 and 2012, which was slower than the industry average, increasing the wage gap between new businesses and other health and social services businesses.</w:t>
      </w:r>
    </w:p>
    <w:p w:rsidR="00DA121F" w:rsidRPr="00DA121F" w:rsidRDefault="00DA121F" w:rsidP="00A53B05">
      <w:pPr>
        <w:pStyle w:val="Heading4"/>
      </w:pPr>
      <w:r w:rsidRPr="00DA121F">
        <w:lastRenderedPageBreak/>
        <w:t>Professional and Technical Services</w:t>
      </w:r>
    </w:p>
    <w:p w:rsidR="00DA121F" w:rsidRPr="00DA121F" w:rsidRDefault="00DA121F" w:rsidP="00DA121F">
      <w:pPr>
        <w:pStyle w:val="BodyText"/>
      </w:pPr>
      <w:r w:rsidRPr="00DA121F">
        <w:t xml:space="preserve">The professional and technical services sector comprises establishments that specialize in activities that require a high degree of expertise and training, providing services to clients in a variety of industries and, in some cases, to households. Services include legal; accounting, bookkeeping, and payroll; architectural, engineering, and specialized design; computer; consulting; research; advertising; photographic; translation and interpretation; and veterinary, among others. </w:t>
      </w:r>
    </w:p>
    <w:tbl>
      <w:tblPr>
        <w:tblStyle w:val="TableGrid"/>
        <w:tblW w:w="0" w:type="auto"/>
        <w:jc w:val="center"/>
        <w:tblLook w:val="04A0" w:firstRow="1" w:lastRow="0" w:firstColumn="1" w:lastColumn="0" w:noHBand="0" w:noVBand="1"/>
        <w:tblCaption w:val="Professional &amp; Technical Services"/>
        <w:tblDescription w:val="summary statistics"/>
      </w:tblPr>
      <w:tblGrid>
        <w:gridCol w:w="2500"/>
        <w:gridCol w:w="703"/>
        <w:gridCol w:w="1191"/>
        <w:gridCol w:w="1191"/>
        <w:gridCol w:w="954"/>
        <w:gridCol w:w="965"/>
        <w:gridCol w:w="1161"/>
      </w:tblGrid>
      <w:tr w:rsidR="00DA121F" w:rsidRPr="00DA121F" w:rsidTr="00977300">
        <w:trPr>
          <w:trHeight w:val="199"/>
          <w:jc w:val="center"/>
        </w:trPr>
        <w:tc>
          <w:tcPr>
            <w:tcW w:w="8659" w:type="dxa"/>
            <w:gridSpan w:val="7"/>
            <w:shd w:val="clear" w:color="auto" w:fill="215868" w:themeFill="accent5" w:themeFillShade="80"/>
            <w:noWrap/>
            <w:hideMark/>
          </w:tcPr>
          <w:p w:rsidR="00DA121F" w:rsidRPr="00DA121F" w:rsidRDefault="00DA121F" w:rsidP="00DA121F">
            <w:pPr>
              <w:pStyle w:val="BodyText"/>
            </w:pPr>
            <w:r w:rsidRPr="00DA121F">
              <w:t> </w:t>
            </w:r>
          </w:p>
        </w:tc>
      </w:tr>
      <w:tr w:rsidR="00DA121F" w:rsidRPr="00DA121F" w:rsidTr="00977300">
        <w:trPr>
          <w:trHeight w:val="300"/>
          <w:jc w:val="center"/>
        </w:trPr>
        <w:tc>
          <w:tcPr>
            <w:tcW w:w="2500" w:type="dxa"/>
            <w:vMerge w:val="restart"/>
            <w:vAlign w:val="center"/>
            <w:hideMark/>
          </w:tcPr>
          <w:p w:rsidR="00DA121F" w:rsidRPr="00DA121F" w:rsidRDefault="00DA121F" w:rsidP="00C8766C">
            <w:pPr>
              <w:pStyle w:val="TableColumnHeaders"/>
            </w:pPr>
            <w:r w:rsidRPr="00DA121F">
              <w:t>Professional &amp; Technical Services</w:t>
            </w:r>
          </w:p>
        </w:tc>
        <w:tc>
          <w:tcPr>
            <w:tcW w:w="4039" w:type="dxa"/>
            <w:gridSpan w:val="4"/>
            <w:noWrap/>
            <w:vAlign w:val="center"/>
            <w:hideMark/>
          </w:tcPr>
          <w:p w:rsidR="00DA121F" w:rsidRPr="00DA121F" w:rsidRDefault="00DA121F" w:rsidP="00C8766C">
            <w:pPr>
              <w:pStyle w:val="TableColumnHeaders"/>
              <w:jc w:val="center"/>
            </w:pPr>
            <w:r w:rsidRPr="00DA121F">
              <w:t>New Businesses</w:t>
            </w:r>
          </w:p>
        </w:tc>
        <w:tc>
          <w:tcPr>
            <w:tcW w:w="2120" w:type="dxa"/>
            <w:gridSpan w:val="2"/>
            <w:noWrap/>
            <w:vAlign w:val="center"/>
            <w:hideMark/>
          </w:tcPr>
          <w:p w:rsidR="00DA121F" w:rsidRPr="00DA121F" w:rsidRDefault="00DA121F" w:rsidP="00C8766C">
            <w:pPr>
              <w:pStyle w:val="TableColumnHeaders"/>
              <w:jc w:val="center"/>
              <w:rPr>
                <w:i/>
                <w:iCs/>
              </w:rPr>
            </w:pPr>
            <w:r w:rsidRPr="00DA121F">
              <w:rPr>
                <w:i/>
                <w:iCs/>
              </w:rPr>
              <w:t>Industry Avg.</w:t>
            </w:r>
          </w:p>
        </w:tc>
      </w:tr>
      <w:tr w:rsidR="00DA121F" w:rsidRPr="00DA121F" w:rsidTr="00D16F30">
        <w:trPr>
          <w:trHeight w:val="300"/>
          <w:jc w:val="center"/>
        </w:trPr>
        <w:tc>
          <w:tcPr>
            <w:tcW w:w="2500" w:type="dxa"/>
            <w:vMerge/>
            <w:hideMark/>
          </w:tcPr>
          <w:p w:rsidR="00DA121F" w:rsidRPr="00DA121F" w:rsidRDefault="00DA121F" w:rsidP="00DA121F">
            <w:pPr>
              <w:pStyle w:val="BodyText"/>
              <w:rPr>
                <w:b/>
                <w:bCs/>
              </w:rPr>
            </w:pPr>
          </w:p>
        </w:tc>
        <w:tc>
          <w:tcPr>
            <w:tcW w:w="703" w:type="dxa"/>
            <w:noWrap/>
            <w:vAlign w:val="center"/>
            <w:hideMark/>
          </w:tcPr>
          <w:p w:rsidR="00DA121F" w:rsidRPr="00DA121F" w:rsidRDefault="00DA121F" w:rsidP="00977300">
            <w:pPr>
              <w:pStyle w:val="BodyText"/>
              <w:jc w:val="center"/>
              <w:rPr>
                <w:b/>
                <w:bCs/>
              </w:rPr>
            </w:pPr>
            <w:r w:rsidRPr="00DA121F">
              <w:rPr>
                <w:b/>
                <w:bCs/>
              </w:rPr>
              <w:t>2008</w:t>
            </w:r>
          </w:p>
        </w:tc>
        <w:tc>
          <w:tcPr>
            <w:tcW w:w="1191" w:type="dxa"/>
            <w:tcBorders>
              <w:bottom w:val="single" w:sz="4" w:space="0" w:color="auto"/>
            </w:tcBorders>
            <w:noWrap/>
            <w:vAlign w:val="center"/>
            <w:hideMark/>
          </w:tcPr>
          <w:p w:rsidR="00DA121F" w:rsidRPr="00DA121F" w:rsidRDefault="00DA121F" w:rsidP="00C8766C">
            <w:pPr>
              <w:pStyle w:val="TableColumnHeaders"/>
              <w:jc w:val="center"/>
            </w:pPr>
            <w:r w:rsidRPr="00DA121F">
              <w:t>2009</w:t>
            </w:r>
          </w:p>
        </w:tc>
        <w:tc>
          <w:tcPr>
            <w:tcW w:w="1191" w:type="dxa"/>
            <w:noWrap/>
            <w:vAlign w:val="center"/>
            <w:hideMark/>
          </w:tcPr>
          <w:p w:rsidR="00DA121F" w:rsidRPr="00DA121F" w:rsidRDefault="00DA121F" w:rsidP="00C8766C">
            <w:pPr>
              <w:pStyle w:val="TableColumnHeaders"/>
              <w:jc w:val="center"/>
            </w:pPr>
            <w:r w:rsidRPr="00DA121F">
              <w:t>2012</w:t>
            </w:r>
          </w:p>
        </w:tc>
        <w:tc>
          <w:tcPr>
            <w:tcW w:w="954" w:type="dxa"/>
            <w:noWrap/>
            <w:vAlign w:val="center"/>
            <w:hideMark/>
          </w:tcPr>
          <w:p w:rsidR="00DA121F" w:rsidRPr="00DA121F" w:rsidRDefault="00DA121F" w:rsidP="00C8766C">
            <w:pPr>
              <w:pStyle w:val="TableColumnHeaders"/>
              <w:jc w:val="center"/>
            </w:pPr>
            <w:r w:rsidRPr="00DA121F">
              <w:t>Change</w:t>
            </w:r>
          </w:p>
        </w:tc>
        <w:tc>
          <w:tcPr>
            <w:tcW w:w="959" w:type="dxa"/>
            <w:tcBorders>
              <w:bottom w:val="single" w:sz="4" w:space="0" w:color="auto"/>
            </w:tcBorders>
            <w:noWrap/>
            <w:vAlign w:val="center"/>
            <w:hideMark/>
          </w:tcPr>
          <w:p w:rsidR="00DA121F" w:rsidRPr="00DA121F" w:rsidRDefault="00DA121F" w:rsidP="00C8766C">
            <w:pPr>
              <w:pStyle w:val="TableColumnHeaders"/>
              <w:jc w:val="center"/>
              <w:rPr>
                <w:i/>
                <w:iCs/>
              </w:rPr>
            </w:pPr>
            <w:r w:rsidRPr="00DA121F">
              <w:rPr>
                <w:i/>
                <w:iCs/>
              </w:rPr>
              <w:t>Change</w:t>
            </w:r>
          </w:p>
        </w:tc>
        <w:tc>
          <w:tcPr>
            <w:tcW w:w="1161" w:type="dxa"/>
            <w:tcBorders>
              <w:bottom w:val="single" w:sz="4" w:space="0" w:color="auto"/>
            </w:tcBorders>
            <w:noWrap/>
            <w:vAlign w:val="center"/>
            <w:hideMark/>
          </w:tcPr>
          <w:p w:rsidR="00DA121F" w:rsidRPr="00DA121F" w:rsidRDefault="00DA121F" w:rsidP="00C8766C">
            <w:pPr>
              <w:pStyle w:val="TableColumnHeaders"/>
              <w:jc w:val="center"/>
              <w:rPr>
                <w:i/>
                <w:iCs/>
              </w:rPr>
            </w:pPr>
            <w:r w:rsidRPr="00DA121F">
              <w:rPr>
                <w:i/>
                <w:iCs/>
              </w:rPr>
              <w:t xml:space="preserve">2012 </w:t>
            </w:r>
            <w:proofErr w:type="spellStart"/>
            <w:r w:rsidRPr="00DA121F">
              <w:rPr>
                <w:i/>
                <w:iCs/>
              </w:rPr>
              <w:t>Avg</w:t>
            </w:r>
            <w:proofErr w:type="spellEnd"/>
          </w:p>
        </w:tc>
      </w:tr>
      <w:tr w:rsidR="00DA121F" w:rsidRPr="00DA121F" w:rsidTr="00D16F30">
        <w:trPr>
          <w:trHeight w:val="300"/>
          <w:jc w:val="center"/>
        </w:trPr>
        <w:tc>
          <w:tcPr>
            <w:tcW w:w="2500" w:type="dxa"/>
            <w:noWrap/>
            <w:hideMark/>
          </w:tcPr>
          <w:p w:rsidR="00DA121F" w:rsidRPr="00DA121F" w:rsidRDefault="00DA121F" w:rsidP="00C8766C">
            <w:pPr>
              <w:pStyle w:val="TableRowLabels"/>
            </w:pPr>
            <w:r w:rsidRPr="00DA121F">
              <w:t>Units</w:t>
            </w:r>
          </w:p>
        </w:tc>
        <w:tc>
          <w:tcPr>
            <w:tcW w:w="703" w:type="dxa"/>
            <w:tcBorders>
              <w:bottom w:val="single" w:sz="4" w:space="0" w:color="auto"/>
            </w:tcBorders>
            <w:noWrap/>
            <w:vAlign w:val="center"/>
            <w:hideMark/>
          </w:tcPr>
          <w:p w:rsidR="00DA121F" w:rsidRPr="00DA121F" w:rsidRDefault="00DA121F" w:rsidP="00977300">
            <w:pPr>
              <w:pStyle w:val="BodyText"/>
              <w:jc w:val="right"/>
            </w:pPr>
            <w:r w:rsidRPr="00DA121F">
              <w:t>464</w:t>
            </w:r>
          </w:p>
        </w:tc>
        <w:tc>
          <w:tcPr>
            <w:tcW w:w="1191" w:type="dxa"/>
            <w:shd w:val="pct10" w:color="auto" w:fill="auto"/>
            <w:noWrap/>
            <w:vAlign w:val="center"/>
            <w:hideMark/>
          </w:tcPr>
          <w:p w:rsidR="00DA121F" w:rsidRPr="00DA121F" w:rsidRDefault="00DA121F" w:rsidP="00977300">
            <w:pPr>
              <w:pStyle w:val="BodyText"/>
              <w:jc w:val="right"/>
            </w:pPr>
            <w:r w:rsidRPr="00DA121F">
              <w:t> </w:t>
            </w:r>
          </w:p>
        </w:tc>
        <w:tc>
          <w:tcPr>
            <w:tcW w:w="1191" w:type="dxa"/>
            <w:noWrap/>
            <w:vAlign w:val="center"/>
            <w:hideMark/>
          </w:tcPr>
          <w:p w:rsidR="00DA121F" w:rsidRPr="00DA121F" w:rsidRDefault="00DA121F" w:rsidP="00977300">
            <w:pPr>
              <w:pStyle w:val="BodyText"/>
              <w:jc w:val="right"/>
            </w:pPr>
            <w:r w:rsidRPr="00DA121F">
              <w:t>235</w:t>
            </w:r>
          </w:p>
        </w:tc>
        <w:tc>
          <w:tcPr>
            <w:tcW w:w="954" w:type="dxa"/>
            <w:noWrap/>
            <w:vAlign w:val="center"/>
            <w:hideMark/>
          </w:tcPr>
          <w:p w:rsidR="00DA121F" w:rsidRPr="00DA121F" w:rsidRDefault="00DA121F" w:rsidP="00977300">
            <w:pPr>
              <w:pStyle w:val="BodyText"/>
              <w:jc w:val="right"/>
            </w:pPr>
            <w:r w:rsidRPr="00DA121F">
              <w:t>-49%</w:t>
            </w:r>
          </w:p>
        </w:tc>
        <w:tc>
          <w:tcPr>
            <w:tcW w:w="959" w:type="dxa"/>
            <w:shd w:val="pct10" w:color="auto" w:fill="auto"/>
            <w:noWrap/>
            <w:vAlign w:val="center"/>
            <w:hideMark/>
          </w:tcPr>
          <w:p w:rsidR="00DA121F" w:rsidRPr="00DA121F" w:rsidRDefault="00DA121F" w:rsidP="00977300">
            <w:pPr>
              <w:pStyle w:val="BodyText"/>
              <w:jc w:val="right"/>
              <w:rPr>
                <w:i/>
                <w:iCs/>
              </w:rPr>
            </w:pPr>
            <w:r w:rsidRPr="00DA121F">
              <w:rPr>
                <w:i/>
                <w:iCs/>
              </w:rPr>
              <w:t> </w:t>
            </w:r>
          </w:p>
        </w:tc>
        <w:tc>
          <w:tcPr>
            <w:tcW w:w="1161" w:type="dxa"/>
            <w:tcBorders>
              <w:bottom w:val="single" w:sz="4" w:space="0" w:color="auto"/>
            </w:tcBorders>
            <w:shd w:val="pct10" w:color="auto" w:fill="auto"/>
            <w:noWrap/>
            <w:vAlign w:val="center"/>
            <w:hideMark/>
          </w:tcPr>
          <w:p w:rsidR="00DA121F" w:rsidRPr="00DA121F" w:rsidRDefault="00DA121F" w:rsidP="00977300">
            <w:pPr>
              <w:pStyle w:val="BodyText"/>
              <w:jc w:val="right"/>
              <w:rPr>
                <w:i/>
                <w:iCs/>
              </w:rPr>
            </w:pPr>
            <w:r w:rsidRPr="00DA121F">
              <w:rPr>
                <w:i/>
                <w:iCs/>
              </w:rPr>
              <w:t> </w:t>
            </w:r>
          </w:p>
        </w:tc>
      </w:tr>
      <w:tr w:rsidR="00DA121F" w:rsidRPr="00DA121F" w:rsidTr="00D16F30">
        <w:trPr>
          <w:trHeight w:val="300"/>
          <w:jc w:val="center"/>
        </w:trPr>
        <w:tc>
          <w:tcPr>
            <w:tcW w:w="2500" w:type="dxa"/>
            <w:noWrap/>
            <w:hideMark/>
          </w:tcPr>
          <w:p w:rsidR="00DA121F" w:rsidRPr="00DA121F" w:rsidRDefault="00DA121F" w:rsidP="00C8766C">
            <w:pPr>
              <w:pStyle w:val="TableRowLabels"/>
            </w:pPr>
            <w:r w:rsidRPr="00DA121F">
              <w:t>Average Employment</w:t>
            </w:r>
          </w:p>
        </w:tc>
        <w:tc>
          <w:tcPr>
            <w:tcW w:w="703" w:type="dxa"/>
            <w:tcBorders>
              <w:bottom w:val="single" w:sz="4" w:space="0" w:color="auto"/>
            </w:tcBorders>
            <w:shd w:val="pct10" w:color="auto" w:fill="auto"/>
            <w:noWrap/>
            <w:vAlign w:val="center"/>
            <w:hideMark/>
          </w:tcPr>
          <w:p w:rsidR="00DA121F" w:rsidRPr="00DA121F" w:rsidRDefault="00DA121F" w:rsidP="00977300">
            <w:pPr>
              <w:pStyle w:val="BodyText"/>
              <w:jc w:val="right"/>
            </w:pPr>
            <w:r w:rsidRPr="00DA121F">
              <w:t> </w:t>
            </w:r>
          </w:p>
        </w:tc>
        <w:tc>
          <w:tcPr>
            <w:tcW w:w="1191" w:type="dxa"/>
            <w:noWrap/>
            <w:vAlign w:val="center"/>
            <w:hideMark/>
          </w:tcPr>
          <w:p w:rsidR="00DA121F" w:rsidRPr="00DA121F" w:rsidRDefault="00DA121F" w:rsidP="00977300">
            <w:pPr>
              <w:pStyle w:val="BodyText"/>
              <w:jc w:val="right"/>
            </w:pPr>
            <w:r w:rsidRPr="00DA121F">
              <w:t xml:space="preserve">621 </w:t>
            </w:r>
          </w:p>
        </w:tc>
        <w:tc>
          <w:tcPr>
            <w:tcW w:w="1191" w:type="dxa"/>
            <w:noWrap/>
            <w:vAlign w:val="center"/>
            <w:hideMark/>
          </w:tcPr>
          <w:p w:rsidR="00DA121F" w:rsidRPr="00DA121F" w:rsidRDefault="00DA121F" w:rsidP="00977300">
            <w:pPr>
              <w:pStyle w:val="BodyText"/>
              <w:jc w:val="right"/>
            </w:pPr>
            <w:r w:rsidRPr="00DA121F">
              <w:t xml:space="preserve">612 </w:t>
            </w:r>
          </w:p>
        </w:tc>
        <w:tc>
          <w:tcPr>
            <w:tcW w:w="954" w:type="dxa"/>
            <w:noWrap/>
            <w:vAlign w:val="center"/>
            <w:hideMark/>
          </w:tcPr>
          <w:p w:rsidR="00DA121F" w:rsidRPr="00DA121F" w:rsidRDefault="00DA121F" w:rsidP="00977300">
            <w:pPr>
              <w:pStyle w:val="BodyText"/>
              <w:jc w:val="right"/>
            </w:pPr>
            <w:r w:rsidRPr="00DA121F">
              <w:t>-1%</w:t>
            </w:r>
          </w:p>
        </w:tc>
        <w:tc>
          <w:tcPr>
            <w:tcW w:w="959" w:type="dxa"/>
            <w:noWrap/>
            <w:vAlign w:val="center"/>
            <w:hideMark/>
          </w:tcPr>
          <w:p w:rsidR="00DA121F" w:rsidRPr="00DA121F" w:rsidRDefault="00DA121F" w:rsidP="00977300">
            <w:pPr>
              <w:pStyle w:val="BodyText"/>
              <w:jc w:val="right"/>
              <w:rPr>
                <w:i/>
                <w:iCs/>
              </w:rPr>
            </w:pPr>
            <w:r w:rsidRPr="00DA121F">
              <w:rPr>
                <w:i/>
                <w:iCs/>
              </w:rPr>
              <w:t>3%</w:t>
            </w:r>
          </w:p>
        </w:tc>
        <w:tc>
          <w:tcPr>
            <w:tcW w:w="1161" w:type="dxa"/>
            <w:shd w:val="pct10" w:color="auto" w:fill="auto"/>
            <w:noWrap/>
            <w:vAlign w:val="center"/>
            <w:hideMark/>
          </w:tcPr>
          <w:p w:rsidR="00DA121F" w:rsidRPr="00DA121F" w:rsidRDefault="00DA121F" w:rsidP="00977300">
            <w:pPr>
              <w:pStyle w:val="BodyText"/>
              <w:jc w:val="right"/>
              <w:rPr>
                <w:i/>
                <w:iCs/>
              </w:rPr>
            </w:pPr>
            <w:r w:rsidRPr="00DA121F">
              <w:rPr>
                <w:i/>
                <w:iCs/>
              </w:rPr>
              <w:t> </w:t>
            </w:r>
          </w:p>
        </w:tc>
      </w:tr>
      <w:tr w:rsidR="00DA121F" w:rsidRPr="00DA121F" w:rsidTr="00D16F30">
        <w:trPr>
          <w:trHeight w:val="300"/>
          <w:jc w:val="center"/>
        </w:trPr>
        <w:tc>
          <w:tcPr>
            <w:tcW w:w="2500" w:type="dxa"/>
            <w:noWrap/>
            <w:hideMark/>
          </w:tcPr>
          <w:p w:rsidR="00DA121F" w:rsidRPr="00DA121F" w:rsidRDefault="00DA121F" w:rsidP="00C8766C">
            <w:pPr>
              <w:pStyle w:val="TableRowLabels"/>
            </w:pPr>
            <w:r w:rsidRPr="00DA121F">
              <w:t>Avg. Annual Wage</w:t>
            </w:r>
          </w:p>
        </w:tc>
        <w:tc>
          <w:tcPr>
            <w:tcW w:w="703" w:type="dxa"/>
            <w:tcBorders>
              <w:bottom w:val="single" w:sz="4" w:space="0" w:color="auto"/>
            </w:tcBorders>
            <w:shd w:val="pct10" w:color="auto" w:fill="auto"/>
            <w:noWrap/>
            <w:vAlign w:val="center"/>
            <w:hideMark/>
          </w:tcPr>
          <w:p w:rsidR="00DA121F" w:rsidRPr="00DA121F" w:rsidRDefault="00DA121F" w:rsidP="00977300">
            <w:pPr>
              <w:pStyle w:val="BodyText"/>
              <w:jc w:val="right"/>
            </w:pPr>
            <w:r w:rsidRPr="00DA121F">
              <w:t> </w:t>
            </w:r>
          </w:p>
        </w:tc>
        <w:tc>
          <w:tcPr>
            <w:tcW w:w="1191" w:type="dxa"/>
            <w:noWrap/>
            <w:vAlign w:val="center"/>
            <w:hideMark/>
          </w:tcPr>
          <w:p w:rsidR="00DA121F" w:rsidRPr="00DA121F" w:rsidRDefault="00DA121F" w:rsidP="00977300">
            <w:pPr>
              <w:pStyle w:val="BodyText"/>
              <w:jc w:val="right"/>
            </w:pPr>
            <w:r w:rsidRPr="00DA121F">
              <w:t xml:space="preserve">$ 56,554 </w:t>
            </w:r>
          </w:p>
        </w:tc>
        <w:tc>
          <w:tcPr>
            <w:tcW w:w="1191" w:type="dxa"/>
            <w:noWrap/>
            <w:vAlign w:val="center"/>
            <w:hideMark/>
          </w:tcPr>
          <w:p w:rsidR="00DA121F" w:rsidRPr="00DA121F" w:rsidRDefault="00DA121F" w:rsidP="00977300">
            <w:pPr>
              <w:pStyle w:val="BodyText"/>
              <w:jc w:val="right"/>
            </w:pPr>
            <w:r w:rsidRPr="00DA121F">
              <w:t xml:space="preserve">$ 62,845 </w:t>
            </w:r>
          </w:p>
        </w:tc>
        <w:tc>
          <w:tcPr>
            <w:tcW w:w="954" w:type="dxa"/>
            <w:noWrap/>
            <w:vAlign w:val="center"/>
            <w:hideMark/>
          </w:tcPr>
          <w:p w:rsidR="00DA121F" w:rsidRPr="00DA121F" w:rsidRDefault="00DA121F" w:rsidP="00977300">
            <w:pPr>
              <w:pStyle w:val="BodyText"/>
              <w:jc w:val="right"/>
            </w:pPr>
            <w:r w:rsidRPr="00DA121F">
              <w:t>11%</w:t>
            </w:r>
          </w:p>
        </w:tc>
        <w:tc>
          <w:tcPr>
            <w:tcW w:w="959" w:type="dxa"/>
            <w:tcBorders>
              <w:bottom w:val="single" w:sz="4" w:space="0" w:color="auto"/>
            </w:tcBorders>
            <w:noWrap/>
            <w:vAlign w:val="center"/>
            <w:hideMark/>
          </w:tcPr>
          <w:p w:rsidR="00DA121F" w:rsidRPr="00DA121F" w:rsidRDefault="00DA121F" w:rsidP="00977300">
            <w:pPr>
              <w:pStyle w:val="BodyText"/>
              <w:jc w:val="right"/>
              <w:rPr>
                <w:i/>
                <w:iCs/>
              </w:rPr>
            </w:pPr>
            <w:r w:rsidRPr="00DA121F">
              <w:rPr>
                <w:i/>
                <w:iCs/>
              </w:rPr>
              <w:t>7%</w:t>
            </w:r>
          </w:p>
        </w:tc>
        <w:tc>
          <w:tcPr>
            <w:tcW w:w="1161" w:type="dxa"/>
            <w:noWrap/>
            <w:vAlign w:val="center"/>
            <w:hideMark/>
          </w:tcPr>
          <w:p w:rsidR="00DA121F" w:rsidRPr="00DA121F" w:rsidRDefault="00DA121F" w:rsidP="00977300">
            <w:pPr>
              <w:pStyle w:val="BodyText"/>
              <w:jc w:val="right"/>
              <w:rPr>
                <w:i/>
                <w:iCs/>
              </w:rPr>
            </w:pPr>
            <w:r w:rsidRPr="00DA121F">
              <w:rPr>
                <w:i/>
                <w:iCs/>
              </w:rPr>
              <w:t>$ 58,501</w:t>
            </w:r>
          </w:p>
        </w:tc>
      </w:tr>
      <w:tr w:rsidR="00DA121F" w:rsidRPr="00DA121F" w:rsidTr="00D16F30">
        <w:trPr>
          <w:trHeight w:val="300"/>
          <w:jc w:val="center"/>
        </w:trPr>
        <w:tc>
          <w:tcPr>
            <w:tcW w:w="2500" w:type="dxa"/>
            <w:noWrap/>
            <w:hideMark/>
          </w:tcPr>
          <w:p w:rsidR="00DA121F" w:rsidRPr="00DA121F" w:rsidRDefault="00DA121F" w:rsidP="00C8766C">
            <w:pPr>
              <w:pStyle w:val="TableRowLabels"/>
            </w:pPr>
            <w:r w:rsidRPr="00DA121F">
              <w:t>Avg. Business Size</w:t>
            </w:r>
          </w:p>
        </w:tc>
        <w:tc>
          <w:tcPr>
            <w:tcW w:w="703" w:type="dxa"/>
            <w:shd w:val="pct10" w:color="auto" w:fill="auto"/>
            <w:noWrap/>
            <w:vAlign w:val="center"/>
            <w:hideMark/>
          </w:tcPr>
          <w:p w:rsidR="00DA121F" w:rsidRPr="00DA121F" w:rsidRDefault="00DA121F" w:rsidP="00977300">
            <w:pPr>
              <w:pStyle w:val="BodyText"/>
              <w:jc w:val="right"/>
            </w:pPr>
            <w:r w:rsidRPr="00DA121F">
              <w:t> </w:t>
            </w:r>
          </w:p>
        </w:tc>
        <w:tc>
          <w:tcPr>
            <w:tcW w:w="1191" w:type="dxa"/>
            <w:noWrap/>
            <w:vAlign w:val="center"/>
            <w:hideMark/>
          </w:tcPr>
          <w:p w:rsidR="00DA121F" w:rsidRPr="00DA121F" w:rsidRDefault="00DA121F" w:rsidP="00977300">
            <w:pPr>
              <w:pStyle w:val="BodyText"/>
              <w:jc w:val="right"/>
            </w:pPr>
            <w:r w:rsidRPr="00DA121F">
              <w:t xml:space="preserve">1.5 </w:t>
            </w:r>
          </w:p>
        </w:tc>
        <w:tc>
          <w:tcPr>
            <w:tcW w:w="1191" w:type="dxa"/>
            <w:noWrap/>
            <w:vAlign w:val="center"/>
            <w:hideMark/>
          </w:tcPr>
          <w:p w:rsidR="00DA121F" w:rsidRPr="00DA121F" w:rsidRDefault="00DA121F" w:rsidP="00977300">
            <w:pPr>
              <w:pStyle w:val="BodyText"/>
              <w:jc w:val="right"/>
            </w:pPr>
            <w:r w:rsidRPr="00DA121F">
              <w:t xml:space="preserve">2.6 </w:t>
            </w:r>
          </w:p>
        </w:tc>
        <w:tc>
          <w:tcPr>
            <w:tcW w:w="954" w:type="dxa"/>
            <w:noWrap/>
            <w:vAlign w:val="center"/>
            <w:hideMark/>
          </w:tcPr>
          <w:p w:rsidR="00DA121F" w:rsidRPr="00DA121F" w:rsidRDefault="00DA121F" w:rsidP="00977300">
            <w:pPr>
              <w:pStyle w:val="BodyText"/>
              <w:jc w:val="right"/>
            </w:pPr>
            <w:r w:rsidRPr="00DA121F">
              <w:t>73%</w:t>
            </w:r>
          </w:p>
        </w:tc>
        <w:tc>
          <w:tcPr>
            <w:tcW w:w="959" w:type="dxa"/>
            <w:shd w:val="pct10" w:color="auto" w:fill="auto"/>
            <w:noWrap/>
            <w:vAlign w:val="center"/>
            <w:hideMark/>
          </w:tcPr>
          <w:p w:rsidR="00DA121F" w:rsidRPr="00DA121F" w:rsidRDefault="00DA121F" w:rsidP="00977300">
            <w:pPr>
              <w:pStyle w:val="BodyText"/>
              <w:jc w:val="right"/>
              <w:rPr>
                <w:i/>
                <w:iCs/>
              </w:rPr>
            </w:pPr>
            <w:r w:rsidRPr="00DA121F">
              <w:rPr>
                <w:i/>
                <w:iCs/>
              </w:rPr>
              <w:t> </w:t>
            </w:r>
          </w:p>
        </w:tc>
        <w:tc>
          <w:tcPr>
            <w:tcW w:w="1161" w:type="dxa"/>
            <w:noWrap/>
            <w:vAlign w:val="center"/>
            <w:hideMark/>
          </w:tcPr>
          <w:p w:rsidR="00DA121F" w:rsidRPr="00DA121F" w:rsidRDefault="00DA121F" w:rsidP="00977300">
            <w:pPr>
              <w:pStyle w:val="BodyText"/>
              <w:jc w:val="right"/>
              <w:rPr>
                <w:i/>
                <w:iCs/>
              </w:rPr>
            </w:pPr>
            <w:r w:rsidRPr="00DA121F">
              <w:rPr>
                <w:i/>
                <w:iCs/>
              </w:rPr>
              <w:t>4.4</w:t>
            </w:r>
          </w:p>
        </w:tc>
      </w:tr>
      <w:tr w:rsidR="00DA121F" w:rsidRPr="00DA121F" w:rsidTr="00977300">
        <w:trPr>
          <w:trHeight w:val="199"/>
          <w:jc w:val="center"/>
        </w:trPr>
        <w:tc>
          <w:tcPr>
            <w:tcW w:w="8659" w:type="dxa"/>
            <w:gridSpan w:val="7"/>
            <w:shd w:val="clear" w:color="auto" w:fill="215868" w:themeFill="accent5" w:themeFillShade="80"/>
            <w:noWrap/>
            <w:hideMark/>
          </w:tcPr>
          <w:p w:rsidR="00DA121F" w:rsidRPr="00DA121F" w:rsidRDefault="00DA121F" w:rsidP="00DA121F">
            <w:pPr>
              <w:pStyle w:val="BodyText"/>
            </w:pPr>
            <w:r w:rsidRPr="00DA121F">
              <w:t> </w:t>
            </w:r>
          </w:p>
        </w:tc>
      </w:tr>
    </w:tbl>
    <w:p w:rsidR="00DA121F" w:rsidRPr="00DA121F" w:rsidRDefault="00DA121F" w:rsidP="00F71DEB">
      <w:pPr>
        <w:pStyle w:val="BodyText"/>
        <w:spacing w:before="120"/>
        <w:rPr>
          <w:b/>
          <w:bCs/>
        </w:rPr>
      </w:pPr>
      <w:r w:rsidRPr="00DA121F">
        <w:t>The professional and technical services industry claimed the largest bloc of new businesses, 464 units or one fifth of units that opened in 2008. These new businesses tended to be very small. Fifty-one percent survived to 2012, while employment remained nearly constant. Surviving businesses gr</w:t>
      </w:r>
      <w:r w:rsidR="00D16F30">
        <w:t>ew from an average of 1.5</w:t>
      </w:r>
      <w:r w:rsidRPr="00DA121F">
        <w:t xml:space="preserve"> jobs </w:t>
      </w:r>
      <w:r w:rsidR="00D16F30">
        <w:t>per unit in 2009 to 2.6</w:t>
      </w:r>
      <w:r w:rsidRPr="00DA121F">
        <w:t xml:space="preserve"> jobs per unit in 2012. The average annual wage increased by 11 percent, surpassing the 2012 industry average of $58,501.</w:t>
      </w:r>
    </w:p>
    <w:p w:rsidR="00DA121F" w:rsidRPr="00DA121F" w:rsidRDefault="00DA121F" w:rsidP="00A53B05">
      <w:pPr>
        <w:pStyle w:val="Heading4"/>
      </w:pPr>
      <w:r w:rsidRPr="00DA121F">
        <w:t>Retail Trade</w:t>
      </w:r>
    </w:p>
    <w:p w:rsidR="00DA121F" w:rsidRPr="00DA121F" w:rsidRDefault="00DA121F" w:rsidP="00DA121F">
      <w:pPr>
        <w:pStyle w:val="BodyText"/>
      </w:pPr>
      <w:r w:rsidRPr="00DA121F">
        <w:t>The retail trade sector comprises establishments engaged in retailing merchandise and rendering services incidental to the sale of merchandise; the sector includes non-store retailers.</w:t>
      </w:r>
    </w:p>
    <w:tbl>
      <w:tblPr>
        <w:tblStyle w:val="TableGrid"/>
        <w:tblW w:w="0" w:type="auto"/>
        <w:jc w:val="center"/>
        <w:tblLook w:val="04A0" w:firstRow="1" w:lastRow="0" w:firstColumn="1" w:lastColumn="0" w:noHBand="0" w:noVBand="1"/>
        <w:tblCaption w:val="Retail Trade"/>
        <w:tblDescription w:val="summary statistics"/>
      </w:tblPr>
      <w:tblGrid>
        <w:gridCol w:w="2540"/>
        <w:gridCol w:w="703"/>
        <w:gridCol w:w="1203"/>
        <w:gridCol w:w="1203"/>
        <w:gridCol w:w="954"/>
        <w:gridCol w:w="965"/>
        <w:gridCol w:w="1207"/>
      </w:tblGrid>
      <w:tr w:rsidR="00DA121F" w:rsidRPr="00DA121F" w:rsidTr="002A6752">
        <w:trPr>
          <w:trHeight w:val="214"/>
          <w:jc w:val="center"/>
        </w:trPr>
        <w:tc>
          <w:tcPr>
            <w:tcW w:w="8775" w:type="dxa"/>
            <w:gridSpan w:val="7"/>
            <w:shd w:val="clear" w:color="auto" w:fill="215868" w:themeFill="accent5" w:themeFillShade="80"/>
            <w:noWrap/>
            <w:hideMark/>
          </w:tcPr>
          <w:p w:rsidR="00DA121F" w:rsidRPr="00DA121F" w:rsidRDefault="00DA121F" w:rsidP="00DA121F">
            <w:pPr>
              <w:pStyle w:val="BodyText"/>
            </w:pPr>
            <w:r w:rsidRPr="00DA121F">
              <w:br w:type="page"/>
              <w:t> </w:t>
            </w:r>
          </w:p>
        </w:tc>
      </w:tr>
      <w:tr w:rsidR="00DA121F" w:rsidRPr="00DA121F" w:rsidTr="002A6752">
        <w:trPr>
          <w:trHeight w:val="322"/>
          <w:jc w:val="center"/>
        </w:trPr>
        <w:tc>
          <w:tcPr>
            <w:tcW w:w="2540" w:type="dxa"/>
            <w:vMerge w:val="restart"/>
            <w:vAlign w:val="center"/>
            <w:hideMark/>
          </w:tcPr>
          <w:p w:rsidR="00DA121F" w:rsidRPr="00DA121F" w:rsidRDefault="00DA121F" w:rsidP="00C8766C">
            <w:pPr>
              <w:pStyle w:val="TableColumnHeaders"/>
            </w:pPr>
            <w:r w:rsidRPr="00DA121F">
              <w:t>Retail Trade</w:t>
            </w:r>
          </w:p>
        </w:tc>
        <w:tc>
          <w:tcPr>
            <w:tcW w:w="4063" w:type="dxa"/>
            <w:gridSpan w:val="4"/>
            <w:noWrap/>
            <w:vAlign w:val="center"/>
            <w:hideMark/>
          </w:tcPr>
          <w:p w:rsidR="00DA121F" w:rsidRPr="00DA121F" w:rsidRDefault="00DA121F" w:rsidP="00C8766C">
            <w:pPr>
              <w:pStyle w:val="TableColumnHeaders"/>
              <w:jc w:val="center"/>
            </w:pPr>
            <w:r w:rsidRPr="00DA121F">
              <w:t>New Businesses</w:t>
            </w:r>
          </w:p>
        </w:tc>
        <w:tc>
          <w:tcPr>
            <w:tcW w:w="2172" w:type="dxa"/>
            <w:gridSpan w:val="2"/>
            <w:noWrap/>
            <w:vAlign w:val="center"/>
            <w:hideMark/>
          </w:tcPr>
          <w:p w:rsidR="00DA121F" w:rsidRPr="00DA121F" w:rsidRDefault="00DA121F" w:rsidP="00C8766C">
            <w:pPr>
              <w:pStyle w:val="TableColumnHeaders"/>
              <w:jc w:val="center"/>
              <w:rPr>
                <w:i/>
                <w:iCs/>
              </w:rPr>
            </w:pPr>
            <w:r w:rsidRPr="00DA121F">
              <w:rPr>
                <w:i/>
                <w:iCs/>
              </w:rPr>
              <w:t>Industry Avg.</w:t>
            </w:r>
          </w:p>
        </w:tc>
      </w:tr>
      <w:tr w:rsidR="00DA121F" w:rsidRPr="00DA121F" w:rsidTr="00D16F30">
        <w:trPr>
          <w:trHeight w:val="322"/>
          <w:jc w:val="center"/>
        </w:trPr>
        <w:tc>
          <w:tcPr>
            <w:tcW w:w="2540" w:type="dxa"/>
            <w:vMerge/>
            <w:hideMark/>
          </w:tcPr>
          <w:p w:rsidR="00DA121F" w:rsidRPr="00DA121F" w:rsidRDefault="00DA121F" w:rsidP="00DA121F">
            <w:pPr>
              <w:pStyle w:val="BodyText"/>
              <w:rPr>
                <w:b/>
                <w:bCs/>
              </w:rPr>
            </w:pPr>
          </w:p>
        </w:tc>
        <w:tc>
          <w:tcPr>
            <w:tcW w:w="703" w:type="dxa"/>
            <w:noWrap/>
            <w:vAlign w:val="center"/>
            <w:hideMark/>
          </w:tcPr>
          <w:p w:rsidR="00DA121F" w:rsidRPr="00DA121F" w:rsidRDefault="00DA121F" w:rsidP="00C8766C">
            <w:pPr>
              <w:pStyle w:val="TableColumnHeaders"/>
              <w:jc w:val="center"/>
            </w:pPr>
            <w:r w:rsidRPr="00DA121F">
              <w:t>2008</w:t>
            </w:r>
          </w:p>
        </w:tc>
        <w:tc>
          <w:tcPr>
            <w:tcW w:w="1203" w:type="dxa"/>
            <w:tcBorders>
              <w:bottom w:val="single" w:sz="4" w:space="0" w:color="auto"/>
            </w:tcBorders>
            <w:noWrap/>
            <w:vAlign w:val="center"/>
            <w:hideMark/>
          </w:tcPr>
          <w:p w:rsidR="00DA121F" w:rsidRPr="00DA121F" w:rsidRDefault="00DA121F" w:rsidP="00C8766C">
            <w:pPr>
              <w:pStyle w:val="TableColumnHeaders"/>
              <w:jc w:val="center"/>
            </w:pPr>
            <w:r w:rsidRPr="00DA121F">
              <w:t>2009</w:t>
            </w:r>
          </w:p>
        </w:tc>
        <w:tc>
          <w:tcPr>
            <w:tcW w:w="1203" w:type="dxa"/>
            <w:noWrap/>
            <w:vAlign w:val="center"/>
            <w:hideMark/>
          </w:tcPr>
          <w:p w:rsidR="00DA121F" w:rsidRPr="00DA121F" w:rsidRDefault="00DA121F" w:rsidP="00C8766C">
            <w:pPr>
              <w:pStyle w:val="TableColumnHeaders"/>
              <w:jc w:val="center"/>
            </w:pPr>
            <w:r w:rsidRPr="00DA121F">
              <w:t>2012</w:t>
            </w:r>
          </w:p>
        </w:tc>
        <w:tc>
          <w:tcPr>
            <w:tcW w:w="954" w:type="dxa"/>
            <w:noWrap/>
            <w:vAlign w:val="center"/>
            <w:hideMark/>
          </w:tcPr>
          <w:p w:rsidR="00DA121F" w:rsidRPr="00DA121F" w:rsidRDefault="00DA121F" w:rsidP="00C8766C">
            <w:pPr>
              <w:pStyle w:val="TableColumnHeaders"/>
              <w:jc w:val="center"/>
            </w:pPr>
            <w:r w:rsidRPr="00DA121F">
              <w:t>Change</w:t>
            </w:r>
          </w:p>
        </w:tc>
        <w:tc>
          <w:tcPr>
            <w:tcW w:w="965" w:type="dxa"/>
            <w:tcBorders>
              <w:bottom w:val="single" w:sz="4" w:space="0" w:color="auto"/>
            </w:tcBorders>
            <w:noWrap/>
            <w:vAlign w:val="center"/>
            <w:hideMark/>
          </w:tcPr>
          <w:p w:rsidR="00DA121F" w:rsidRPr="00DA121F" w:rsidRDefault="00DA121F" w:rsidP="00C8766C">
            <w:pPr>
              <w:pStyle w:val="TableColumnHeaders"/>
              <w:jc w:val="center"/>
              <w:rPr>
                <w:i/>
                <w:iCs/>
              </w:rPr>
            </w:pPr>
            <w:r w:rsidRPr="00DA121F">
              <w:rPr>
                <w:i/>
                <w:iCs/>
              </w:rPr>
              <w:t>Change</w:t>
            </w:r>
          </w:p>
        </w:tc>
        <w:tc>
          <w:tcPr>
            <w:tcW w:w="1207" w:type="dxa"/>
            <w:tcBorders>
              <w:bottom w:val="single" w:sz="4" w:space="0" w:color="auto"/>
            </w:tcBorders>
            <w:noWrap/>
            <w:vAlign w:val="center"/>
            <w:hideMark/>
          </w:tcPr>
          <w:p w:rsidR="00DA121F" w:rsidRPr="00DA121F" w:rsidRDefault="00DA121F" w:rsidP="00C8766C">
            <w:pPr>
              <w:pStyle w:val="TableColumnHeaders"/>
              <w:jc w:val="center"/>
              <w:rPr>
                <w:i/>
                <w:iCs/>
              </w:rPr>
            </w:pPr>
            <w:r w:rsidRPr="00DA121F">
              <w:rPr>
                <w:i/>
                <w:iCs/>
              </w:rPr>
              <w:t xml:space="preserve">2012 </w:t>
            </w:r>
            <w:proofErr w:type="spellStart"/>
            <w:r w:rsidRPr="00DA121F">
              <w:rPr>
                <w:i/>
                <w:iCs/>
              </w:rPr>
              <w:t>Avg</w:t>
            </w:r>
            <w:proofErr w:type="spellEnd"/>
          </w:p>
        </w:tc>
      </w:tr>
      <w:tr w:rsidR="00DA121F" w:rsidRPr="00DA121F" w:rsidTr="00D16F30">
        <w:trPr>
          <w:trHeight w:val="322"/>
          <w:jc w:val="center"/>
        </w:trPr>
        <w:tc>
          <w:tcPr>
            <w:tcW w:w="2540" w:type="dxa"/>
            <w:noWrap/>
            <w:vAlign w:val="center"/>
            <w:hideMark/>
          </w:tcPr>
          <w:p w:rsidR="00DA121F" w:rsidRPr="00DA121F" w:rsidRDefault="00DA121F" w:rsidP="00C8766C">
            <w:pPr>
              <w:pStyle w:val="TableRowLabels"/>
            </w:pPr>
            <w:r w:rsidRPr="00DA121F">
              <w:t>Units</w:t>
            </w:r>
          </w:p>
        </w:tc>
        <w:tc>
          <w:tcPr>
            <w:tcW w:w="703" w:type="dxa"/>
            <w:tcBorders>
              <w:bottom w:val="single" w:sz="4" w:space="0" w:color="auto"/>
            </w:tcBorders>
            <w:noWrap/>
            <w:vAlign w:val="center"/>
            <w:hideMark/>
          </w:tcPr>
          <w:p w:rsidR="00DA121F" w:rsidRPr="00DA121F" w:rsidRDefault="00DA121F" w:rsidP="00977300">
            <w:pPr>
              <w:pStyle w:val="BodyText"/>
              <w:jc w:val="right"/>
            </w:pPr>
            <w:r w:rsidRPr="00DA121F">
              <w:t>261</w:t>
            </w:r>
          </w:p>
        </w:tc>
        <w:tc>
          <w:tcPr>
            <w:tcW w:w="1203" w:type="dxa"/>
            <w:shd w:val="pct10" w:color="auto" w:fill="auto"/>
            <w:noWrap/>
            <w:vAlign w:val="center"/>
            <w:hideMark/>
          </w:tcPr>
          <w:p w:rsidR="00DA121F" w:rsidRPr="00DA121F" w:rsidRDefault="00DA121F" w:rsidP="00977300">
            <w:pPr>
              <w:pStyle w:val="BodyText"/>
              <w:jc w:val="right"/>
            </w:pPr>
            <w:r w:rsidRPr="00DA121F">
              <w:t> </w:t>
            </w:r>
          </w:p>
        </w:tc>
        <w:tc>
          <w:tcPr>
            <w:tcW w:w="1203" w:type="dxa"/>
            <w:noWrap/>
            <w:vAlign w:val="center"/>
            <w:hideMark/>
          </w:tcPr>
          <w:p w:rsidR="00DA121F" w:rsidRPr="00DA121F" w:rsidRDefault="00DA121F" w:rsidP="00977300">
            <w:pPr>
              <w:pStyle w:val="BodyText"/>
              <w:jc w:val="right"/>
            </w:pPr>
            <w:r w:rsidRPr="00DA121F">
              <w:t>177</w:t>
            </w:r>
          </w:p>
        </w:tc>
        <w:tc>
          <w:tcPr>
            <w:tcW w:w="954" w:type="dxa"/>
            <w:noWrap/>
            <w:vAlign w:val="center"/>
            <w:hideMark/>
          </w:tcPr>
          <w:p w:rsidR="00DA121F" w:rsidRPr="00DA121F" w:rsidRDefault="00DA121F" w:rsidP="00977300">
            <w:pPr>
              <w:pStyle w:val="BodyText"/>
              <w:jc w:val="right"/>
            </w:pPr>
            <w:r w:rsidRPr="00DA121F">
              <w:t>-32%</w:t>
            </w:r>
          </w:p>
        </w:tc>
        <w:tc>
          <w:tcPr>
            <w:tcW w:w="965" w:type="dxa"/>
            <w:shd w:val="pct10" w:color="auto" w:fill="auto"/>
            <w:noWrap/>
            <w:vAlign w:val="center"/>
            <w:hideMark/>
          </w:tcPr>
          <w:p w:rsidR="00DA121F" w:rsidRPr="00DA121F" w:rsidRDefault="00DA121F" w:rsidP="00977300">
            <w:pPr>
              <w:pStyle w:val="BodyText"/>
              <w:jc w:val="right"/>
              <w:rPr>
                <w:i/>
                <w:iCs/>
              </w:rPr>
            </w:pPr>
            <w:r w:rsidRPr="00DA121F">
              <w:rPr>
                <w:i/>
                <w:iCs/>
              </w:rPr>
              <w:t> </w:t>
            </w:r>
          </w:p>
        </w:tc>
        <w:tc>
          <w:tcPr>
            <w:tcW w:w="1207" w:type="dxa"/>
            <w:tcBorders>
              <w:bottom w:val="single" w:sz="4" w:space="0" w:color="auto"/>
            </w:tcBorders>
            <w:shd w:val="pct10" w:color="auto" w:fill="auto"/>
            <w:noWrap/>
            <w:vAlign w:val="center"/>
            <w:hideMark/>
          </w:tcPr>
          <w:p w:rsidR="00DA121F" w:rsidRPr="00DA121F" w:rsidRDefault="00DA121F" w:rsidP="00977300">
            <w:pPr>
              <w:pStyle w:val="BodyText"/>
              <w:jc w:val="right"/>
              <w:rPr>
                <w:i/>
                <w:iCs/>
              </w:rPr>
            </w:pPr>
            <w:r w:rsidRPr="00DA121F">
              <w:rPr>
                <w:i/>
                <w:iCs/>
              </w:rPr>
              <w:t> </w:t>
            </w:r>
          </w:p>
        </w:tc>
      </w:tr>
      <w:tr w:rsidR="00DA121F" w:rsidRPr="00DA121F" w:rsidTr="00D16F30">
        <w:trPr>
          <w:trHeight w:val="322"/>
          <w:jc w:val="center"/>
        </w:trPr>
        <w:tc>
          <w:tcPr>
            <w:tcW w:w="2540" w:type="dxa"/>
            <w:noWrap/>
            <w:vAlign w:val="center"/>
            <w:hideMark/>
          </w:tcPr>
          <w:p w:rsidR="00DA121F" w:rsidRPr="00DA121F" w:rsidRDefault="00DA121F" w:rsidP="00C8766C">
            <w:pPr>
              <w:pStyle w:val="TableRowLabels"/>
            </w:pPr>
            <w:r w:rsidRPr="00DA121F">
              <w:t>Average Employment</w:t>
            </w:r>
          </w:p>
        </w:tc>
        <w:tc>
          <w:tcPr>
            <w:tcW w:w="703" w:type="dxa"/>
            <w:tcBorders>
              <w:bottom w:val="single" w:sz="4" w:space="0" w:color="auto"/>
            </w:tcBorders>
            <w:shd w:val="pct10" w:color="auto" w:fill="auto"/>
            <w:noWrap/>
            <w:vAlign w:val="center"/>
            <w:hideMark/>
          </w:tcPr>
          <w:p w:rsidR="00DA121F" w:rsidRPr="00DA121F" w:rsidRDefault="00DA121F" w:rsidP="00977300">
            <w:pPr>
              <w:pStyle w:val="BodyText"/>
              <w:jc w:val="right"/>
            </w:pPr>
            <w:r w:rsidRPr="00DA121F">
              <w:t> </w:t>
            </w:r>
          </w:p>
        </w:tc>
        <w:tc>
          <w:tcPr>
            <w:tcW w:w="1203" w:type="dxa"/>
            <w:noWrap/>
            <w:vAlign w:val="center"/>
            <w:hideMark/>
          </w:tcPr>
          <w:p w:rsidR="00DA121F" w:rsidRPr="00DA121F" w:rsidRDefault="00DA121F" w:rsidP="00977300">
            <w:pPr>
              <w:pStyle w:val="BodyText"/>
              <w:jc w:val="right"/>
            </w:pPr>
            <w:r w:rsidRPr="00DA121F">
              <w:t xml:space="preserve">1,591 </w:t>
            </w:r>
          </w:p>
        </w:tc>
        <w:tc>
          <w:tcPr>
            <w:tcW w:w="1203" w:type="dxa"/>
            <w:noWrap/>
            <w:vAlign w:val="center"/>
            <w:hideMark/>
          </w:tcPr>
          <w:p w:rsidR="00DA121F" w:rsidRPr="00DA121F" w:rsidRDefault="00DA121F" w:rsidP="00977300">
            <w:pPr>
              <w:pStyle w:val="BodyText"/>
              <w:jc w:val="right"/>
            </w:pPr>
            <w:r w:rsidRPr="00DA121F">
              <w:t xml:space="preserve">1,629 </w:t>
            </w:r>
          </w:p>
        </w:tc>
        <w:tc>
          <w:tcPr>
            <w:tcW w:w="954" w:type="dxa"/>
            <w:noWrap/>
            <w:vAlign w:val="center"/>
            <w:hideMark/>
          </w:tcPr>
          <w:p w:rsidR="00DA121F" w:rsidRPr="00DA121F" w:rsidRDefault="00DA121F" w:rsidP="00977300">
            <w:pPr>
              <w:pStyle w:val="BodyText"/>
              <w:jc w:val="right"/>
            </w:pPr>
            <w:r w:rsidRPr="00DA121F">
              <w:t>2%</w:t>
            </w:r>
          </w:p>
        </w:tc>
        <w:tc>
          <w:tcPr>
            <w:tcW w:w="965" w:type="dxa"/>
            <w:noWrap/>
            <w:vAlign w:val="center"/>
            <w:hideMark/>
          </w:tcPr>
          <w:p w:rsidR="00DA121F" w:rsidRPr="00DA121F" w:rsidRDefault="00DA121F" w:rsidP="00977300">
            <w:pPr>
              <w:pStyle w:val="BodyText"/>
              <w:jc w:val="right"/>
              <w:rPr>
                <w:i/>
                <w:iCs/>
              </w:rPr>
            </w:pPr>
            <w:r w:rsidRPr="00DA121F">
              <w:rPr>
                <w:i/>
                <w:iCs/>
              </w:rPr>
              <w:t>-1%</w:t>
            </w:r>
          </w:p>
        </w:tc>
        <w:tc>
          <w:tcPr>
            <w:tcW w:w="1207" w:type="dxa"/>
            <w:shd w:val="pct10" w:color="auto" w:fill="auto"/>
            <w:noWrap/>
            <w:vAlign w:val="center"/>
            <w:hideMark/>
          </w:tcPr>
          <w:p w:rsidR="00DA121F" w:rsidRPr="00DA121F" w:rsidRDefault="00DA121F" w:rsidP="00977300">
            <w:pPr>
              <w:pStyle w:val="BodyText"/>
              <w:jc w:val="right"/>
              <w:rPr>
                <w:i/>
                <w:iCs/>
              </w:rPr>
            </w:pPr>
            <w:r w:rsidRPr="00DA121F">
              <w:rPr>
                <w:i/>
                <w:iCs/>
              </w:rPr>
              <w:t> </w:t>
            </w:r>
          </w:p>
        </w:tc>
      </w:tr>
      <w:tr w:rsidR="00DA121F" w:rsidRPr="00DA121F" w:rsidTr="00D16F30">
        <w:trPr>
          <w:trHeight w:val="322"/>
          <w:jc w:val="center"/>
        </w:trPr>
        <w:tc>
          <w:tcPr>
            <w:tcW w:w="2540" w:type="dxa"/>
            <w:noWrap/>
            <w:vAlign w:val="center"/>
            <w:hideMark/>
          </w:tcPr>
          <w:p w:rsidR="00DA121F" w:rsidRPr="00DA121F" w:rsidRDefault="00DA121F" w:rsidP="00C8766C">
            <w:pPr>
              <w:pStyle w:val="TableRowLabels"/>
            </w:pPr>
            <w:r w:rsidRPr="00DA121F">
              <w:t>Avg. Annual Wage</w:t>
            </w:r>
          </w:p>
        </w:tc>
        <w:tc>
          <w:tcPr>
            <w:tcW w:w="703" w:type="dxa"/>
            <w:tcBorders>
              <w:bottom w:val="single" w:sz="4" w:space="0" w:color="auto"/>
            </w:tcBorders>
            <w:shd w:val="pct10" w:color="auto" w:fill="auto"/>
            <w:noWrap/>
            <w:vAlign w:val="center"/>
            <w:hideMark/>
          </w:tcPr>
          <w:p w:rsidR="00DA121F" w:rsidRPr="00DA121F" w:rsidRDefault="00DA121F" w:rsidP="00977300">
            <w:pPr>
              <w:pStyle w:val="BodyText"/>
              <w:jc w:val="right"/>
            </w:pPr>
            <w:r w:rsidRPr="00DA121F">
              <w:t> </w:t>
            </w:r>
          </w:p>
        </w:tc>
        <w:tc>
          <w:tcPr>
            <w:tcW w:w="1203" w:type="dxa"/>
            <w:noWrap/>
            <w:vAlign w:val="center"/>
            <w:hideMark/>
          </w:tcPr>
          <w:p w:rsidR="00DA121F" w:rsidRPr="00DA121F" w:rsidRDefault="00DA121F" w:rsidP="00977300">
            <w:pPr>
              <w:pStyle w:val="BodyText"/>
              <w:jc w:val="right"/>
            </w:pPr>
            <w:r w:rsidRPr="00DA121F">
              <w:t xml:space="preserve">$ 18,826 </w:t>
            </w:r>
          </w:p>
        </w:tc>
        <w:tc>
          <w:tcPr>
            <w:tcW w:w="1203" w:type="dxa"/>
            <w:noWrap/>
            <w:vAlign w:val="center"/>
            <w:hideMark/>
          </w:tcPr>
          <w:p w:rsidR="00DA121F" w:rsidRPr="00DA121F" w:rsidRDefault="00DA121F" w:rsidP="00977300">
            <w:pPr>
              <w:pStyle w:val="BodyText"/>
              <w:jc w:val="right"/>
            </w:pPr>
            <w:r w:rsidRPr="00DA121F">
              <w:t xml:space="preserve">$ 20,318 </w:t>
            </w:r>
          </w:p>
        </w:tc>
        <w:tc>
          <w:tcPr>
            <w:tcW w:w="954" w:type="dxa"/>
            <w:noWrap/>
            <w:vAlign w:val="center"/>
            <w:hideMark/>
          </w:tcPr>
          <w:p w:rsidR="00DA121F" w:rsidRPr="00DA121F" w:rsidRDefault="00DA121F" w:rsidP="00977300">
            <w:pPr>
              <w:pStyle w:val="BodyText"/>
              <w:jc w:val="right"/>
            </w:pPr>
            <w:r w:rsidRPr="00DA121F">
              <w:t>8%</w:t>
            </w:r>
          </w:p>
        </w:tc>
        <w:tc>
          <w:tcPr>
            <w:tcW w:w="965" w:type="dxa"/>
            <w:tcBorders>
              <w:bottom w:val="single" w:sz="4" w:space="0" w:color="auto"/>
            </w:tcBorders>
            <w:noWrap/>
            <w:vAlign w:val="center"/>
            <w:hideMark/>
          </w:tcPr>
          <w:p w:rsidR="00DA121F" w:rsidRPr="00DA121F" w:rsidRDefault="00DA121F" w:rsidP="00977300">
            <w:pPr>
              <w:pStyle w:val="BodyText"/>
              <w:jc w:val="right"/>
              <w:rPr>
                <w:i/>
                <w:iCs/>
              </w:rPr>
            </w:pPr>
            <w:r w:rsidRPr="00DA121F">
              <w:rPr>
                <w:i/>
                <w:iCs/>
              </w:rPr>
              <w:t>2%</w:t>
            </w:r>
          </w:p>
        </w:tc>
        <w:tc>
          <w:tcPr>
            <w:tcW w:w="1207" w:type="dxa"/>
            <w:noWrap/>
            <w:vAlign w:val="center"/>
            <w:hideMark/>
          </w:tcPr>
          <w:p w:rsidR="00DA121F" w:rsidRPr="00DA121F" w:rsidRDefault="00DA121F" w:rsidP="00977300">
            <w:pPr>
              <w:pStyle w:val="BodyText"/>
              <w:jc w:val="right"/>
              <w:rPr>
                <w:i/>
                <w:iCs/>
              </w:rPr>
            </w:pPr>
            <w:r w:rsidRPr="00DA121F">
              <w:rPr>
                <w:i/>
                <w:iCs/>
              </w:rPr>
              <w:t>$ 24,421</w:t>
            </w:r>
          </w:p>
        </w:tc>
      </w:tr>
      <w:tr w:rsidR="00DA121F" w:rsidRPr="00DA121F" w:rsidTr="00D16F30">
        <w:trPr>
          <w:trHeight w:val="322"/>
          <w:jc w:val="center"/>
        </w:trPr>
        <w:tc>
          <w:tcPr>
            <w:tcW w:w="2540" w:type="dxa"/>
            <w:tcBorders>
              <w:bottom w:val="single" w:sz="4" w:space="0" w:color="auto"/>
            </w:tcBorders>
            <w:noWrap/>
            <w:vAlign w:val="center"/>
            <w:hideMark/>
          </w:tcPr>
          <w:p w:rsidR="00DA121F" w:rsidRPr="00DA121F" w:rsidRDefault="00DA121F" w:rsidP="00C8766C">
            <w:pPr>
              <w:pStyle w:val="TableRowLabels"/>
            </w:pPr>
            <w:r w:rsidRPr="00DA121F">
              <w:t>Avg. Business Size</w:t>
            </w:r>
          </w:p>
        </w:tc>
        <w:tc>
          <w:tcPr>
            <w:tcW w:w="703" w:type="dxa"/>
            <w:tcBorders>
              <w:bottom w:val="single" w:sz="4" w:space="0" w:color="auto"/>
            </w:tcBorders>
            <w:shd w:val="pct10" w:color="auto" w:fill="auto"/>
            <w:noWrap/>
            <w:vAlign w:val="center"/>
            <w:hideMark/>
          </w:tcPr>
          <w:p w:rsidR="00DA121F" w:rsidRPr="00DA121F" w:rsidRDefault="00DA121F" w:rsidP="00977300">
            <w:pPr>
              <w:pStyle w:val="BodyText"/>
              <w:jc w:val="right"/>
            </w:pPr>
            <w:r w:rsidRPr="00DA121F">
              <w:t> </w:t>
            </w:r>
          </w:p>
        </w:tc>
        <w:tc>
          <w:tcPr>
            <w:tcW w:w="1203" w:type="dxa"/>
            <w:tcBorders>
              <w:bottom w:val="single" w:sz="4" w:space="0" w:color="auto"/>
            </w:tcBorders>
            <w:noWrap/>
            <w:vAlign w:val="center"/>
            <w:hideMark/>
          </w:tcPr>
          <w:p w:rsidR="00DA121F" w:rsidRPr="00DA121F" w:rsidRDefault="00DA121F" w:rsidP="00977300">
            <w:pPr>
              <w:pStyle w:val="BodyText"/>
              <w:jc w:val="right"/>
            </w:pPr>
            <w:r w:rsidRPr="00DA121F">
              <w:t xml:space="preserve">6.6 </w:t>
            </w:r>
          </w:p>
        </w:tc>
        <w:tc>
          <w:tcPr>
            <w:tcW w:w="1203" w:type="dxa"/>
            <w:tcBorders>
              <w:bottom w:val="single" w:sz="4" w:space="0" w:color="auto"/>
            </w:tcBorders>
            <w:noWrap/>
            <w:vAlign w:val="center"/>
            <w:hideMark/>
          </w:tcPr>
          <w:p w:rsidR="00DA121F" w:rsidRPr="00DA121F" w:rsidRDefault="00DA121F" w:rsidP="00977300">
            <w:pPr>
              <w:pStyle w:val="BodyText"/>
              <w:jc w:val="right"/>
            </w:pPr>
            <w:r w:rsidRPr="00DA121F">
              <w:t xml:space="preserve">9.2 </w:t>
            </w:r>
          </w:p>
        </w:tc>
        <w:tc>
          <w:tcPr>
            <w:tcW w:w="954" w:type="dxa"/>
            <w:tcBorders>
              <w:bottom w:val="single" w:sz="4" w:space="0" w:color="auto"/>
            </w:tcBorders>
            <w:noWrap/>
            <w:vAlign w:val="center"/>
            <w:hideMark/>
          </w:tcPr>
          <w:p w:rsidR="00DA121F" w:rsidRPr="00DA121F" w:rsidRDefault="00DA121F" w:rsidP="00977300">
            <w:pPr>
              <w:pStyle w:val="BodyText"/>
              <w:jc w:val="right"/>
            </w:pPr>
            <w:r w:rsidRPr="00DA121F">
              <w:t>40%</w:t>
            </w:r>
          </w:p>
        </w:tc>
        <w:tc>
          <w:tcPr>
            <w:tcW w:w="965" w:type="dxa"/>
            <w:tcBorders>
              <w:bottom w:val="single" w:sz="4" w:space="0" w:color="auto"/>
            </w:tcBorders>
            <w:shd w:val="pct10" w:color="auto" w:fill="auto"/>
            <w:noWrap/>
            <w:vAlign w:val="center"/>
            <w:hideMark/>
          </w:tcPr>
          <w:p w:rsidR="00DA121F" w:rsidRPr="00DA121F" w:rsidRDefault="00DA121F" w:rsidP="00977300">
            <w:pPr>
              <w:pStyle w:val="BodyText"/>
              <w:jc w:val="right"/>
              <w:rPr>
                <w:i/>
                <w:iCs/>
              </w:rPr>
            </w:pPr>
            <w:r w:rsidRPr="00DA121F">
              <w:rPr>
                <w:i/>
                <w:iCs/>
              </w:rPr>
              <w:t> </w:t>
            </w:r>
          </w:p>
        </w:tc>
        <w:tc>
          <w:tcPr>
            <w:tcW w:w="1207" w:type="dxa"/>
            <w:tcBorders>
              <w:bottom w:val="single" w:sz="4" w:space="0" w:color="auto"/>
            </w:tcBorders>
            <w:noWrap/>
            <w:vAlign w:val="center"/>
            <w:hideMark/>
          </w:tcPr>
          <w:p w:rsidR="00DA121F" w:rsidRPr="00DA121F" w:rsidRDefault="00DA121F" w:rsidP="00977300">
            <w:pPr>
              <w:pStyle w:val="BodyText"/>
              <w:jc w:val="right"/>
              <w:rPr>
                <w:i/>
                <w:iCs/>
              </w:rPr>
            </w:pPr>
            <w:r w:rsidRPr="00DA121F">
              <w:rPr>
                <w:i/>
                <w:iCs/>
              </w:rPr>
              <w:t>12.9</w:t>
            </w:r>
          </w:p>
        </w:tc>
      </w:tr>
      <w:tr w:rsidR="002A6752" w:rsidRPr="00DA121F" w:rsidTr="002A6752">
        <w:trPr>
          <w:trHeight w:val="322"/>
          <w:jc w:val="center"/>
        </w:trPr>
        <w:tc>
          <w:tcPr>
            <w:tcW w:w="8775" w:type="dxa"/>
            <w:gridSpan w:val="7"/>
            <w:shd w:val="clear" w:color="auto" w:fill="215868" w:themeFill="accent5" w:themeFillShade="80"/>
            <w:noWrap/>
            <w:vAlign w:val="center"/>
          </w:tcPr>
          <w:p w:rsidR="002A6752" w:rsidRPr="00DA121F" w:rsidRDefault="002A6752" w:rsidP="00977300">
            <w:pPr>
              <w:pStyle w:val="BodyText"/>
              <w:jc w:val="right"/>
              <w:rPr>
                <w:i/>
                <w:iCs/>
              </w:rPr>
            </w:pPr>
          </w:p>
        </w:tc>
      </w:tr>
    </w:tbl>
    <w:p w:rsidR="00DA121F" w:rsidRPr="00DA121F" w:rsidRDefault="00DA121F" w:rsidP="00977300">
      <w:pPr>
        <w:pStyle w:val="BodyText"/>
        <w:spacing w:before="120"/>
      </w:pPr>
      <w:r w:rsidRPr="00DA121F">
        <w:t xml:space="preserve">New retail businesses survived at above-average rates and added jobs between 2009 and 2012, one of just two key industries to do so. New retailers tended to be larger than the average new business, with nearly seven jobs per unit in 2009. From 2009 to 2012, average business size increased to about nine jobs per unit, closer to the industry average of nearly 13 jobs per retail establishment. A 2 percent gain in employment compared favorably to the retail industry as a whole, which declined slightly over the </w:t>
      </w:r>
      <w:r w:rsidRPr="00DA121F">
        <w:lastRenderedPageBreak/>
        <w:t>period. The average annual wage at new retailers grew faster than the industry wage between 2009 and 2012 but remained below the industry average of $24,421.</w:t>
      </w:r>
    </w:p>
    <w:p w:rsidR="00DA121F" w:rsidRPr="00DA121F" w:rsidRDefault="00DA121F" w:rsidP="00A53B05">
      <w:pPr>
        <w:pStyle w:val="Heading4"/>
      </w:pPr>
      <w:r w:rsidRPr="00DA121F">
        <w:t>Wholesale Trade</w:t>
      </w:r>
    </w:p>
    <w:p w:rsidR="00DA121F" w:rsidRPr="00DA121F" w:rsidRDefault="00DA121F" w:rsidP="00DA121F">
      <w:pPr>
        <w:pStyle w:val="BodyText"/>
      </w:pPr>
      <w:r w:rsidRPr="00DA121F">
        <w:t>The wholesale trade sector comprises establishments engaged in an intermediate step in the distribution of merchandise. Wholesalers are organized to sell or arrange the purchase or sale of goods for resale, non-consumer goods, and raw and intermediate materials and supplies used in production.</w:t>
      </w:r>
    </w:p>
    <w:tbl>
      <w:tblPr>
        <w:tblStyle w:val="TableGrid"/>
        <w:tblW w:w="0" w:type="auto"/>
        <w:jc w:val="center"/>
        <w:tblLook w:val="04A0" w:firstRow="1" w:lastRow="0" w:firstColumn="1" w:lastColumn="0" w:noHBand="0" w:noVBand="1"/>
        <w:tblCaption w:val="Wholesale Trade"/>
        <w:tblDescription w:val="summary statistics"/>
      </w:tblPr>
      <w:tblGrid>
        <w:gridCol w:w="2500"/>
        <w:gridCol w:w="703"/>
        <w:gridCol w:w="1191"/>
        <w:gridCol w:w="1191"/>
        <w:gridCol w:w="954"/>
        <w:gridCol w:w="965"/>
        <w:gridCol w:w="1182"/>
      </w:tblGrid>
      <w:tr w:rsidR="00DA121F" w:rsidRPr="00DA121F" w:rsidTr="00472E7F">
        <w:trPr>
          <w:trHeight w:val="199"/>
          <w:jc w:val="center"/>
        </w:trPr>
        <w:tc>
          <w:tcPr>
            <w:tcW w:w="8523" w:type="dxa"/>
            <w:gridSpan w:val="7"/>
            <w:shd w:val="clear" w:color="auto" w:fill="215868" w:themeFill="accent5" w:themeFillShade="80"/>
            <w:noWrap/>
            <w:hideMark/>
          </w:tcPr>
          <w:p w:rsidR="00DA121F" w:rsidRPr="00DA121F" w:rsidRDefault="00DA121F" w:rsidP="00DA121F">
            <w:pPr>
              <w:pStyle w:val="BodyText"/>
            </w:pPr>
            <w:r w:rsidRPr="00DA121F">
              <w:t> </w:t>
            </w:r>
          </w:p>
        </w:tc>
      </w:tr>
      <w:tr w:rsidR="00DA121F" w:rsidRPr="00DA121F" w:rsidTr="002A6752">
        <w:trPr>
          <w:trHeight w:val="300"/>
          <w:jc w:val="center"/>
        </w:trPr>
        <w:tc>
          <w:tcPr>
            <w:tcW w:w="2500" w:type="dxa"/>
            <w:vMerge w:val="restart"/>
            <w:vAlign w:val="center"/>
            <w:hideMark/>
          </w:tcPr>
          <w:p w:rsidR="00DA121F" w:rsidRPr="00DA121F" w:rsidRDefault="00DA121F" w:rsidP="00C8766C">
            <w:pPr>
              <w:pStyle w:val="TableColumnHeaders"/>
            </w:pPr>
            <w:r w:rsidRPr="00DA121F">
              <w:t>Wholesale Trade</w:t>
            </w:r>
          </w:p>
        </w:tc>
        <w:tc>
          <w:tcPr>
            <w:tcW w:w="3938" w:type="dxa"/>
            <w:gridSpan w:val="4"/>
            <w:noWrap/>
            <w:vAlign w:val="center"/>
            <w:hideMark/>
          </w:tcPr>
          <w:p w:rsidR="00DA121F" w:rsidRPr="00DA121F" w:rsidRDefault="00DA121F" w:rsidP="00C8766C">
            <w:pPr>
              <w:pStyle w:val="TableColumnHeaders"/>
              <w:jc w:val="center"/>
            </w:pPr>
            <w:r w:rsidRPr="00DA121F">
              <w:t>New Businesses</w:t>
            </w:r>
          </w:p>
        </w:tc>
        <w:tc>
          <w:tcPr>
            <w:tcW w:w="2085" w:type="dxa"/>
            <w:gridSpan w:val="2"/>
            <w:noWrap/>
            <w:vAlign w:val="center"/>
            <w:hideMark/>
          </w:tcPr>
          <w:p w:rsidR="00DA121F" w:rsidRPr="00C8766C" w:rsidRDefault="00DA121F" w:rsidP="00C8766C">
            <w:pPr>
              <w:pStyle w:val="TableColumnHeaders"/>
              <w:jc w:val="center"/>
              <w:rPr>
                <w:i/>
                <w:iCs/>
              </w:rPr>
            </w:pPr>
            <w:r w:rsidRPr="00C8766C">
              <w:rPr>
                <w:i/>
                <w:iCs/>
              </w:rPr>
              <w:t>Industry Avg.</w:t>
            </w:r>
          </w:p>
        </w:tc>
      </w:tr>
      <w:tr w:rsidR="00DA121F" w:rsidRPr="00DA121F" w:rsidTr="00D16F30">
        <w:trPr>
          <w:trHeight w:val="300"/>
          <w:jc w:val="center"/>
        </w:trPr>
        <w:tc>
          <w:tcPr>
            <w:tcW w:w="2500" w:type="dxa"/>
            <w:vMerge/>
            <w:vAlign w:val="center"/>
            <w:hideMark/>
          </w:tcPr>
          <w:p w:rsidR="00DA121F" w:rsidRPr="00DA121F" w:rsidRDefault="00DA121F" w:rsidP="00DA121F">
            <w:pPr>
              <w:pStyle w:val="BodyText"/>
              <w:rPr>
                <w:b/>
                <w:bCs/>
              </w:rPr>
            </w:pPr>
          </w:p>
        </w:tc>
        <w:tc>
          <w:tcPr>
            <w:tcW w:w="663" w:type="dxa"/>
            <w:noWrap/>
            <w:vAlign w:val="center"/>
            <w:hideMark/>
          </w:tcPr>
          <w:p w:rsidR="00DA121F" w:rsidRPr="00DA121F" w:rsidRDefault="00DA121F" w:rsidP="00C8766C">
            <w:pPr>
              <w:pStyle w:val="TableColumnHeaders"/>
              <w:jc w:val="center"/>
            </w:pPr>
            <w:r w:rsidRPr="00DA121F">
              <w:t>2008</w:t>
            </w:r>
          </w:p>
        </w:tc>
        <w:tc>
          <w:tcPr>
            <w:tcW w:w="1191" w:type="dxa"/>
            <w:tcBorders>
              <w:bottom w:val="single" w:sz="4" w:space="0" w:color="auto"/>
            </w:tcBorders>
            <w:noWrap/>
            <w:vAlign w:val="center"/>
            <w:hideMark/>
          </w:tcPr>
          <w:p w:rsidR="00DA121F" w:rsidRPr="00DA121F" w:rsidRDefault="00DA121F" w:rsidP="00C8766C">
            <w:pPr>
              <w:pStyle w:val="TableColumnHeaders"/>
              <w:jc w:val="center"/>
            </w:pPr>
            <w:r w:rsidRPr="00DA121F">
              <w:t>2009</w:t>
            </w:r>
          </w:p>
        </w:tc>
        <w:tc>
          <w:tcPr>
            <w:tcW w:w="1191" w:type="dxa"/>
            <w:noWrap/>
            <w:vAlign w:val="center"/>
            <w:hideMark/>
          </w:tcPr>
          <w:p w:rsidR="00DA121F" w:rsidRPr="00DA121F" w:rsidRDefault="00DA121F" w:rsidP="00C8766C">
            <w:pPr>
              <w:pStyle w:val="TableColumnHeaders"/>
              <w:jc w:val="center"/>
            </w:pPr>
            <w:r w:rsidRPr="00DA121F">
              <w:t>2012</w:t>
            </w:r>
          </w:p>
        </w:tc>
        <w:tc>
          <w:tcPr>
            <w:tcW w:w="893" w:type="dxa"/>
            <w:noWrap/>
            <w:vAlign w:val="center"/>
            <w:hideMark/>
          </w:tcPr>
          <w:p w:rsidR="00DA121F" w:rsidRPr="00DA121F" w:rsidRDefault="00DA121F" w:rsidP="00C8766C">
            <w:pPr>
              <w:pStyle w:val="TableColumnHeaders"/>
              <w:jc w:val="center"/>
            </w:pPr>
            <w:r w:rsidRPr="00DA121F">
              <w:t>Change</w:t>
            </w:r>
          </w:p>
        </w:tc>
        <w:tc>
          <w:tcPr>
            <w:tcW w:w="903" w:type="dxa"/>
            <w:tcBorders>
              <w:bottom w:val="single" w:sz="4" w:space="0" w:color="auto"/>
            </w:tcBorders>
            <w:noWrap/>
            <w:vAlign w:val="center"/>
            <w:hideMark/>
          </w:tcPr>
          <w:p w:rsidR="00DA121F" w:rsidRPr="00C8766C" w:rsidRDefault="00DA121F" w:rsidP="00C8766C">
            <w:pPr>
              <w:pStyle w:val="TableColumnHeaders"/>
              <w:jc w:val="center"/>
              <w:rPr>
                <w:i/>
                <w:iCs/>
              </w:rPr>
            </w:pPr>
            <w:r w:rsidRPr="00C8766C">
              <w:rPr>
                <w:i/>
                <w:iCs/>
              </w:rPr>
              <w:t>Change</w:t>
            </w:r>
          </w:p>
        </w:tc>
        <w:tc>
          <w:tcPr>
            <w:tcW w:w="1182" w:type="dxa"/>
            <w:tcBorders>
              <w:bottom w:val="single" w:sz="4" w:space="0" w:color="auto"/>
            </w:tcBorders>
            <w:noWrap/>
            <w:vAlign w:val="center"/>
            <w:hideMark/>
          </w:tcPr>
          <w:p w:rsidR="00DA121F" w:rsidRPr="00C8766C" w:rsidRDefault="00DA121F" w:rsidP="00C8766C">
            <w:pPr>
              <w:pStyle w:val="TableColumnHeaders"/>
              <w:jc w:val="center"/>
              <w:rPr>
                <w:i/>
                <w:iCs/>
              </w:rPr>
            </w:pPr>
            <w:r w:rsidRPr="00C8766C">
              <w:rPr>
                <w:i/>
                <w:iCs/>
              </w:rPr>
              <w:t xml:space="preserve">2012 </w:t>
            </w:r>
            <w:proofErr w:type="spellStart"/>
            <w:r w:rsidRPr="00C8766C">
              <w:rPr>
                <w:i/>
                <w:iCs/>
              </w:rPr>
              <w:t>Avg</w:t>
            </w:r>
            <w:proofErr w:type="spellEnd"/>
          </w:p>
        </w:tc>
      </w:tr>
      <w:tr w:rsidR="00DA121F" w:rsidRPr="00DA121F" w:rsidTr="00D16F30">
        <w:trPr>
          <w:trHeight w:val="300"/>
          <w:jc w:val="center"/>
        </w:trPr>
        <w:tc>
          <w:tcPr>
            <w:tcW w:w="2500" w:type="dxa"/>
            <w:noWrap/>
            <w:vAlign w:val="center"/>
            <w:hideMark/>
          </w:tcPr>
          <w:p w:rsidR="00DA121F" w:rsidRPr="00DA121F" w:rsidRDefault="00DA121F" w:rsidP="00C8766C">
            <w:pPr>
              <w:pStyle w:val="TableRowLabels"/>
            </w:pPr>
            <w:r w:rsidRPr="00DA121F">
              <w:t>Units</w:t>
            </w:r>
          </w:p>
        </w:tc>
        <w:tc>
          <w:tcPr>
            <w:tcW w:w="663" w:type="dxa"/>
            <w:tcBorders>
              <w:bottom w:val="single" w:sz="4" w:space="0" w:color="auto"/>
            </w:tcBorders>
            <w:noWrap/>
            <w:vAlign w:val="center"/>
            <w:hideMark/>
          </w:tcPr>
          <w:p w:rsidR="00DA121F" w:rsidRPr="00DA121F" w:rsidRDefault="00DA121F" w:rsidP="002A6752">
            <w:pPr>
              <w:pStyle w:val="BodyText"/>
              <w:jc w:val="right"/>
            </w:pPr>
            <w:r w:rsidRPr="00DA121F">
              <w:t>256</w:t>
            </w:r>
          </w:p>
        </w:tc>
        <w:tc>
          <w:tcPr>
            <w:tcW w:w="1191" w:type="dxa"/>
            <w:shd w:val="pct10" w:color="auto" w:fill="auto"/>
            <w:noWrap/>
            <w:vAlign w:val="center"/>
            <w:hideMark/>
          </w:tcPr>
          <w:p w:rsidR="00DA121F" w:rsidRPr="00DA121F" w:rsidRDefault="00DA121F" w:rsidP="002A6752">
            <w:pPr>
              <w:pStyle w:val="BodyText"/>
              <w:jc w:val="right"/>
            </w:pPr>
            <w:r w:rsidRPr="00DA121F">
              <w:t> </w:t>
            </w:r>
          </w:p>
        </w:tc>
        <w:tc>
          <w:tcPr>
            <w:tcW w:w="1191" w:type="dxa"/>
            <w:noWrap/>
            <w:vAlign w:val="center"/>
            <w:hideMark/>
          </w:tcPr>
          <w:p w:rsidR="00DA121F" w:rsidRPr="00DA121F" w:rsidRDefault="00DA121F" w:rsidP="002A6752">
            <w:pPr>
              <w:pStyle w:val="BodyText"/>
              <w:jc w:val="right"/>
            </w:pPr>
            <w:r w:rsidRPr="00DA121F">
              <w:t>131</w:t>
            </w:r>
          </w:p>
        </w:tc>
        <w:tc>
          <w:tcPr>
            <w:tcW w:w="893" w:type="dxa"/>
            <w:noWrap/>
            <w:vAlign w:val="center"/>
            <w:hideMark/>
          </w:tcPr>
          <w:p w:rsidR="00DA121F" w:rsidRPr="00DA121F" w:rsidRDefault="00DA121F" w:rsidP="002A6752">
            <w:pPr>
              <w:pStyle w:val="BodyText"/>
              <w:jc w:val="right"/>
            </w:pPr>
            <w:r w:rsidRPr="00DA121F">
              <w:t>-49%</w:t>
            </w:r>
          </w:p>
        </w:tc>
        <w:tc>
          <w:tcPr>
            <w:tcW w:w="903" w:type="dxa"/>
            <w:shd w:val="pct10" w:color="auto" w:fill="auto"/>
            <w:noWrap/>
            <w:vAlign w:val="center"/>
            <w:hideMark/>
          </w:tcPr>
          <w:p w:rsidR="00DA121F" w:rsidRPr="00DA121F" w:rsidRDefault="00DA121F" w:rsidP="002A6752">
            <w:pPr>
              <w:pStyle w:val="BodyText"/>
              <w:jc w:val="right"/>
              <w:rPr>
                <w:i/>
                <w:iCs/>
              </w:rPr>
            </w:pPr>
            <w:r w:rsidRPr="00DA121F">
              <w:rPr>
                <w:i/>
                <w:iCs/>
              </w:rPr>
              <w:t> </w:t>
            </w:r>
          </w:p>
        </w:tc>
        <w:tc>
          <w:tcPr>
            <w:tcW w:w="1182" w:type="dxa"/>
            <w:tcBorders>
              <w:bottom w:val="single" w:sz="4" w:space="0" w:color="auto"/>
            </w:tcBorders>
            <w:shd w:val="pct10" w:color="auto" w:fill="auto"/>
            <w:noWrap/>
            <w:vAlign w:val="center"/>
            <w:hideMark/>
          </w:tcPr>
          <w:p w:rsidR="00DA121F" w:rsidRPr="00DA121F" w:rsidRDefault="00DA121F" w:rsidP="002A6752">
            <w:pPr>
              <w:pStyle w:val="BodyText"/>
              <w:jc w:val="right"/>
              <w:rPr>
                <w:i/>
                <w:iCs/>
              </w:rPr>
            </w:pPr>
            <w:r w:rsidRPr="00DA121F">
              <w:rPr>
                <w:i/>
                <w:iCs/>
              </w:rPr>
              <w:t> </w:t>
            </w:r>
          </w:p>
        </w:tc>
      </w:tr>
      <w:tr w:rsidR="00DA121F" w:rsidRPr="00DA121F" w:rsidTr="00D16F30">
        <w:trPr>
          <w:trHeight w:val="300"/>
          <w:jc w:val="center"/>
        </w:trPr>
        <w:tc>
          <w:tcPr>
            <w:tcW w:w="2500" w:type="dxa"/>
            <w:noWrap/>
            <w:vAlign w:val="center"/>
            <w:hideMark/>
          </w:tcPr>
          <w:p w:rsidR="00DA121F" w:rsidRPr="00DA121F" w:rsidRDefault="00DA121F" w:rsidP="00C8766C">
            <w:pPr>
              <w:pStyle w:val="TableRowLabels"/>
            </w:pPr>
            <w:r w:rsidRPr="00DA121F">
              <w:t>Average Employment</w:t>
            </w:r>
          </w:p>
        </w:tc>
        <w:tc>
          <w:tcPr>
            <w:tcW w:w="663" w:type="dxa"/>
            <w:tcBorders>
              <w:bottom w:val="single" w:sz="4" w:space="0" w:color="auto"/>
            </w:tcBorders>
            <w:shd w:val="pct10" w:color="auto" w:fill="auto"/>
            <w:noWrap/>
            <w:vAlign w:val="center"/>
            <w:hideMark/>
          </w:tcPr>
          <w:p w:rsidR="00DA121F" w:rsidRPr="00DA121F" w:rsidRDefault="00DA121F" w:rsidP="002A6752">
            <w:pPr>
              <w:pStyle w:val="BodyText"/>
              <w:jc w:val="right"/>
            </w:pPr>
            <w:r w:rsidRPr="00DA121F">
              <w:t> </w:t>
            </w:r>
          </w:p>
        </w:tc>
        <w:tc>
          <w:tcPr>
            <w:tcW w:w="1191" w:type="dxa"/>
            <w:noWrap/>
            <w:vAlign w:val="center"/>
            <w:hideMark/>
          </w:tcPr>
          <w:p w:rsidR="00DA121F" w:rsidRPr="00DA121F" w:rsidRDefault="00DA121F" w:rsidP="002A6752">
            <w:pPr>
              <w:pStyle w:val="BodyText"/>
              <w:jc w:val="right"/>
            </w:pPr>
            <w:r w:rsidRPr="00DA121F">
              <w:t xml:space="preserve">343 </w:t>
            </w:r>
          </w:p>
        </w:tc>
        <w:tc>
          <w:tcPr>
            <w:tcW w:w="1191" w:type="dxa"/>
            <w:noWrap/>
            <w:vAlign w:val="center"/>
            <w:hideMark/>
          </w:tcPr>
          <w:p w:rsidR="00DA121F" w:rsidRPr="00DA121F" w:rsidRDefault="00DA121F" w:rsidP="002A6752">
            <w:pPr>
              <w:pStyle w:val="BodyText"/>
              <w:jc w:val="right"/>
            </w:pPr>
            <w:r w:rsidRPr="00DA121F">
              <w:t xml:space="preserve">280 </w:t>
            </w:r>
          </w:p>
        </w:tc>
        <w:tc>
          <w:tcPr>
            <w:tcW w:w="893" w:type="dxa"/>
            <w:noWrap/>
            <w:vAlign w:val="center"/>
            <w:hideMark/>
          </w:tcPr>
          <w:p w:rsidR="00DA121F" w:rsidRPr="00DA121F" w:rsidRDefault="00DA121F" w:rsidP="002A6752">
            <w:pPr>
              <w:pStyle w:val="BodyText"/>
              <w:jc w:val="right"/>
            </w:pPr>
            <w:r w:rsidRPr="00DA121F">
              <w:t>-18%</w:t>
            </w:r>
          </w:p>
        </w:tc>
        <w:tc>
          <w:tcPr>
            <w:tcW w:w="903" w:type="dxa"/>
            <w:noWrap/>
            <w:vAlign w:val="center"/>
            <w:hideMark/>
          </w:tcPr>
          <w:p w:rsidR="00DA121F" w:rsidRPr="00DA121F" w:rsidRDefault="00DA121F" w:rsidP="002A6752">
            <w:pPr>
              <w:pStyle w:val="BodyText"/>
              <w:jc w:val="right"/>
              <w:rPr>
                <w:i/>
                <w:iCs/>
              </w:rPr>
            </w:pPr>
            <w:r w:rsidRPr="00DA121F">
              <w:rPr>
                <w:i/>
                <w:iCs/>
              </w:rPr>
              <w:t>-1%</w:t>
            </w:r>
          </w:p>
        </w:tc>
        <w:tc>
          <w:tcPr>
            <w:tcW w:w="1182" w:type="dxa"/>
            <w:shd w:val="pct10" w:color="auto" w:fill="auto"/>
            <w:noWrap/>
            <w:vAlign w:val="center"/>
            <w:hideMark/>
          </w:tcPr>
          <w:p w:rsidR="00DA121F" w:rsidRPr="00DA121F" w:rsidRDefault="00DA121F" w:rsidP="002A6752">
            <w:pPr>
              <w:pStyle w:val="BodyText"/>
              <w:jc w:val="right"/>
              <w:rPr>
                <w:i/>
                <w:iCs/>
              </w:rPr>
            </w:pPr>
            <w:r w:rsidRPr="00DA121F">
              <w:rPr>
                <w:i/>
                <w:iCs/>
              </w:rPr>
              <w:t> </w:t>
            </w:r>
          </w:p>
        </w:tc>
      </w:tr>
      <w:tr w:rsidR="00DA121F" w:rsidRPr="00DA121F" w:rsidTr="00D16F30">
        <w:trPr>
          <w:trHeight w:val="300"/>
          <w:jc w:val="center"/>
        </w:trPr>
        <w:tc>
          <w:tcPr>
            <w:tcW w:w="2500" w:type="dxa"/>
            <w:noWrap/>
            <w:vAlign w:val="center"/>
            <w:hideMark/>
          </w:tcPr>
          <w:p w:rsidR="00DA121F" w:rsidRPr="00DA121F" w:rsidRDefault="00DA121F" w:rsidP="00C8766C">
            <w:pPr>
              <w:pStyle w:val="TableRowLabels"/>
            </w:pPr>
            <w:r w:rsidRPr="00DA121F">
              <w:t>Avg. Annual Wage</w:t>
            </w:r>
          </w:p>
        </w:tc>
        <w:tc>
          <w:tcPr>
            <w:tcW w:w="663" w:type="dxa"/>
            <w:tcBorders>
              <w:bottom w:val="single" w:sz="4" w:space="0" w:color="auto"/>
            </w:tcBorders>
            <w:shd w:val="pct10" w:color="auto" w:fill="auto"/>
            <w:noWrap/>
            <w:vAlign w:val="center"/>
            <w:hideMark/>
          </w:tcPr>
          <w:p w:rsidR="00DA121F" w:rsidRPr="00DA121F" w:rsidRDefault="00DA121F" w:rsidP="002A6752">
            <w:pPr>
              <w:pStyle w:val="BodyText"/>
              <w:jc w:val="right"/>
            </w:pPr>
            <w:r w:rsidRPr="00DA121F">
              <w:t> </w:t>
            </w:r>
          </w:p>
        </w:tc>
        <w:tc>
          <w:tcPr>
            <w:tcW w:w="1191" w:type="dxa"/>
            <w:noWrap/>
            <w:vAlign w:val="center"/>
            <w:hideMark/>
          </w:tcPr>
          <w:p w:rsidR="00DA121F" w:rsidRPr="00DA121F" w:rsidRDefault="00DA121F" w:rsidP="002A6752">
            <w:pPr>
              <w:pStyle w:val="BodyText"/>
              <w:jc w:val="right"/>
            </w:pPr>
            <w:r w:rsidRPr="00DA121F">
              <w:t xml:space="preserve">$ 62,821 </w:t>
            </w:r>
          </w:p>
        </w:tc>
        <w:tc>
          <w:tcPr>
            <w:tcW w:w="1191" w:type="dxa"/>
            <w:noWrap/>
            <w:vAlign w:val="center"/>
            <w:hideMark/>
          </w:tcPr>
          <w:p w:rsidR="00DA121F" w:rsidRPr="00DA121F" w:rsidRDefault="00DA121F" w:rsidP="002A6752">
            <w:pPr>
              <w:pStyle w:val="BodyText"/>
              <w:jc w:val="right"/>
            </w:pPr>
            <w:r w:rsidRPr="00DA121F">
              <w:t xml:space="preserve">$ 61,048 </w:t>
            </w:r>
          </w:p>
        </w:tc>
        <w:tc>
          <w:tcPr>
            <w:tcW w:w="893" w:type="dxa"/>
            <w:noWrap/>
            <w:vAlign w:val="center"/>
            <w:hideMark/>
          </w:tcPr>
          <w:p w:rsidR="00DA121F" w:rsidRPr="00DA121F" w:rsidRDefault="00DA121F" w:rsidP="002A6752">
            <w:pPr>
              <w:pStyle w:val="BodyText"/>
              <w:jc w:val="right"/>
            </w:pPr>
            <w:r w:rsidRPr="00DA121F">
              <w:t>-3%</w:t>
            </w:r>
          </w:p>
        </w:tc>
        <w:tc>
          <w:tcPr>
            <w:tcW w:w="903" w:type="dxa"/>
            <w:tcBorders>
              <w:bottom w:val="single" w:sz="4" w:space="0" w:color="auto"/>
            </w:tcBorders>
            <w:noWrap/>
            <w:vAlign w:val="center"/>
            <w:hideMark/>
          </w:tcPr>
          <w:p w:rsidR="00DA121F" w:rsidRPr="00DA121F" w:rsidRDefault="00DA121F" w:rsidP="002A6752">
            <w:pPr>
              <w:pStyle w:val="BodyText"/>
              <w:jc w:val="right"/>
              <w:rPr>
                <w:i/>
                <w:iCs/>
              </w:rPr>
            </w:pPr>
            <w:r w:rsidRPr="00DA121F">
              <w:rPr>
                <w:i/>
                <w:iCs/>
              </w:rPr>
              <w:t>7%</w:t>
            </w:r>
          </w:p>
        </w:tc>
        <w:tc>
          <w:tcPr>
            <w:tcW w:w="1182" w:type="dxa"/>
            <w:noWrap/>
            <w:vAlign w:val="center"/>
            <w:hideMark/>
          </w:tcPr>
          <w:p w:rsidR="00DA121F" w:rsidRPr="00DA121F" w:rsidRDefault="00DA121F" w:rsidP="002A6752">
            <w:pPr>
              <w:pStyle w:val="BodyText"/>
              <w:jc w:val="right"/>
              <w:rPr>
                <w:i/>
                <w:iCs/>
              </w:rPr>
            </w:pPr>
            <w:r w:rsidRPr="00DA121F">
              <w:rPr>
                <w:i/>
                <w:iCs/>
              </w:rPr>
              <w:t>$ 54,165</w:t>
            </w:r>
          </w:p>
        </w:tc>
      </w:tr>
      <w:tr w:rsidR="00DA121F" w:rsidRPr="00DA121F" w:rsidTr="00D16F30">
        <w:trPr>
          <w:trHeight w:val="300"/>
          <w:jc w:val="center"/>
        </w:trPr>
        <w:tc>
          <w:tcPr>
            <w:tcW w:w="2500" w:type="dxa"/>
            <w:noWrap/>
            <w:vAlign w:val="center"/>
            <w:hideMark/>
          </w:tcPr>
          <w:p w:rsidR="00DA121F" w:rsidRPr="00DA121F" w:rsidRDefault="00DA121F" w:rsidP="00C8766C">
            <w:pPr>
              <w:pStyle w:val="TableRowLabels"/>
            </w:pPr>
            <w:r w:rsidRPr="00DA121F">
              <w:t>Avg. Business Size</w:t>
            </w:r>
          </w:p>
        </w:tc>
        <w:tc>
          <w:tcPr>
            <w:tcW w:w="663" w:type="dxa"/>
            <w:shd w:val="pct10" w:color="auto" w:fill="auto"/>
            <w:noWrap/>
            <w:vAlign w:val="center"/>
            <w:hideMark/>
          </w:tcPr>
          <w:p w:rsidR="00DA121F" w:rsidRPr="00DA121F" w:rsidRDefault="00DA121F" w:rsidP="002A6752">
            <w:pPr>
              <w:pStyle w:val="BodyText"/>
              <w:jc w:val="right"/>
            </w:pPr>
            <w:r w:rsidRPr="00DA121F">
              <w:t> </w:t>
            </w:r>
          </w:p>
        </w:tc>
        <w:tc>
          <w:tcPr>
            <w:tcW w:w="1191" w:type="dxa"/>
            <w:noWrap/>
            <w:vAlign w:val="center"/>
            <w:hideMark/>
          </w:tcPr>
          <w:p w:rsidR="00DA121F" w:rsidRPr="00DA121F" w:rsidRDefault="00DA121F" w:rsidP="002A6752">
            <w:pPr>
              <w:pStyle w:val="BodyText"/>
              <w:jc w:val="right"/>
            </w:pPr>
            <w:r w:rsidRPr="00DA121F">
              <w:t xml:space="preserve">1.5 </w:t>
            </w:r>
          </w:p>
        </w:tc>
        <w:tc>
          <w:tcPr>
            <w:tcW w:w="1191" w:type="dxa"/>
            <w:noWrap/>
            <w:vAlign w:val="center"/>
            <w:hideMark/>
          </w:tcPr>
          <w:p w:rsidR="00DA121F" w:rsidRPr="00DA121F" w:rsidRDefault="00DA121F" w:rsidP="002A6752">
            <w:pPr>
              <w:pStyle w:val="BodyText"/>
              <w:jc w:val="right"/>
            </w:pPr>
            <w:r w:rsidRPr="00DA121F">
              <w:t xml:space="preserve">2.1 </w:t>
            </w:r>
          </w:p>
        </w:tc>
        <w:tc>
          <w:tcPr>
            <w:tcW w:w="893" w:type="dxa"/>
            <w:noWrap/>
            <w:vAlign w:val="center"/>
            <w:hideMark/>
          </w:tcPr>
          <w:p w:rsidR="00DA121F" w:rsidRPr="00DA121F" w:rsidRDefault="00DA121F" w:rsidP="002A6752">
            <w:pPr>
              <w:pStyle w:val="BodyText"/>
              <w:jc w:val="right"/>
            </w:pPr>
            <w:r w:rsidRPr="00DA121F">
              <w:t>41%</w:t>
            </w:r>
          </w:p>
        </w:tc>
        <w:tc>
          <w:tcPr>
            <w:tcW w:w="903" w:type="dxa"/>
            <w:shd w:val="pct10" w:color="auto" w:fill="auto"/>
            <w:noWrap/>
            <w:vAlign w:val="center"/>
            <w:hideMark/>
          </w:tcPr>
          <w:p w:rsidR="00DA121F" w:rsidRPr="00DA121F" w:rsidRDefault="00DA121F" w:rsidP="002A6752">
            <w:pPr>
              <w:pStyle w:val="BodyText"/>
              <w:jc w:val="right"/>
              <w:rPr>
                <w:i/>
                <w:iCs/>
              </w:rPr>
            </w:pPr>
            <w:r w:rsidRPr="00DA121F">
              <w:rPr>
                <w:i/>
                <w:iCs/>
              </w:rPr>
              <w:t> </w:t>
            </w:r>
          </w:p>
        </w:tc>
        <w:tc>
          <w:tcPr>
            <w:tcW w:w="1182" w:type="dxa"/>
            <w:noWrap/>
            <w:vAlign w:val="center"/>
            <w:hideMark/>
          </w:tcPr>
          <w:p w:rsidR="00DA121F" w:rsidRPr="00DA121F" w:rsidRDefault="00DA121F" w:rsidP="002A6752">
            <w:pPr>
              <w:pStyle w:val="BodyText"/>
              <w:jc w:val="right"/>
              <w:rPr>
                <w:i/>
                <w:iCs/>
              </w:rPr>
            </w:pPr>
            <w:r w:rsidRPr="00DA121F">
              <w:rPr>
                <w:i/>
                <w:iCs/>
              </w:rPr>
              <w:t>5.6</w:t>
            </w:r>
          </w:p>
        </w:tc>
      </w:tr>
      <w:tr w:rsidR="00DA121F" w:rsidRPr="00DA121F" w:rsidTr="00472E7F">
        <w:trPr>
          <w:trHeight w:val="199"/>
          <w:jc w:val="center"/>
        </w:trPr>
        <w:tc>
          <w:tcPr>
            <w:tcW w:w="8523" w:type="dxa"/>
            <w:gridSpan w:val="7"/>
            <w:shd w:val="clear" w:color="auto" w:fill="215868" w:themeFill="accent5" w:themeFillShade="80"/>
            <w:noWrap/>
            <w:hideMark/>
          </w:tcPr>
          <w:p w:rsidR="00DA121F" w:rsidRPr="00DA121F" w:rsidRDefault="00DA121F" w:rsidP="00DA121F">
            <w:pPr>
              <w:pStyle w:val="BodyText"/>
            </w:pPr>
            <w:r w:rsidRPr="00DA121F">
              <w:t> </w:t>
            </w:r>
          </w:p>
        </w:tc>
      </w:tr>
    </w:tbl>
    <w:p w:rsidR="00DA121F" w:rsidRPr="00DA121F" w:rsidRDefault="00DA121F" w:rsidP="002A6752">
      <w:pPr>
        <w:pStyle w:val="BodyText"/>
        <w:spacing w:before="120"/>
      </w:pPr>
      <w:r w:rsidRPr="00DA121F">
        <w:t>Like businesses in professional and technical services, new wholesale trade businesses tended to be small, averaging one to two jobs per unit. At 51 percent, their survival rate was below the all-industry average for new businesses. This group recorded a net job loss of 18 percent, significantly higher than the wholesale trade industry as a whole. The average annual wage decreased by three percent to $61,048 but remained significantly higher than the 2012 industry average of $54,165.</w:t>
      </w:r>
    </w:p>
    <w:p w:rsidR="00C8766C" w:rsidRDefault="007A70AC" w:rsidP="00724928">
      <w:pPr>
        <w:jc w:val="center"/>
      </w:pPr>
      <w:r>
        <w:br w:type="page"/>
      </w:r>
      <w:r w:rsidR="0095435A" w:rsidRPr="00DA121F">
        <w:rPr>
          <w:rFonts w:ascii="Calibri" w:hAnsi="Calibri" w:cs="Tahoma"/>
          <w:noProof/>
        </w:rPr>
        <w:lastRenderedPageBreak/>
        <w:drawing>
          <wp:inline distT="0" distB="0" distL="0" distR="0" wp14:anchorId="5D1810F6" wp14:editId="7F4F8D92">
            <wp:extent cx="5367528" cy="5276088"/>
            <wp:effectExtent l="0" t="0" r="5080" b="1270"/>
            <wp:docPr id="23" name="Picture 5" descr="Industry: 2009 average wage, 2012 average wage, percent change&#10;Accommodation &amp; Food Services: $14,048, $16,259, 16%&#10;Admin. &amp; Waste Services: $27,446, $31,500, 15%&#10;Health &amp; Social Services: $24,528, $24,921, 2%&#10;Prof. &amp; Technical Services: $56,554, $62,845, 11%&#10;Retail Trade: $18,826, $20,318, 8%&#10;Wholesale Trade: $62,821, $61,048, -3%&#10;Average, All industries,: $27,220, $29,839, 10%&#10;Private Sector Average: $33,704, $38,029, 7%" title="Average Annual Wage by Industry, 2009 and 2012, and Percen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367528" cy="5276088"/>
                    </a:xfrm>
                    <a:prstGeom prst="rect">
                      <a:avLst/>
                    </a:prstGeom>
                  </pic:spPr>
                </pic:pic>
              </a:graphicData>
            </a:graphic>
          </wp:inline>
        </w:drawing>
      </w:r>
    </w:p>
    <w:p w:rsidR="00DA121F" w:rsidRPr="007A70AC" w:rsidRDefault="00DA121F" w:rsidP="007A70AC">
      <w:pPr>
        <w:pStyle w:val="Heading3"/>
      </w:pPr>
      <w:r w:rsidRPr="00DA121F">
        <w:t>Comparison of Average Annual Wages</w:t>
      </w:r>
    </w:p>
    <w:p w:rsidR="00DA121F" w:rsidRPr="00DA121F" w:rsidRDefault="00DA121F" w:rsidP="00DA121F">
      <w:pPr>
        <w:pStyle w:val="BodyText"/>
      </w:pPr>
      <w:r w:rsidRPr="00DA121F">
        <w:t>The average annual wage paid by new employers in all industries increased 10 percent between 2009 and 2012; however, at $29,839, it remained about 20 percent lower than the private sector average of $38,029 in 2012. A concentration of jobs in lower-wage industries had a dampening effect on the average wage for all industries</w:t>
      </w:r>
      <w:r w:rsidRPr="00DA121F" w:rsidDel="00A24A5F">
        <w:t xml:space="preserve">. </w:t>
      </w:r>
      <w:r w:rsidRPr="00DA121F">
        <w:t>Nearly half of new jobs were in retail trade and accommodation and food services, industries that have below-average wages. Jobs in these industries</w:t>
      </w:r>
      <w:r w:rsidRPr="00DA121F" w:rsidDel="00A24A5F">
        <w:t xml:space="preserve"> are often seasonal and/or part</w:t>
      </w:r>
      <w:r w:rsidRPr="00DA121F">
        <w:t xml:space="preserve"> </w:t>
      </w:r>
      <w:r w:rsidRPr="00DA121F" w:rsidDel="00A24A5F">
        <w:t>time and tend to be concentrated in the lower end of th</w:t>
      </w:r>
      <w:r w:rsidRPr="00DA121F">
        <w:t>e education and skill spectrums. Annual wages in key industries varied widely, ranging from about one half to more than two times the average for all industries.</w:t>
      </w:r>
    </w:p>
    <w:p w:rsidR="00DA121F" w:rsidRPr="00DA121F" w:rsidRDefault="00DA121F" w:rsidP="007A70AC">
      <w:pPr>
        <w:pStyle w:val="Heading3"/>
      </w:pPr>
      <w:r w:rsidRPr="00DA121F">
        <w:t>Other Industries of Note</w:t>
      </w:r>
    </w:p>
    <w:p w:rsidR="00DA121F" w:rsidRPr="00DA121F" w:rsidRDefault="00DA121F" w:rsidP="00DA121F">
      <w:pPr>
        <w:pStyle w:val="BodyText"/>
      </w:pPr>
      <w:r w:rsidRPr="00DA121F">
        <w:t>Sixty percent of new businesses in trade, transportation and warehousing (55 of 92) survived from 2008 to 2012, adding 51 jobs between 2009 and 2012, a gain of 33 percent. These businesses doubled in average size from nearly two to nearly four jobs per unit, and the average annual wage increased 4 percent to $35,108 in 2012.</w:t>
      </w:r>
      <w:r w:rsidR="00FF15C6">
        <w:t xml:space="preserve"> </w:t>
      </w:r>
    </w:p>
    <w:p w:rsidR="00DA121F" w:rsidRPr="00DA121F" w:rsidRDefault="00DA121F" w:rsidP="00DA121F">
      <w:pPr>
        <w:pStyle w:val="BodyText"/>
      </w:pPr>
      <w:r w:rsidRPr="00DA121F">
        <w:lastRenderedPageBreak/>
        <w:t>In manufacturing, 40 of 70 new businesses survived, adding net 31 jobs between 2009 and 2012, a growth rate of 12 percent. Average business size increased from four to about seven jobs per unit, and the average wage increased by 66 percent to $39,293 between 2009 and 2012.</w:t>
      </w:r>
    </w:p>
    <w:p w:rsidR="00DA121F" w:rsidRPr="00DA121F" w:rsidRDefault="00DA121F" w:rsidP="007A70AC">
      <w:pPr>
        <w:pStyle w:val="Heading2"/>
      </w:pPr>
      <w:r w:rsidRPr="00DA121F">
        <w:t>Geographical Distribution</w:t>
      </w:r>
    </w:p>
    <w:p w:rsidR="00DA121F" w:rsidRDefault="00DA121F" w:rsidP="00DA121F">
      <w:pPr>
        <w:pStyle w:val="BodyText"/>
      </w:pPr>
      <w:r w:rsidRPr="00DA121F">
        <w:t>Maine’s three metropolitan statistical areas (MSAs) surround the cities of Portland/South Portland, Lewiston/Auburn and Bangor. The MSAs are population, commercial, and service centers, while the regions outside the MSAs (the balance of state) encompass most of the state’s coastline and all of its interior lakes, mountains,</w:t>
      </w:r>
      <w:r w:rsidR="0095435A">
        <w:t xml:space="preserve"> and forests.</w:t>
      </w:r>
    </w:p>
    <w:p w:rsidR="0095435A" w:rsidRPr="00DA121F" w:rsidRDefault="0095435A" w:rsidP="0095435A">
      <w:pPr>
        <w:pStyle w:val="BodyText"/>
        <w:jc w:val="center"/>
      </w:pPr>
      <w:r w:rsidRPr="00DA121F">
        <w:rPr>
          <w:noProof/>
        </w:rPr>
        <mc:AlternateContent>
          <mc:Choice Requires="wpg">
            <w:drawing>
              <wp:inline distT="0" distB="0" distL="0" distR="0" wp14:anchorId="783FB7A2" wp14:editId="3F74C4C0">
                <wp:extent cx="5934456" cy="2770632"/>
                <wp:effectExtent l="0" t="0" r="9525" b="0"/>
                <wp:docPr id="6" name="Group 13" descr="Region: Survival 2008-2012, Jobs 2009, Jobs 2012, Share of Jobs&#10;MSAs: 58% survival, 3,544 jobs (2009), 3,681 jobs (2012), 50% of jobs (2009), 53% of jobs (2012).&#10;BOS: 54% survival, 3,622 jobs (2009), 3,221 jobs (2012), 50% jobs (2009), 47% jobs (2012).&#10;Maine: 56% survival" title="MSAs and BOS: Differences in Survival, Jobs growth and Distribution"/>
                <wp:cNvGraphicFramePr/>
                <a:graphic xmlns:a="http://schemas.openxmlformats.org/drawingml/2006/main">
                  <a:graphicData uri="http://schemas.microsoft.com/office/word/2010/wordprocessingGroup">
                    <wpg:wgp>
                      <wpg:cNvGrpSpPr/>
                      <wpg:grpSpPr>
                        <a:xfrm>
                          <a:off x="0" y="0"/>
                          <a:ext cx="5934456" cy="2770632"/>
                          <a:chOff x="0" y="-5293"/>
                          <a:chExt cx="5955708" cy="2770445"/>
                        </a:xfrm>
                      </wpg:grpSpPr>
                      <wpg:grpSp>
                        <wpg:cNvPr id="9" name="Group 9"/>
                        <wpg:cNvGrpSpPr/>
                        <wpg:grpSpPr>
                          <a:xfrm>
                            <a:off x="0" y="0"/>
                            <a:ext cx="4742813" cy="2753783"/>
                            <a:chOff x="0" y="0"/>
                            <a:chExt cx="4725567" cy="2753783"/>
                          </a:xfrm>
                        </wpg:grpSpPr>
                        <wpg:graphicFrame>
                          <wpg:cNvPr id="10" name="Chart 10"/>
                          <wpg:cNvFrPr/>
                          <wpg:xfrm>
                            <a:off x="0" y="10583"/>
                            <a:ext cx="2368794" cy="2743200"/>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11" name="Chart 11"/>
                          <wpg:cNvFrPr>
                            <a:graphicFrameLocks/>
                          </wpg:cNvFrPr>
                          <wpg:xfrm>
                            <a:off x="2356772" y="0"/>
                            <a:ext cx="2368795" cy="2743200"/>
                          </wpg:xfrm>
                          <a:graphic>
                            <a:graphicData uri="http://schemas.openxmlformats.org/drawingml/2006/chart">
                              <c:chart xmlns:c="http://schemas.openxmlformats.org/drawingml/2006/chart" xmlns:r="http://schemas.openxmlformats.org/officeDocument/2006/relationships" r:id="rId22"/>
                            </a:graphicData>
                          </a:graphic>
                        </wpg:graphicFrame>
                      </wpg:grpSp>
                      <wpg:grpSp>
                        <wpg:cNvPr id="12" name="Group 12"/>
                        <wpg:cNvGrpSpPr/>
                        <wpg:grpSpPr>
                          <a:xfrm>
                            <a:off x="4690042" y="-5293"/>
                            <a:ext cx="1265666" cy="2770445"/>
                            <a:chOff x="4690042" y="-5293"/>
                            <a:chExt cx="1265666" cy="2770445"/>
                          </a:xfrm>
                        </wpg:grpSpPr>
                        <wpg:graphicFrame>
                          <wpg:cNvPr id="13" name="Chart 13"/>
                          <wpg:cNvFrPr>
                            <a:graphicFrameLocks noChangeAspect="1"/>
                          </wpg:cNvFrPr>
                          <wpg:xfrm>
                            <a:off x="4709710" y="313803"/>
                            <a:ext cx="1209766" cy="1201771"/>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14" name="Chart 14"/>
                          <wpg:cNvFrPr>
                            <a:graphicFrameLocks noChangeAspect="1"/>
                          </wpg:cNvFrPr>
                          <wpg:xfrm>
                            <a:off x="4690533" y="1563381"/>
                            <a:ext cx="1209767" cy="1201771"/>
                          </wpg:xfrm>
                          <a:graphic>
                            <a:graphicData uri="http://schemas.openxmlformats.org/drawingml/2006/chart">
                              <c:chart xmlns:c="http://schemas.openxmlformats.org/drawingml/2006/chart" xmlns:r="http://schemas.openxmlformats.org/officeDocument/2006/relationships" r:id="rId24"/>
                            </a:graphicData>
                          </a:graphic>
                        </wpg:graphicFrame>
                        <wps:wsp>
                          <wps:cNvPr id="15" name="TextBox 23"/>
                          <wps:cNvSpPr txBox="1"/>
                          <wps:spPr>
                            <a:xfrm>
                              <a:off x="4690042" y="-5293"/>
                              <a:ext cx="1265666" cy="31902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5435A" w:rsidRPr="00A35509" w:rsidRDefault="0095435A" w:rsidP="0095435A">
                                <w:pPr>
                                  <w:pStyle w:val="NormalWeb"/>
                                  <w:spacing w:before="0" w:beforeAutospacing="0" w:after="0" w:afterAutospacing="0"/>
                                  <w:rPr>
                                    <w:sz w:val="26"/>
                                    <w:szCs w:val="26"/>
                                  </w:rPr>
                                </w:pPr>
                                <w:r w:rsidRPr="00A35509">
                                  <w:rPr>
                                    <w:rFonts w:asciiTheme="minorHAnsi" w:hAnsi="Calibri" w:cstheme="minorBidi"/>
                                    <w:i/>
                                    <w:iCs/>
                                    <w:color w:val="000000" w:themeColor="dark1"/>
                                    <w:sz w:val="26"/>
                                    <w:szCs w:val="26"/>
                                  </w:rPr>
                                  <w:t>Share of jobs</w:t>
                                </w:r>
                              </w:p>
                            </w:txbxContent>
                          </wps:txbx>
                          <wps:bodyPr wrap="square" rtlCol="0" anchor="ctr"/>
                        </wps:wsp>
                      </wpg:grpSp>
                    </wpg:wgp>
                  </a:graphicData>
                </a:graphic>
              </wp:inline>
            </w:drawing>
          </mc:Choice>
          <mc:Fallback>
            <w:pict>
              <v:group id="Group 13" o:spid="_x0000_s1026" alt="Title: MSAs and BOS: Differences in Survival, Jobs growth and Distribution - Description: Region: Survival 2008-2012, Jobs 2009, Jobs 2012, Share of Jobs&#10;MSAs: 58% survival, 3,544 jobs (2009), 3,681 jobs (2012), 50% of jobs (2009), 53% of jobs (2012).&#10;BOS: 54% survival, 3,622 jobs (2009), 3,221 jobs (2012), 50% jobs (2009), 47% jobs (2012).&#10;Maine: 56% survival" style="width:467.3pt;height:218.15pt;mso-position-horizontal-relative:char;mso-position-vertical-relative:line" coordorigin=",-52" coordsize="59557,27704" o:gfxdata="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">
                <v:group id="Group 9" o:spid="_x0000_s1027" style="position:absolute;width:47428;height:27537" coordsize="47255,2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Chart 10" o:spid="_x0000_s1028" type="#_x0000_t75" style="position:absolute;top:68;width:23711;height:274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">
                    <v:imagedata r:id="rId25" o:title=""/>
                    <o:lock v:ext="edit" aspectratio="f"/>
                  </v:shape>
                  <v:shape id="Chart 11" o:spid="_x0000_s1029" type="#_x0000_t75" style="position:absolute;left:23589;top:-52;width:23651;height:274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">
                    <v:imagedata r:id="rId26" o:title=""/>
                    <o:lock v:ext="edit" aspectratio="f"/>
                  </v:shape>
                </v:group>
                <v:group id="Group 12" o:spid="_x0000_s1030" style="position:absolute;left:46900;top:-52;width:12657;height:27703" coordorigin="46900,-52" coordsize="12656,27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Chart 13" o:spid="_x0000_s1031" type="#_x0000_t75" style="position:absolute;left:47046;top:3116;width:12174;height:120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">
                    <v:imagedata r:id="rId27" o:title=""/>
                  </v:shape>
                  <v:shape id="Chart 14" o:spid="_x0000_s1032" type="#_x0000_t75" style="position:absolute;left:46862;top:15612;width:12113;height:120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">
                    <v:imagedata r:id="rId28" o:title=""/>
                  </v:shape>
                  <v:shapetype id="_x0000_t202" coordsize="21600,21600" o:spt="202" path="m,l,21600r21600,l21600,xe">
                    <v:stroke joinstyle="miter"/>
                    <v:path gradientshapeok="t" o:connecttype="rect"/>
                  </v:shapetype>
                  <v:shape id="TextBox 23" o:spid="_x0000_s1033" type="#_x0000_t202" style="position:absolute;left:46900;top:-52;width:12657;height:3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TacEA&#10;AADbAAAADwAAAGRycy9kb3ducmV2LnhtbERPTUsDMRC9C/6HMEJvNmvpWlmbFhECvdp66W3czG5W&#10;N5PtJu2m/94IQm/zeJ+z3ibXiwuNofOs4GlegCCuvem4VfB50I8vIEJENth7JgVXCrDd3N+tsTJ+&#10;4g+67GMrcgiHChXYGIdKylBbchjmfiDOXONHhzHDsZVmxCmHu14uiuJZOuw4N1gc6N1S/bM/OwVn&#10;d/reraz+OjVlM5XHZdJaJ6VmD+ntFUSkFG/if/fO5Pkl/P2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02nBAAAA2wAAAA8AAAAAAAAAAAAAAAAAmAIAAGRycy9kb3du&#10;cmV2LnhtbFBLBQYAAAAABAAEAPUAAACGAwAAAAA=&#10;" fillcolor="white [3201]" stroked="f">
                    <v:textbox>
                      <w:txbxContent>
                        <w:p w:rsidR="0095435A" w:rsidRPr="00A35509" w:rsidRDefault="0095435A" w:rsidP="0095435A">
                          <w:pPr>
                            <w:pStyle w:val="NormalWeb"/>
                            <w:spacing w:before="0" w:beforeAutospacing="0" w:after="0" w:afterAutospacing="0"/>
                            <w:rPr>
                              <w:sz w:val="26"/>
                              <w:szCs w:val="26"/>
                            </w:rPr>
                          </w:pPr>
                          <w:r w:rsidRPr="00A35509">
                            <w:rPr>
                              <w:rFonts w:asciiTheme="minorHAnsi" w:hAnsi="Calibri" w:cstheme="minorBidi"/>
                              <w:i/>
                              <w:iCs/>
                              <w:color w:val="000000" w:themeColor="dark1"/>
                              <w:sz w:val="26"/>
                              <w:szCs w:val="26"/>
                            </w:rPr>
                            <w:t>Share of jobs</w:t>
                          </w:r>
                        </w:p>
                      </w:txbxContent>
                    </v:textbox>
                  </v:shape>
                </v:group>
                <w10:anchorlock/>
              </v:group>
            </w:pict>
          </mc:Fallback>
        </mc:AlternateContent>
      </w:r>
    </w:p>
    <w:p w:rsidR="00DA121F" w:rsidRPr="00DA121F" w:rsidRDefault="00DA121F" w:rsidP="007A70AC">
      <w:pPr>
        <w:pStyle w:val="BodyText"/>
        <w:spacing w:before="240"/>
      </w:pPr>
      <w:r w:rsidRPr="00DA121F">
        <w:t>In 2008, about 44 percent of private businesses and 53 percent of private sector wage and salary jobs were located in MSAs. The distribution of new businesses and jobs was similar to the private sector as a whole: 45 percent of new business units opened in MSAs, and, in 2009, jobs were evenly distributed between locations in MSAs and in the balance of state (BOS).</w:t>
      </w:r>
    </w:p>
    <w:p w:rsidR="00DA121F" w:rsidRPr="00DA121F" w:rsidRDefault="00DA121F" w:rsidP="00DA121F">
      <w:pPr>
        <w:pStyle w:val="BodyText"/>
      </w:pPr>
      <w:r w:rsidRPr="00DA121F">
        <w:t>Between 2008 and 2012, differences in new business survival and net job growth reflect an ongoing concentration of employment in the MSAs. New businesses in MSAs survived at higher rates than those in the balance of state. In addition, new businesses in MSAs recorded a net job gain between 2009 and 2012, offsetting a net job lo</w:t>
      </w:r>
      <w:r w:rsidR="00D16F30">
        <w:t>ss in the balance of state</w:t>
      </w:r>
      <w:r w:rsidRPr="00DA121F">
        <w:t xml:space="preserve">. </w:t>
      </w:r>
    </w:p>
    <w:p w:rsidR="00DA121F" w:rsidRPr="00DA121F" w:rsidRDefault="00DA121F" w:rsidP="007A70AC">
      <w:pPr>
        <w:pStyle w:val="Heading3"/>
      </w:pPr>
      <w:r w:rsidRPr="00DA121F">
        <w:t>Geographical Differences in Key Industries</w:t>
      </w:r>
    </w:p>
    <w:p w:rsidR="00DA121F" w:rsidRDefault="00DA121F" w:rsidP="00DA121F">
      <w:pPr>
        <w:pStyle w:val="BodyText"/>
      </w:pPr>
      <w:r w:rsidRPr="00DA121F">
        <w:t>In most key industries, survival rates were several points higher in MSAs than in the balance of state. In accommodation and</w:t>
      </w:r>
      <w:r w:rsidR="00D16F30">
        <w:t xml:space="preserve"> food services, the</w:t>
      </w:r>
      <w:r w:rsidRPr="00DA121F">
        <w:t xml:space="preserve"> variance was most pronounced: two thirds of those located in MSAs survived, compared to one half of those in the balance of state. Health and social services was the only key industry in which the survival rate was higher outside MSAs (68%) than in MSAs (62%). </w:t>
      </w:r>
    </w:p>
    <w:p w:rsidR="0095435A" w:rsidRPr="00DA121F" w:rsidRDefault="0095435A" w:rsidP="0095435A">
      <w:pPr>
        <w:pStyle w:val="BodyText"/>
        <w:jc w:val="center"/>
      </w:pPr>
      <w:r>
        <w:rPr>
          <w:noProof/>
        </w:rPr>
        <w:lastRenderedPageBreak/>
        <w:drawing>
          <wp:inline distT="0" distB="0" distL="0" distR="0" wp14:anchorId="530EBA2D" wp14:editId="77092444">
            <wp:extent cx="5934456" cy="5495544"/>
            <wp:effectExtent l="0" t="0" r="9525" b="0"/>
            <wp:docPr id="20" name="Picture 20" descr="Units 2008-2012:&#10;Accomm. &amp; Food Services: MSAs -27 units, 67% survival&#10;BOS -56 units, 51% survival&#10;Admin &amp; Waste Services: MSAs -54 units, 54% survival; BOS -69 units 49% survival&#10;Health &amp; Soc. Services: -36 units, 62% survival; BOS -37 units, 38% survival&#10;Prof. &amp; Tech. Services: -110 units, 53% survival; BOS -119 units, 48% survival&#10;Retail Trade: MSAs -39 units, 69% survival; BOS -45 units, 67% survival&#10;Wholesale Trade: MSAs -44 units, 53% survival; BOS -81 units, 50% survival&#10;&#10;Net and percent change in jobs, 2009-2012&#10;Accomm. &amp; Food Services: MSAs -45 jobs, -5%l&#10;BOS -33 jobs, -5%&#10;Admin &amp; Waste Services: MSAs +13 jobs, 4%; BOS -201 jobs, -42%l&#10;Health &amp; Soc. Services: MSAs +79 jobs, 26%; BOS -32 jobs, -8%&#10;Prof. &amp; Tech. Services: MSAs +86 jobs, 27%; BOS -94 jobs, -32%&#10;Retail Trade: MSAs +18 jobs, 2%; BOS +21 jobs, 3%&#10;Wholesale Trade: MSAs -4 jobs, -3%l; BOS -60 jobs, -30%&#10;&#10;" title="MSAs and BOS - Net change in units and jobs by key indu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456" cy="5495544"/>
                    </a:xfrm>
                    <a:prstGeom prst="rect">
                      <a:avLst/>
                    </a:prstGeom>
                    <a:noFill/>
                  </pic:spPr>
                </pic:pic>
              </a:graphicData>
            </a:graphic>
          </wp:inline>
        </w:drawing>
      </w:r>
    </w:p>
    <w:p w:rsidR="00DA121F" w:rsidRPr="00DA121F" w:rsidRDefault="00DA121F" w:rsidP="00DA121F">
      <w:pPr>
        <w:pStyle w:val="BodyText"/>
      </w:pPr>
      <w:r w:rsidRPr="00DA121F">
        <w:t>While variations in survival were relatively small, job gains or losses by industry varied more widely by location. In MSAs, job gains were concentrated in health and social services and in professional and technical services; these businesses saw net job growth of 26 and 27 percent, respectively. In the balance of state, net job losses occurred in all key industries except retail trade, with the largest losses concentrated in administrative and waste services and professional and technical services.</w:t>
      </w:r>
    </w:p>
    <w:p w:rsidR="00DA121F" w:rsidRPr="00DA121F" w:rsidRDefault="00DA121F" w:rsidP="0095435A">
      <w:pPr>
        <w:pStyle w:val="Heading2"/>
      </w:pPr>
      <w:r w:rsidRPr="00DA121F">
        <w:t>Impact on Maine’s Private Sector</w:t>
      </w:r>
    </w:p>
    <w:p w:rsidR="00DA121F" w:rsidRPr="00DA121F" w:rsidRDefault="00DA121F" w:rsidP="00DA121F">
      <w:pPr>
        <w:pStyle w:val="BodyText"/>
      </w:pPr>
      <w:r w:rsidRPr="00DA121F">
        <w:t xml:space="preserve">The </w:t>
      </w:r>
      <w:r w:rsidR="0095435A">
        <w:t>following table</w:t>
      </w:r>
      <w:r w:rsidRPr="00DA121F">
        <w:t xml:space="preserve"> shows jobs and payroll of new businesses and the private sector (excluding construction, membership organizations and private households) from 2007 through 2012. These years include the </w:t>
      </w:r>
      <w:proofErr w:type="spellStart"/>
      <w:r w:rsidRPr="00DA121F">
        <w:t>the</w:t>
      </w:r>
      <w:proofErr w:type="spellEnd"/>
      <w:r w:rsidRPr="00DA121F">
        <w:t xml:space="preserve"> Great Recession (December 2007 to June 2009). In Maine, the effects of the recession were not widely experienced until late 2008 when job losses at existing businesses began to mount; net job losses preceded a decline in annual payroll. </w:t>
      </w:r>
    </w:p>
    <w:p w:rsidR="00DA121F" w:rsidRPr="00DA121F" w:rsidRDefault="00DA121F" w:rsidP="0095435A">
      <w:pPr>
        <w:pStyle w:val="BodyText"/>
        <w:jc w:val="center"/>
      </w:pPr>
      <w:r w:rsidRPr="00DA121F">
        <w:rPr>
          <w:noProof/>
        </w:rPr>
        <w:lastRenderedPageBreak/>
        <w:drawing>
          <wp:inline distT="0" distB="0" distL="0" distR="0">
            <wp:extent cx="5942986" cy="2459736"/>
            <wp:effectExtent l="0" t="0" r="635" b="0"/>
            <wp:docPr id="42" name="Picture 2" descr="Data available in excel spreadsheet upon request from CWRI.DOL@Maine.gov &#10;Ask for 2008-2012 New Business Impact on Private Sector table data.&#10;" title="Jobs and Annual Payroll 2007-2012, Private Sector and New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2986" cy="2459736"/>
                    </a:xfrm>
                    <a:prstGeom prst="rect">
                      <a:avLst/>
                    </a:prstGeom>
                    <a:noFill/>
                    <a:extLst/>
                  </pic:spPr>
                </pic:pic>
              </a:graphicData>
            </a:graphic>
          </wp:inline>
        </w:drawing>
      </w:r>
    </w:p>
    <w:p w:rsidR="00DA121F" w:rsidRPr="00DA121F" w:rsidRDefault="00DA121F" w:rsidP="00DA121F">
      <w:pPr>
        <w:pStyle w:val="BodyText"/>
      </w:pPr>
      <w:r w:rsidRPr="00DA121F">
        <w:t xml:space="preserve">In 2008, a gain of 4,400 jobs at new businesses offset a loss of 3,200 jobs at existing businesses, resulting in a net gain of 1,200 private sector jobs. Wages added by new businesses comprised one fifth of the total increase in private payroll in 2008, a disproportionately large contribution. </w:t>
      </w:r>
    </w:p>
    <w:p w:rsidR="00DA121F" w:rsidRPr="00DA121F" w:rsidRDefault="00DA121F" w:rsidP="00DA121F">
      <w:pPr>
        <w:pStyle w:val="BodyText"/>
      </w:pPr>
      <w:r w:rsidRPr="00DA121F">
        <w:t xml:space="preserve">In 2009, new businesses added 2,800 jobs and $74 million in payroll during a year when the private sector as a whole shed 15,500 jobs and $462 in payroll. Between 2010 and 2012, new businesses lagged behind the private sector in job retention and creation, with higher losses in 2010 and slower growth in 2011 and 2012. Growth in payroll also fell behind the private sector as a whole. </w:t>
      </w:r>
    </w:p>
    <w:p w:rsidR="00DA121F" w:rsidRPr="00DA121F" w:rsidRDefault="00DA121F" w:rsidP="00DA121F">
      <w:pPr>
        <w:pStyle w:val="BodyText"/>
      </w:pPr>
      <w:r w:rsidRPr="00DA121F">
        <w:t xml:space="preserve">Overall, the greatest impact on Maine’s private sector occurred during 2008 and 2009, when newly created jobs offset losses at other private businesses and tempered over-the-year losses by a percentage point. From 2010 through 2012, the net impact of new business employment and wages on total private sector was negligible. </w:t>
      </w:r>
    </w:p>
    <w:p w:rsidR="00DA121F" w:rsidRPr="00DA121F" w:rsidRDefault="00DA121F" w:rsidP="007A70AC">
      <w:pPr>
        <w:pStyle w:val="Heading2"/>
      </w:pPr>
      <w:r w:rsidRPr="00DA121F">
        <w:t>Summary of Findings</w:t>
      </w:r>
    </w:p>
    <w:p w:rsidR="00DA121F" w:rsidRPr="00DA121F" w:rsidRDefault="00DA121F" w:rsidP="00DA121F">
      <w:pPr>
        <w:pStyle w:val="BodyText"/>
      </w:pPr>
      <w:r w:rsidRPr="00DA121F">
        <w:t>Data from the initial four years of employment for businesses started in 2008 indicate decreasing rates of attrition over time; the longer a business survived the greater likelihood of continued survival. Surviving businesses added jobs and increased wages at higher rates than the private sector as a whole, yet after four years new businesses in most industries had fewer jobs per unit and paid lower wages than the average private sector business.</w:t>
      </w:r>
    </w:p>
    <w:p w:rsidR="00DA121F" w:rsidRPr="00DA121F" w:rsidRDefault="00DA121F" w:rsidP="00DA121F">
      <w:pPr>
        <w:pStyle w:val="BodyText"/>
      </w:pPr>
      <w:r w:rsidRPr="00DA121F">
        <w:t>Distribution of business units and employment by industry remained little changed between 2008 and 2012. The largest shares of jobs were created in two industries: accommodation and food services and retail trade. These businesses were comparatively large, they paid the lowest wages among key industries, and they survived from 2008 to 2012 at an above average rate.</w:t>
      </w:r>
    </w:p>
    <w:p w:rsidR="00DA121F" w:rsidRPr="00DA121F" w:rsidRDefault="00DA121F" w:rsidP="00DA121F">
      <w:pPr>
        <w:pStyle w:val="BodyText"/>
      </w:pPr>
      <w:r w:rsidRPr="00DA121F">
        <w:t>In contrast, new businesses in professional and technical services and in wholesale trade were more numerous with fewer jobs per unit; they paid the highest wages among key industries. These businesses survived at a below-average rate.</w:t>
      </w:r>
    </w:p>
    <w:p w:rsidR="00DA121F" w:rsidRPr="00DA121F" w:rsidRDefault="00DA121F" w:rsidP="00DA121F">
      <w:pPr>
        <w:pStyle w:val="BodyText"/>
      </w:pPr>
      <w:r w:rsidRPr="00DA121F">
        <w:t>New businesses in health and social services recorded the highest job-growth rate and a relatively high survival rate. The average wage changed little between 2009 and 2012 and remained below the all-industries average for new businesses and significantly below the industry average.</w:t>
      </w:r>
    </w:p>
    <w:p w:rsidR="00DA121F" w:rsidRPr="00DA121F" w:rsidRDefault="00DA121F" w:rsidP="00DA121F">
      <w:pPr>
        <w:pStyle w:val="BodyText"/>
      </w:pPr>
      <w:r w:rsidRPr="00DA121F">
        <w:lastRenderedPageBreak/>
        <w:t>New businesses in Maine’s metropolitan statistical areas survived at comparatively high rates and showed a net increase in jobs. New businesses outside the metropolitan areas were less likely to survive and recorded a net job loss. Th</w:t>
      </w:r>
      <w:r w:rsidR="00D16F30">
        <w:t>e disparity between</w:t>
      </w:r>
      <w:r w:rsidRPr="00DA121F">
        <w:t xml:space="preserve"> regions is likely related to greater seasonality of local economies</w:t>
      </w:r>
      <w:r w:rsidR="00D16F30">
        <w:t xml:space="preserve"> outside MSAs</w:t>
      </w:r>
      <w:r w:rsidRPr="00DA121F">
        <w:t xml:space="preserve"> which are more dependent on resource- and tourism-based commerce.</w:t>
      </w:r>
    </w:p>
    <w:p w:rsidR="00C76170" w:rsidRDefault="00DA121F" w:rsidP="00DA121F">
      <w:pPr>
        <w:pStyle w:val="BodyText"/>
      </w:pPr>
      <w:r w:rsidRPr="00DA121F">
        <w:t>The data support the characterization of new businesses as like a wave on the shore</w:t>
      </w:r>
      <w:r w:rsidR="00C76170" w:rsidRPr="00DA121F">
        <w:rPr>
          <w:vertAlign w:val="superscript"/>
        </w:rPr>
        <w:footnoteReference w:id="2"/>
      </w:r>
      <w:r w:rsidR="00C76170" w:rsidRPr="00DA121F">
        <w:t>,</w:t>
      </w:r>
      <w:r w:rsidRPr="00DA121F">
        <w:t xml:space="preserve"> delivering an initial surge of new jobs and wages accompanied by high levels of churn – job creation and destruction. Net growth and its effect on the larger economy ebb as one year’s “wave” is succeeded by another. After this cohort of new businesses in 2008, subsequent cohorts debuted: in 2009, 2,143 new businesses, in 2010, 2,316 new businesses, each group buoying the private sector with an infusion of new jobs and wages. </w:t>
      </w:r>
    </w:p>
    <w:p w:rsidR="00C76170" w:rsidRPr="00C76170" w:rsidRDefault="00C76170" w:rsidP="002E77F3">
      <w:pPr>
        <w:pStyle w:val="Heading1"/>
        <w:spacing w:before="480" w:after="240"/>
      </w:pPr>
      <w:r>
        <w:br w:type="page"/>
      </w:r>
      <w:r w:rsidRPr="00C76170">
        <w:lastRenderedPageBreak/>
        <w:t xml:space="preserve">Appendix </w:t>
      </w:r>
    </w:p>
    <w:p w:rsidR="00C76170" w:rsidRPr="00C76170" w:rsidRDefault="00C76170" w:rsidP="00C76170">
      <w:pPr>
        <w:pStyle w:val="Heading2"/>
      </w:pPr>
      <w:r w:rsidRPr="00C76170">
        <w:t xml:space="preserve">Data Source </w:t>
      </w:r>
    </w:p>
    <w:p w:rsidR="006B5966" w:rsidRPr="00C76170" w:rsidRDefault="00D16F30" w:rsidP="006B5966">
      <w:pPr>
        <w:pStyle w:val="BodyText"/>
      </w:pPr>
      <w:r>
        <w:t>Data for this project are</w:t>
      </w:r>
      <w:r w:rsidR="00C76170" w:rsidRPr="00C76170">
        <w:t xml:space="preserve"> extracted from the Quarterly Census of Employment and Wages (QCEW), a cooperative program between state workforce agencies and the U.S. Bureau o</w:t>
      </w:r>
      <w:r w:rsidR="00985100">
        <w:t>f Labor Statistics (BLS). D</w:t>
      </w:r>
      <w:r w:rsidR="00C76170" w:rsidRPr="00C76170">
        <w:t>ata are derived from state unemployment insurance (UI) tax reports of quarterly employer c</w:t>
      </w:r>
      <w:r w:rsidR="00985100">
        <w:t>ontributions. Additional data are</w:t>
      </w:r>
      <w:r w:rsidR="00C76170" w:rsidRPr="00C76170">
        <w:t xml:space="preserve"> collected</w:t>
      </w:r>
      <w:r w:rsidR="006F72F3">
        <w:t xml:space="preserve"> directly from employers. E</w:t>
      </w:r>
      <w:r w:rsidR="00C76170" w:rsidRPr="00C76170">
        <w:t>ach</w:t>
      </w:r>
      <w:r w:rsidR="00985100">
        <w:t xml:space="preserve"> employer</w:t>
      </w:r>
      <w:r w:rsidR="00C76170" w:rsidRPr="00C76170">
        <w:t xml:space="preserve"> record specifies industry designation, ownership, location, and links to other employers by using wage records. </w:t>
      </w:r>
      <w:r w:rsidR="006B5966" w:rsidRPr="00C76170">
        <w:t>When a new QCEW record can be linked by wage records or other means to a pre-existing account it is not considered to be a new business.</w:t>
      </w:r>
    </w:p>
    <w:p w:rsidR="00C76170" w:rsidRPr="00C76170" w:rsidRDefault="00985100" w:rsidP="00C76170">
      <w:pPr>
        <w:pStyle w:val="BodyText"/>
      </w:pPr>
      <w:r>
        <w:t>QCEW employment data</w:t>
      </w:r>
      <w:r w:rsidR="00C76170" w:rsidRPr="00C76170">
        <w:t xml:space="preserve"> are limited to those workers covered by the state unemployment insurance (UI) laws. BLS estimates that cover</w:t>
      </w:r>
      <w:r w:rsidR="004F492C">
        <w:t>ed workers account for about 97 percent</w:t>
      </w:r>
      <w:r w:rsidR="00C76170" w:rsidRPr="00C76170">
        <w:t xml:space="preserve"> of total non-farm employment nationwide. QCEW, therefore, provides a comprehensive and detailed record of employment, against which other workforce programs are benchmarked. In Maine, QCEW contains nearly 50,000 records of worksites with covered employees. </w:t>
      </w:r>
    </w:p>
    <w:p w:rsidR="008027F0" w:rsidRDefault="00C76170" w:rsidP="00C76170">
      <w:pPr>
        <w:pStyle w:val="BodyText"/>
      </w:pPr>
      <w:r w:rsidRPr="00C76170">
        <w:t xml:space="preserve">In most cases, the start and end dates of the QCEW record serve as proxies for the open and close of business. For these businesses, the interval between start and end dates marks the duration of survival; a business is counted as surviving until an end date is assigned and its record is closed in QCEW. </w:t>
      </w:r>
    </w:p>
    <w:p w:rsidR="00C76170" w:rsidRPr="00C76170" w:rsidRDefault="00D576AD" w:rsidP="00C76170">
      <w:pPr>
        <w:pStyle w:val="BodyText"/>
      </w:pPr>
      <w:r w:rsidRPr="00C76170">
        <w:t xml:space="preserve">The reports that are the basis for QCEW data are primarily used for unemployment insurance tax purposes. </w:t>
      </w:r>
      <w:r w:rsidR="00F95FE8">
        <w:t>In some instances,</w:t>
      </w:r>
      <w:r w:rsidRPr="00C76170">
        <w:t xml:space="preserve"> date</w:t>
      </w:r>
      <w:r w:rsidR="00985100">
        <w:t>s applied for tax</w:t>
      </w:r>
      <w:r w:rsidR="00F95FE8">
        <w:t xml:space="preserve"> purposes </w:t>
      </w:r>
      <w:r w:rsidR="00BB251B">
        <w:t>are poor proxies for start and</w:t>
      </w:r>
      <w:r w:rsidR="002B3021">
        <w:t xml:space="preserve"> end of business</w:t>
      </w:r>
      <w:r w:rsidRPr="00C76170">
        <w:t>.</w:t>
      </w:r>
      <w:r w:rsidR="000A7ECD">
        <w:t xml:space="preserve"> T</w:t>
      </w:r>
      <w:r w:rsidR="002A5C8A">
        <w:t>he</w:t>
      </w:r>
      <w:r w:rsidRPr="00C76170">
        <w:t xml:space="preserve"> end of tax l</w:t>
      </w:r>
      <w:r w:rsidR="000A7ECD">
        <w:t>iability</w:t>
      </w:r>
      <w:r w:rsidRPr="00C76170">
        <w:t xml:space="preserve"> may extend well beyond the end of emplo</w:t>
      </w:r>
      <w:r w:rsidR="002A5C8A">
        <w:t>yment activity; end dates are sometimes</w:t>
      </w:r>
      <w:r w:rsidRPr="00C76170">
        <w:t xml:space="preserve"> applied retroactively upon resolution of tax-related i</w:t>
      </w:r>
      <w:r w:rsidR="002A5C8A">
        <w:t>ssues, or en masse to close a group of</w:t>
      </w:r>
      <w:r w:rsidRPr="00C76170">
        <w:t xml:space="preserve"> old non-reporting accounts.</w:t>
      </w:r>
      <w:r w:rsidR="00CD69FD">
        <w:t xml:space="preserve"> To the extent possible, weaknesses or inconsistencies </w:t>
      </w:r>
      <w:r w:rsidR="007E55DF">
        <w:t>in the data are identified</w:t>
      </w:r>
      <w:r w:rsidR="00CD69FD">
        <w:t xml:space="preserve"> and </w:t>
      </w:r>
      <w:r w:rsidR="007E55DF">
        <w:t>address</w:t>
      </w:r>
      <w:r w:rsidR="00CD69FD">
        <w:t xml:space="preserve">ed during </w:t>
      </w:r>
      <w:r w:rsidR="007E55DF">
        <w:t>data preparation and individual record review.</w:t>
      </w:r>
    </w:p>
    <w:p w:rsidR="00C76170" w:rsidRPr="00C76170" w:rsidRDefault="002A5C8A" w:rsidP="00C76170">
      <w:pPr>
        <w:pStyle w:val="Heading2"/>
      </w:pPr>
      <w:r>
        <w:t>Preparing Data</w:t>
      </w:r>
      <w:r w:rsidR="00C76170" w:rsidRPr="00C76170">
        <w:t xml:space="preserve"> for Analysis </w:t>
      </w:r>
    </w:p>
    <w:p w:rsidR="00C76170" w:rsidRPr="00C76170" w:rsidRDefault="00C76170" w:rsidP="00C76170">
      <w:pPr>
        <w:pStyle w:val="BodyText"/>
      </w:pPr>
      <w:r w:rsidRPr="00C76170">
        <w:t xml:space="preserve">The initial extract of QCEW records employs the following criteria: </w:t>
      </w:r>
    </w:p>
    <w:p w:rsidR="00C76170" w:rsidRPr="00C76170" w:rsidRDefault="00C76170" w:rsidP="00FF31BB">
      <w:pPr>
        <w:pStyle w:val="BodyText"/>
        <w:numPr>
          <w:ilvl w:val="0"/>
          <w:numId w:val="22"/>
        </w:numPr>
      </w:pPr>
      <w:r w:rsidRPr="00FF31BB">
        <w:rPr>
          <w:b/>
          <w:bCs/>
        </w:rPr>
        <w:t>Private ownershi</w:t>
      </w:r>
      <w:r w:rsidR="00F86FBF">
        <w:rPr>
          <w:b/>
          <w:bCs/>
        </w:rPr>
        <w:t>p.</w:t>
      </w:r>
      <w:r w:rsidRPr="00C76170">
        <w:rPr>
          <w:i/>
          <w:iCs/>
        </w:rPr>
        <w:t xml:space="preserve"> </w:t>
      </w:r>
      <w:r w:rsidRPr="00C76170">
        <w:t xml:space="preserve">This study examines only private sector businesses. </w:t>
      </w:r>
    </w:p>
    <w:p w:rsidR="00C76170" w:rsidRDefault="00C76170" w:rsidP="00FF31BB">
      <w:pPr>
        <w:pStyle w:val="BodyText"/>
        <w:numPr>
          <w:ilvl w:val="0"/>
          <w:numId w:val="22"/>
        </w:numPr>
      </w:pPr>
      <w:r w:rsidRPr="00FF31BB">
        <w:rPr>
          <w:b/>
          <w:bCs/>
        </w:rPr>
        <w:t>Excluded industries</w:t>
      </w:r>
      <w:r w:rsidR="00F86FBF">
        <w:t xml:space="preserve">. </w:t>
      </w:r>
      <w:r w:rsidRPr="00C76170">
        <w:t>Private households, membership organizations, and construction firms are exclud</w:t>
      </w:r>
      <w:r w:rsidR="000A7ECD">
        <w:t>ed</w:t>
      </w:r>
      <w:r w:rsidRPr="00C76170">
        <w:t xml:space="preserve">. </w:t>
      </w:r>
    </w:p>
    <w:p w:rsidR="00FF31BB" w:rsidRPr="00C76170" w:rsidRDefault="00FF31BB" w:rsidP="00FF31BB">
      <w:pPr>
        <w:pStyle w:val="BodyText"/>
        <w:numPr>
          <w:ilvl w:val="0"/>
          <w:numId w:val="22"/>
        </w:numPr>
      </w:pPr>
      <w:r>
        <w:rPr>
          <w:b/>
          <w:bCs/>
        </w:rPr>
        <w:t>Start date in 2008</w:t>
      </w:r>
      <w:r w:rsidR="00F86FBF" w:rsidRPr="00F86FBF">
        <w:t>.</w:t>
      </w:r>
    </w:p>
    <w:p w:rsidR="00C76170" w:rsidRPr="00C76170" w:rsidRDefault="00C76170" w:rsidP="00FF31BB">
      <w:pPr>
        <w:pStyle w:val="BodyText"/>
        <w:numPr>
          <w:ilvl w:val="0"/>
          <w:numId w:val="22"/>
        </w:numPr>
      </w:pPr>
      <w:r w:rsidRPr="00FF31BB">
        <w:rPr>
          <w:b/>
          <w:bCs/>
        </w:rPr>
        <w:t>No predecessor link</w:t>
      </w:r>
      <w:r w:rsidR="00F86FBF">
        <w:rPr>
          <w:bCs/>
        </w:rPr>
        <w:t xml:space="preserve">. </w:t>
      </w:r>
      <w:r w:rsidRPr="00C76170">
        <w:t>Records that indicate continuity of employment from a prior or existing business are excluded. For example, a satellite location staffed by existing employees</w:t>
      </w:r>
      <w:r w:rsidR="00BA0EA2">
        <w:t xml:space="preserve"> would not be counted but if a new location represent</w:t>
      </w:r>
      <w:r w:rsidR="00CA5454">
        <w:t>s an expansion with additional staffing, the new worksite would be counted.</w:t>
      </w:r>
      <w:r w:rsidRPr="00C76170">
        <w:t xml:space="preserve"> </w:t>
      </w:r>
    </w:p>
    <w:p w:rsidR="00C76170" w:rsidRPr="00C76170" w:rsidRDefault="00C76170" w:rsidP="00C76170">
      <w:pPr>
        <w:pStyle w:val="BodyText"/>
      </w:pPr>
      <w:r w:rsidRPr="00C76170">
        <w:t>These criteria produce a list of potential new businesses then subject to individual record review. Each record is screened for positive business activity in the target year and for predecessors not previously identified. The latter involves a search of the database for links by name, location</w:t>
      </w:r>
      <w:r w:rsidR="000A7ECD">
        <w:t>,</w:t>
      </w:r>
      <w:r w:rsidRPr="00C76170">
        <w:t xml:space="preserve"> and wage records. If no predecessor is found, employer validation is attempted for a sample of businesses, but not required for inclusion in the data set if other criteria are met. </w:t>
      </w:r>
    </w:p>
    <w:p w:rsidR="00C76170" w:rsidRDefault="00C76170" w:rsidP="00C76170">
      <w:pPr>
        <w:pStyle w:val="BodyText"/>
      </w:pPr>
      <w:r w:rsidRPr="00C76170">
        <w:lastRenderedPageBreak/>
        <w:t>The records are further reviewed for missing, incomplete or inconsistent data. Accounts showing an end of liability date during the study period are researched for links to successor businesses showing a continuation of employment and business activity. Successors to new businesses are added to the data set</w:t>
      </w:r>
      <w:r w:rsidR="00D576AD">
        <w:t>, except in the case of some mergers and acquisition (see below).</w:t>
      </w:r>
      <w:r w:rsidR="00904F3D">
        <w:t xml:space="preserve"> </w:t>
      </w:r>
      <w:r w:rsidR="008E6818">
        <w:t>Other</w:t>
      </w:r>
      <w:r w:rsidR="00631B90">
        <w:t xml:space="preserve"> anomalies</w:t>
      </w:r>
      <w:r w:rsidR="00904F3D">
        <w:t xml:space="preserve"> in the data</w:t>
      </w:r>
      <w:r w:rsidR="008E6818">
        <w:t xml:space="preserve"> include</w:t>
      </w:r>
      <w:r w:rsidR="00631B90">
        <w:t>:</w:t>
      </w:r>
    </w:p>
    <w:p w:rsidR="00F86FBF" w:rsidRPr="00C76170" w:rsidRDefault="00F86FBF" w:rsidP="00631B90">
      <w:pPr>
        <w:pStyle w:val="BodyText"/>
        <w:numPr>
          <w:ilvl w:val="0"/>
          <w:numId w:val="23"/>
        </w:numPr>
      </w:pPr>
      <w:r w:rsidRPr="00F86FBF">
        <w:rPr>
          <w:b/>
          <w:bCs/>
        </w:rPr>
        <w:t>Reopened Businesses.</w:t>
      </w:r>
      <w:r w:rsidRPr="00C76170">
        <w:rPr>
          <w:i/>
        </w:rPr>
        <w:t xml:space="preserve"> </w:t>
      </w:r>
      <w:r w:rsidRPr="00C76170">
        <w:t xml:space="preserve">Closed and then reopened businesses are contacted for evaluation. Continuation of business </w:t>
      </w:r>
      <w:proofErr w:type="gramStart"/>
      <w:r w:rsidRPr="00C76170">
        <w:t xml:space="preserve">activity </w:t>
      </w:r>
      <w:r w:rsidR="008E6818">
        <w:t>,</w:t>
      </w:r>
      <w:proofErr w:type="gramEnd"/>
      <w:r w:rsidR="008E6818">
        <w:t xml:space="preserve"> </w:t>
      </w:r>
      <w:r w:rsidRPr="00C76170">
        <w:t>and the nature and duration of a gap in covered employment are factors considered when evaluating the status of a reopened business.</w:t>
      </w:r>
    </w:p>
    <w:p w:rsidR="00C76170" w:rsidRPr="00C76170" w:rsidRDefault="00C76170" w:rsidP="00631B90">
      <w:pPr>
        <w:pStyle w:val="BodyText"/>
        <w:numPr>
          <w:ilvl w:val="0"/>
          <w:numId w:val="23"/>
        </w:numPr>
      </w:pPr>
      <w:r w:rsidRPr="00C76170">
        <w:rPr>
          <w:b/>
          <w:bCs/>
        </w:rPr>
        <w:t>Businesses R</w:t>
      </w:r>
      <w:r w:rsidR="00CA5454">
        <w:rPr>
          <w:b/>
          <w:bCs/>
        </w:rPr>
        <w:t>eporting Zero E</w:t>
      </w:r>
      <w:r w:rsidRPr="00C76170">
        <w:rPr>
          <w:b/>
          <w:bCs/>
        </w:rPr>
        <w:t xml:space="preserve">mployment and Wages. </w:t>
      </w:r>
      <w:r w:rsidR="00CA5454">
        <w:t>A number of businesses retain an</w:t>
      </w:r>
      <w:r w:rsidR="00AC6D6F">
        <w:t xml:space="preserve"> open account</w:t>
      </w:r>
      <w:r w:rsidR="00CA5454">
        <w:t xml:space="preserve"> but report</w:t>
      </w:r>
      <w:r w:rsidRPr="00C76170">
        <w:t xml:space="preserve"> zero </w:t>
      </w:r>
      <w:r w:rsidR="00CA5454">
        <w:t xml:space="preserve">employment and </w:t>
      </w:r>
      <w:r w:rsidRPr="00C76170">
        <w:t>wages</w:t>
      </w:r>
      <w:r w:rsidR="00CA5454">
        <w:t>. The share of these zero reporters</w:t>
      </w:r>
      <w:r w:rsidRPr="00C76170">
        <w:t xml:space="preserve"> increased from 6 percent of surviving businesses in 2009 to 14 percent of survivors in 2</w:t>
      </w:r>
      <w:r w:rsidR="008E6818">
        <w:t>012. Some of these businesses we</w:t>
      </w:r>
      <w:r w:rsidRPr="00C76170">
        <w:t xml:space="preserve">re intermittent or seasonal employers, </w:t>
      </w:r>
      <w:r w:rsidR="00CA5454">
        <w:t>while others had ceased employing</w:t>
      </w:r>
      <w:r w:rsidRPr="00C76170">
        <w:t xml:space="preserve"> workers for an extended period. In order to retain intermi</w:t>
      </w:r>
      <w:r w:rsidR="00CA5454">
        <w:t>ttent employers in the data set</w:t>
      </w:r>
      <w:r w:rsidRPr="00C76170">
        <w:t xml:space="preserve"> but exclude those who </w:t>
      </w:r>
      <w:r w:rsidR="005B6AEA">
        <w:t>had stopped employing workers, the following</w:t>
      </w:r>
      <w:r w:rsidRPr="00C76170">
        <w:t xml:space="preserve"> </w:t>
      </w:r>
      <w:r w:rsidR="005B6AEA">
        <w:t>protocol</w:t>
      </w:r>
      <w:r w:rsidR="00CA5454">
        <w:t xml:space="preserve"> was developed</w:t>
      </w:r>
      <w:r w:rsidRPr="00C76170">
        <w:t>.</w:t>
      </w:r>
    </w:p>
    <w:p w:rsidR="00C76170" w:rsidRPr="00C76170" w:rsidRDefault="00C76170" w:rsidP="00631B90">
      <w:pPr>
        <w:pStyle w:val="BodyText"/>
        <w:ind w:left="720"/>
      </w:pPr>
      <w:r w:rsidRPr="00C76170">
        <w:t>Accounts with more than four consecutive quarters with zero emplo</w:t>
      </w:r>
      <w:r w:rsidR="007E55DF">
        <w:t>yment a</w:t>
      </w:r>
      <w:r w:rsidRPr="00C76170">
        <w:t>re counted as closed in the fifth quarter</w:t>
      </w:r>
      <w:r w:rsidR="007E55DF">
        <w:t xml:space="preserve"> of non-employment</w:t>
      </w:r>
      <w:r w:rsidR="005B6AEA">
        <w:t>. This</w:t>
      </w:r>
      <w:r w:rsidR="007E55DF">
        <w:t xml:space="preserve"> </w:t>
      </w:r>
      <w:r w:rsidR="005B6AEA">
        <w:t xml:space="preserve">protocol </w:t>
      </w:r>
      <w:r w:rsidRPr="00C76170">
        <w:t>reduced the share of businesses reporting zero wages to between 2 and 3 percent per year</w:t>
      </w:r>
      <w:r w:rsidR="007E55DF">
        <w:t xml:space="preserve"> between 2009 and 2012</w:t>
      </w:r>
      <w:r w:rsidRPr="00C76170">
        <w:t>.</w:t>
      </w:r>
    </w:p>
    <w:p w:rsidR="00631B90" w:rsidRDefault="00C76170" w:rsidP="00631B90">
      <w:pPr>
        <w:pStyle w:val="BodyText"/>
        <w:numPr>
          <w:ilvl w:val="0"/>
          <w:numId w:val="23"/>
        </w:numPr>
      </w:pPr>
      <w:r w:rsidRPr="00C76170">
        <w:rPr>
          <w:b/>
          <w:bCs/>
        </w:rPr>
        <w:t xml:space="preserve">Mergers and Acquisitions. </w:t>
      </w:r>
      <w:r w:rsidRPr="00C76170">
        <w:t>A small number of new businesses merged with or were acquired by larger pre-existing bu</w:t>
      </w:r>
      <w:r w:rsidR="00604E3B">
        <w:t>sinesses</w:t>
      </w:r>
      <w:r w:rsidR="007E55DF">
        <w:t>. If employment and wages a</w:t>
      </w:r>
      <w:r w:rsidRPr="00C76170">
        <w:t>re reporte</w:t>
      </w:r>
      <w:r w:rsidR="00604E3B">
        <w:t>d separately (as a worksite</w:t>
      </w:r>
      <w:r w:rsidRPr="00C76170">
        <w:t>, for example)</w:t>
      </w:r>
      <w:r w:rsidR="007E55DF">
        <w:t>, the transfer i</w:t>
      </w:r>
      <w:r w:rsidRPr="00C76170">
        <w:t xml:space="preserve">s counted as a succession and the </w:t>
      </w:r>
      <w:r w:rsidR="00604E3B">
        <w:t>new entity</w:t>
      </w:r>
      <w:r w:rsidR="007E55DF">
        <w:t xml:space="preserve"> added to</w:t>
      </w:r>
      <w:r w:rsidRPr="00C76170">
        <w:t xml:space="preserve"> the data set. </w:t>
      </w:r>
      <w:r w:rsidR="007E55DF">
        <w:t>If the new business i</w:t>
      </w:r>
      <w:r w:rsidRPr="00C76170">
        <w:t>s subsumed</w:t>
      </w:r>
      <w:r w:rsidR="002E77F3">
        <w:t>, for purposes of this analysis the business i</w:t>
      </w:r>
      <w:r w:rsidRPr="00C76170">
        <w:t>s counted as surviv</w:t>
      </w:r>
      <w:r w:rsidR="00604E3B">
        <w:t xml:space="preserve">ing, but employment and wages </w:t>
      </w:r>
      <w:r w:rsidR="002E77F3">
        <w:t>a</w:t>
      </w:r>
      <w:r w:rsidRPr="00C76170">
        <w:t>re not counted</w:t>
      </w:r>
      <w:r w:rsidR="00604E3B">
        <w:t xml:space="preserve"> after the merger or acquisition</w:t>
      </w:r>
      <w:r w:rsidRPr="00C76170">
        <w:t>.</w:t>
      </w:r>
    </w:p>
    <w:p w:rsidR="00631B90" w:rsidRPr="00631B90" w:rsidRDefault="00376475" w:rsidP="00631B90">
      <w:pPr>
        <w:pStyle w:val="BodyText"/>
      </w:pPr>
      <w:r>
        <w:rPr>
          <w:bCs/>
        </w:rPr>
        <w:t>These administrative data are subject to change and revision by the unemployment t</w:t>
      </w:r>
      <w:r w:rsidR="000419CF">
        <w:rPr>
          <w:bCs/>
        </w:rPr>
        <w:t xml:space="preserve">ax unit and by QCEW analysts as </w:t>
      </w:r>
      <w:r w:rsidR="00D71D37">
        <w:rPr>
          <w:bCs/>
        </w:rPr>
        <w:t>better information is received</w:t>
      </w:r>
      <w:r>
        <w:rPr>
          <w:bCs/>
        </w:rPr>
        <w:t xml:space="preserve">. A challenge in the </w:t>
      </w:r>
      <w:r w:rsidR="00D71D37">
        <w:rPr>
          <w:bCs/>
        </w:rPr>
        <w:t>use of these data for longitudinal study</w:t>
      </w:r>
      <w:r>
        <w:rPr>
          <w:bCs/>
        </w:rPr>
        <w:t xml:space="preserve"> is the need to </w:t>
      </w:r>
      <w:r w:rsidR="000419CF">
        <w:rPr>
          <w:bCs/>
        </w:rPr>
        <w:t xml:space="preserve">review and update </w:t>
      </w:r>
      <w:r w:rsidR="00D71D37">
        <w:rPr>
          <w:bCs/>
        </w:rPr>
        <w:t>past quarters in addition to adding new quarters of employment and wages as they become available.</w:t>
      </w:r>
    </w:p>
    <w:sectPr w:rsidR="00631B90" w:rsidRPr="00631B90" w:rsidSect="009D3DE6">
      <w:headerReference w:type="default" r:id="rId31"/>
      <w:footerReference w:type="default" r:id="rId32"/>
      <w:footerReference w:type="first" r:id="rId33"/>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1B" w:rsidRDefault="00126B1B">
      <w:r>
        <w:separator/>
      </w:r>
    </w:p>
  </w:endnote>
  <w:endnote w:type="continuationSeparator" w:id="0">
    <w:p w:rsidR="00126B1B" w:rsidRDefault="0012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Novarese Bk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1D" w:rsidRDefault="00295C1D">
    <w:pPr>
      <w:pStyle w:val="Footer"/>
      <w:jc w:val="center"/>
    </w:pPr>
    <w:r>
      <w:t xml:space="preserve">Page </w:t>
    </w:r>
    <w:r>
      <w:rPr>
        <w:b/>
      </w:rPr>
      <w:fldChar w:fldCharType="begin"/>
    </w:r>
    <w:r>
      <w:rPr>
        <w:b/>
      </w:rPr>
      <w:instrText xml:space="preserve"> PAGE </w:instrText>
    </w:r>
    <w:r>
      <w:rPr>
        <w:b/>
      </w:rPr>
      <w:fldChar w:fldCharType="separate"/>
    </w:r>
    <w:r w:rsidR="00415200">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15200">
      <w:rPr>
        <w:b/>
        <w:noProof/>
      </w:rPr>
      <w:t>16</w:t>
    </w:r>
    <w:r>
      <w:rPr>
        <w:b/>
      </w:rPr>
      <w:fldChar w:fldCharType="end"/>
    </w:r>
  </w:p>
  <w:p w:rsidR="00295C1D" w:rsidRPr="00716620" w:rsidRDefault="00295C1D" w:rsidP="0071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1D" w:rsidRPr="00CD5816" w:rsidRDefault="00295C1D">
    <w:pPr>
      <w:pStyle w:val="Footer"/>
      <w:jc w:val="center"/>
      <w:rPr>
        <w:sz w:val="20"/>
        <w:szCs w:val="20"/>
      </w:rPr>
    </w:pPr>
    <w:r w:rsidRPr="00CD5816">
      <w:rPr>
        <w:sz w:val="20"/>
        <w:szCs w:val="20"/>
      </w:rPr>
      <w:t xml:space="preserve">Page </w:t>
    </w:r>
    <w:r w:rsidRPr="00CD5816">
      <w:rPr>
        <w:b/>
        <w:sz w:val="20"/>
        <w:szCs w:val="20"/>
      </w:rPr>
      <w:fldChar w:fldCharType="begin"/>
    </w:r>
    <w:r w:rsidRPr="00CD5816">
      <w:rPr>
        <w:b/>
        <w:sz w:val="20"/>
        <w:szCs w:val="20"/>
      </w:rPr>
      <w:instrText xml:space="preserve"> PAGE </w:instrText>
    </w:r>
    <w:r w:rsidRPr="00CD5816">
      <w:rPr>
        <w:b/>
        <w:sz w:val="20"/>
        <w:szCs w:val="20"/>
      </w:rPr>
      <w:fldChar w:fldCharType="separate"/>
    </w:r>
    <w:r w:rsidR="00415200">
      <w:rPr>
        <w:b/>
        <w:noProof/>
        <w:sz w:val="20"/>
        <w:szCs w:val="20"/>
      </w:rPr>
      <w:t>1</w:t>
    </w:r>
    <w:r w:rsidRPr="00CD5816">
      <w:rPr>
        <w:b/>
        <w:sz w:val="20"/>
        <w:szCs w:val="20"/>
      </w:rPr>
      <w:fldChar w:fldCharType="end"/>
    </w:r>
    <w:r w:rsidRPr="00CD5816">
      <w:rPr>
        <w:sz w:val="20"/>
        <w:szCs w:val="20"/>
      </w:rPr>
      <w:t xml:space="preserve"> of </w:t>
    </w:r>
    <w:r w:rsidRPr="00CD5816">
      <w:rPr>
        <w:b/>
        <w:sz w:val="20"/>
        <w:szCs w:val="20"/>
      </w:rPr>
      <w:fldChar w:fldCharType="begin"/>
    </w:r>
    <w:r w:rsidRPr="00CD5816">
      <w:rPr>
        <w:b/>
        <w:sz w:val="20"/>
        <w:szCs w:val="20"/>
      </w:rPr>
      <w:instrText xml:space="preserve"> NUMPAGES  </w:instrText>
    </w:r>
    <w:r w:rsidRPr="00CD5816">
      <w:rPr>
        <w:b/>
        <w:sz w:val="20"/>
        <w:szCs w:val="20"/>
      </w:rPr>
      <w:fldChar w:fldCharType="separate"/>
    </w:r>
    <w:r w:rsidR="00415200">
      <w:rPr>
        <w:b/>
        <w:noProof/>
        <w:sz w:val="20"/>
        <w:szCs w:val="20"/>
      </w:rPr>
      <w:t>16</w:t>
    </w:r>
    <w:r w:rsidRPr="00CD5816">
      <w:rPr>
        <w:b/>
        <w:sz w:val="20"/>
        <w:szCs w:val="20"/>
      </w:rPr>
      <w:fldChar w:fldCharType="end"/>
    </w:r>
  </w:p>
  <w:p w:rsidR="00295C1D" w:rsidRDefault="0029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1B" w:rsidRDefault="00126B1B">
      <w:r>
        <w:separator/>
      </w:r>
    </w:p>
  </w:footnote>
  <w:footnote w:type="continuationSeparator" w:id="0">
    <w:p w:rsidR="00126B1B" w:rsidRDefault="00126B1B">
      <w:r>
        <w:continuationSeparator/>
      </w:r>
    </w:p>
  </w:footnote>
  <w:footnote w:id="1">
    <w:p w:rsidR="00DA121F" w:rsidRDefault="00DA121F" w:rsidP="00DA121F">
      <w:pPr>
        <w:pStyle w:val="FootnoteText"/>
      </w:pPr>
      <w:r>
        <w:rPr>
          <w:rStyle w:val="FootnoteReference"/>
        </w:rPr>
        <w:footnoteRef/>
      </w:r>
      <w:r>
        <w:t xml:space="preserve"> For a summary of recent research on job creation, see Ron </w:t>
      </w:r>
      <w:proofErr w:type="spellStart"/>
      <w:r>
        <w:t>Coan</w:t>
      </w:r>
      <w:proofErr w:type="spellEnd"/>
      <w:r>
        <w:t>, “The Ghost of Christmas Future,” Journal of Applied Research in Economic Development, C2ER, Volume 10, January</w:t>
      </w:r>
      <w:r w:rsidR="008D5EF9">
        <w:t xml:space="preserve"> </w:t>
      </w:r>
      <w:r>
        <w:t xml:space="preserve">2013 </w:t>
      </w:r>
      <w:r w:rsidRPr="00BD0B2B">
        <w:t>at</w:t>
      </w:r>
      <w:r w:rsidRPr="00C45B26">
        <w:t xml:space="preserve"> </w:t>
      </w:r>
      <w:hyperlink r:id="rId1" w:history="1">
        <w:r w:rsidRPr="003E00EF">
          <w:rPr>
            <w:rStyle w:val="Hyperlink"/>
          </w:rPr>
          <w:t>http://journal.c2er.org/2013/01/the-ghost-of-christmas-future/</w:t>
        </w:r>
      </w:hyperlink>
    </w:p>
  </w:footnote>
  <w:footnote w:id="2">
    <w:p w:rsidR="00C76170" w:rsidRDefault="00C76170" w:rsidP="00DA121F">
      <w:pPr>
        <w:pStyle w:val="FootnoteText"/>
      </w:pPr>
      <w:r>
        <w:rPr>
          <w:rStyle w:val="FootnoteReference"/>
        </w:rPr>
        <w:footnoteRef/>
      </w:r>
      <w:r>
        <w:t xml:space="preserve"> </w:t>
      </w:r>
      <w:r w:rsidRPr="00DB62D6">
        <w:rPr>
          <w:i/>
          <w:iCs/>
        </w:rPr>
        <w:t xml:space="preserve">See </w:t>
      </w:r>
      <w:r w:rsidRPr="00DB62D6">
        <w:t xml:space="preserve">Dane </w:t>
      </w:r>
      <w:proofErr w:type="spellStart"/>
      <w:r w:rsidRPr="00DB62D6">
        <w:t>Stangler</w:t>
      </w:r>
      <w:proofErr w:type="spellEnd"/>
      <w:r>
        <w:t xml:space="preserve"> and Robert E. </w:t>
      </w:r>
      <w:proofErr w:type="spellStart"/>
      <w:r>
        <w:t>Litan</w:t>
      </w:r>
      <w:proofErr w:type="spellEnd"/>
      <w:r w:rsidRPr="00DB62D6">
        <w:t>, “</w:t>
      </w:r>
      <w:r>
        <w:t>Where Will the Jobs Come From?,” Kauffman Foundation, November</w:t>
      </w:r>
      <w:r w:rsidRPr="00DB62D6">
        <w:t xml:space="preserve"> 2009, </w:t>
      </w:r>
      <w:r w:rsidRPr="003D0E46">
        <w:rPr>
          <w:iCs/>
        </w:rPr>
        <w:t>at</w:t>
      </w:r>
      <w:r>
        <w:rPr>
          <w:i/>
          <w:iCs/>
        </w:rPr>
        <w:t xml:space="preserve"> </w:t>
      </w:r>
      <w:hyperlink r:id="rId2" w:history="1">
        <w:r w:rsidRPr="00DB62D6">
          <w:rPr>
            <w:rStyle w:val="Hyperlink"/>
          </w:rPr>
          <w:t>http://www.kauffman.org/uploadedFiles/where_will_the_jobs_come_from.pdf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1D" w:rsidRDefault="00295C1D" w:rsidP="00D10ED0">
    <w:pPr>
      <w:pStyle w:val="Footer"/>
      <w:tabs>
        <w:tab w:val="clear" w:pos="4320"/>
        <w:tab w:val="clear" w:pos="8640"/>
        <w:tab w:val="left" w:pos="2880"/>
        <w:tab w:val="left" w:pos="5760"/>
        <w:tab w:val="right" w:pos="10260"/>
      </w:tabs>
      <w:rPr>
        <w:rFonts w:ascii="Novarese Bk BT" w:hAnsi="Novarese Bk BT"/>
        <w:sz w:val="20"/>
        <w:szCs w:val="20"/>
      </w:rPr>
    </w:pPr>
    <w:r w:rsidRPr="00797E78">
      <w:rPr>
        <w:rFonts w:ascii="Novarese Bk BT" w:hAnsi="Novarese Bk BT"/>
        <w:sz w:val="20"/>
        <w:szCs w:val="20"/>
      </w:rPr>
      <w:t>Phone (207) 623-7900</w:t>
    </w:r>
    <w:r w:rsidRPr="00797E78">
      <w:rPr>
        <w:rFonts w:ascii="Novarese Bk BT" w:hAnsi="Novarese Bk BT"/>
        <w:sz w:val="20"/>
        <w:szCs w:val="20"/>
      </w:rPr>
      <w:tab/>
      <w:t>TTY</w:t>
    </w:r>
    <w:r w:rsidR="001A6650">
      <w:rPr>
        <w:rFonts w:ascii="Novarese Bk BT" w:hAnsi="Novarese Bk BT"/>
        <w:sz w:val="20"/>
        <w:szCs w:val="20"/>
      </w:rPr>
      <w:t xml:space="preserve"> </w:t>
    </w:r>
    <w:r w:rsidR="001A6650" w:rsidRPr="001A6650">
      <w:rPr>
        <w:rFonts w:ascii="Novarese Bk BT" w:hAnsi="Novarese Bk BT"/>
        <w:sz w:val="20"/>
        <w:szCs w:val="20"/>
      </w:rPr>
      <w:t>Maine Relay 711</w:t>
    </w:r>
    <w:r w:rsidRPr="00797E78">
      <w:rPr>
        <w:rFonts w:ascii="Novarese Bk BT" w:hAnsi="Novarese Bk BT"/>
        <w:sz w:val="20"/>
        <w:szCs w:val="20"/>
      </w:rPr>
      <w:tab/>
      <w:t>FAX (207) 287-2947</w:t>
    </w:r>
    <w:r>
      <w:rPr>
        <w:rFonts w:ascii="Novarese Bk BT" w:hAnsi="Novarese Bk BT"/>
        <w:sz w:val="20"/>
        <w:szCs w:val="20"/>
      </w:rPr>
      <w:tab/>
    </w:r>
    <w:hyperlink r:id="rId1" w:history="1">
      <w:r w:rsidRPr="00C42C4F">
        <w:rPr>
          <w:rStyle w:val="Hyperlink"/>
          <w:rFonts w:ascii="Novarese Bk BT" w:hAnsi="Novarese Bk BT"/>
          <w:sz w:val="20"/>
          <w:szCs w:val="20"/>
        </w:rPr>
        <w:t>www.maine.gov/labor/cwri</w:t>
      </w:r>
    </w:hyperlink>
  </w:p>
  <w:p w:rsidR="00295C1D" w:rsidRDefault="00295C1D" w:rsidP="00AC16AD">
    <w:pPr>
      <w:pStyle w:val="Footer"/>
      <w:pBdr>
        <w:top w:val="single" w:sz="4" w:space="1" w:color="auto"/>
      </w:pBdr>
      <w:tabs>
        <w:tab w:val="clear" w:pos="4320"/>
        <w:tab w:val="clear" w:pos="8640"/>
        <w:tab w:val="left" w:pos="2880"/>
        <w:tab w:val="left" w:pos="57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C"/>
    <w:multiLevelType w:val="singleLevel"/>
    <w:tmpl w:val="E5523420"/>
    <w:lvl w:ilvl="0">
      <w:start w:val="1"/>
      <w:numFmt w:val="decimal"/>
      <w:lvlText w:val="%1."/>
      <w:lvlJc w:val="left"/>
      <w:pPr>
        <w:tabs>
          <w:tab w:val="num" w:pos="1800"/>
        </w:tabs>
        <w:ind w:left="1800" w:hanging="360"/>
      </w:pPr>
    </w:lvl>
  </w:abstractNum>
  <w:abstractNum w:abstractNumId="1">
    <w:nsid w:val="FFFFFF7D"/>
    <w:multiLevelType w:val="singleLevel"/>
    <w:tmpl w:val="F8A21644"/>
    <w:lvl w:ilvl="0">
      <w:start w:val="1"/>
      <w:numFmt w:val="decimal"/>
      <w:lvlText w:val="%1."/>
      <w:lvlJc w:val="left"/>
      <w:pPr>
        <w:tabs>
          <w:tab w:val="num" w:pos="1440"/>
        </w:tabs>
        <w:ind w:left="1440" w:hanging="360"/>
      </w:pPr>
    </w:lvl>
  </w:abstractNum>
  <w:abstractNum w:abstractNumId="2">
    <w:nsid w:val="FFFFFF7E"/>
    <w:multiLevelType w:val="singleLevel"/>
    <w:tmpl w:val="A4BA0BAC"/>
    <w:lvl w:ilvl="0">
      <w:start w:val="1"/>
      <w:numFmt w:val="decimal"/>
      <w:lvlText w:val="%1."/>
      <w:lvlJc w:val="left"/>
      <w:pPr>
        <w:tabs>
          <w:tab w:val="num" w:pos="1080"/>
        </w:tabs>
        <w:ind w:left="1080" w:hanging="360"/>
      </w:pPr>
    </w:lvl>
  </w:abstractNum>
  <w:abstractNum w:abstractNumId="3">
    <w:nsid w:val="FFFFFF7F"/>
    <w:multiLevelType w:val="singleLevel"/>
    <w:tmpl w:val="564E495A"/>
    <w:lvl w:ilvl="0">
      <w:start w:val="1"/>
      <w:numFmt w:val="decimal"/>
      <w:lvlText w:val="%1."/>
      <w:lvlJc w:val="left"/>
      <w:pPr>
        <w:tabs>
          <w:tab w:val="num" w:pos="720"/>
        </w:tabs>
        <w:ind w:left="720" w:hanging="360"/>
      </w:pPr>
    </w:lvl>
  </w:abstractNum>
  <w:abstractNum w:abstractNumId="4">
    <w:nsid w:val="FFFFFF80"/>
    <w:multiLevelType w:val="singleLevel"/>
    <w:tmpl w:val="D85835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A042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A45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3408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88D84A"/>
    <w:lvl w:ilvl="0">
      <w:start w:val="1"/>
      <w:numFmt w:val="decimal"/>
      <w:lvlText w:val="%1."/>
      <w:lvlJc w:val="left"/>
      <w:pPr>
        <w:tabs>
          <w:tab w:val="num" w:pos="360"/>
        </w:tabs>
        <w:ind w:left="360" w:hanging="360"/>
      </w:pPr>
    </w:lvl>
  </w:abstractNum>
  <w:abstractNum w:abstractNumId="9">
    <w:nsid w:val="FFFFFF89"/>
    <w:multiLevelType w:val="singleLevel"/>
    <w:tmpl w:val="0596B4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037D2"/>
    <w:multiLevelType w:val="hybridMultilevel"/>
    <w:tmpl w:val="89D4F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660B30"/>
    <w:multiLevelType w:val="hybridMultilevel"/>
    <w:tmpl w:val="CE36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121630"/>
    <w:multiLevelType w:val="hybridMultilevel"/>
    <w:tmpl w:val="64101634"/>
    <w:lvl w:ilvl="0" w:tplc="65028E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56BD6"/>
    <w:multiLevelType w:val="hybridMultilevel"/>
    <w:tmpl w:val="2EA6F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495B00"/>
    <w:multiLevelType w:val="hybridMultilevel"/>
    <w:tmpl w:val="A490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274E6"/>
    <w:multiLevelType w:val="hybridMultilevel"/>
    <w:tmpl w:val="3BDE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C1DD4"/>
    <w:multiLevelType w:val="hybridMultilevel"/>
    <w:tmpl w:val="3202BD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4B1BE8"/>
    <w:multiLevelType w:val="hybridMultilevel"/>
    <w:tmpl w:val="7C9A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D4A89"/>
    <w:multiLevelType w:val="hybridMultilevel"/>
    <w:tmpl w:val="56625C98"/>
    <w:lvl w:ilvl="0" w:tplc="868C4904">
      <w:start w:val="1"/>
      <w:numFmt w:val="bullet"/>
      <w:lvlText w:val=""/>
      <w:lvlPicBulletId w:val="0"/>
      <w:lvlJc w:val="left"/>
      <w:pPr>
        <w:tabs>
          <w:tab w:val="num" w:pos="720"/>
        </w:tabs>
        <w:ind w:left="720" w:hanging="360"/>
      </w:pPr>
      <w:rPr>
        <w:rFonts w:ascii="Symbol" w:hAnsi="Symbol" w:hint="default"/>
      </w:rPr>
    </w:lvl>
    <w:lvl w:ilvl="1" w:tplc="7D1ADFC6" w:tentative="1">
      <w:start w:val="1"/>
      <w:numFmt w:val="bullet"/>
      <w:lvlText w:val=""/>
      <w:lvlJc w:val="left"/>
      <w:pPr>
        <w:tabs>
          <w:tab w:val="num" w:pos="1440"/>
        </w:tabs>
        <w:ind w:left="1440" w:hanging="360"/>
      </w:pPr>
      <w:rPr>
        <w:rFonts w:ascii="Symbol" w:hAnsi="Symbol" w:hint="default"/>
      </w:rPr>
    </w:lvl>
    <w:lvl w:ilvl="2" w:tplc="6338DA76" w:tentative="1">
      <w:start w:val="1"/>
      <w:numFmt w:val="bullet"/>
      <w:lvlText w:val=""/>
      <w:lvlJc w:val="left"/>
      <w:pPr>
        <w:tabs>
          <w:tab w:val="num" w:pos="2160"/>
        </w:tabs>
        <w:ind w:left="2160" w:hanging="360"/>
      </w:pPr>
      <w:rPr>
        <w:rFonts w:ascii="Symbol" w:hAnsi="Symbol" w:hint="default"/>
      </w:rPr>
    </w:lvl>
    <w:lvl w:ilvl="3" w:tplc="85C2F70A" w:tentative="1">
      <w:start w:val="1"/>
      <w:numFmt w:val="bullet"/>
      <w:lvlText w:val=""/>
      <w:lvlJc w:val="left"/>
      <w:pPr>
        <w:tabs>
          <w:tab w:val="num" w:pos="2880"/>
        </w:tabs>
        <w:ind w:left="2880" w:hanging="360"/>
      </w:pPr>
      <w:rPr>
        <w:rFonts w:ascii="Symbol" w:hAnsi="Symbol" w:hint="default"/>
      </w:rPr>
    </w:lvl>
    <w:lvl w:ilvl="4" w:tplc="C0F40B2C" w:tentative="1">
      <w:start w:val="1"/>
      <w:numFmt w:val="bullet"/>
      <w:lvlText w:val=""/>
      <w:lvlJc w:val="left"/>
      <w:pPr>
        <w:tabs>
          <w:tab w:val="num" w:pos="3600"/>
        </w:tabs>
        <w:ind w:left="3600" w:hanging="360"/>
      </w:pPr>
      <w:rPr>
        <w:rFonts w:ascii="Symbol" w:hAnsi="Symbol" w:hint="default"/>
      </w:rPr>
    </w:lvl>
    <w:lvl w:ilvl="5" w:tplc="05D05844" w:tentative="1">
      <w:start w:val="1"/>
      <w:numFmt w:val="bullet"/>
      <w:lvlText w:val=""/>
      <w:lvlJc w:val="left"/>
      <w:pPr>
        <w:tabs>
          <w:tab w:val="num" w:pos="4320"/>
        </w:tabs>
        <w:ind w:left="4320" w:hanging="360"/>
      </w:pPr>
      <w:rPr>
        <w:rFonts w:ascii="Symbol" w:hAnsi="Symbol" w:hint="default"/>
      </w:rPr>
    </w:lvl>
    <w:lvl w:ilvl="6" w:tplc="808E41D2" w:tentative="1">
      <w:start w:val="1"/>
      <w:numFmt w:val="bullet"/>
      <w:lvlText w:val=""/>
      <w:lvlJc w:val="left"/>
      <w:pPr>
        <w:tabs>
          <w:tab w:val="num" w:pos="5040"/>
        </w:tabs>
        <w:ind w:left="5040" w:hanging="360"/>
      </w:pPr>
      <w:rPr>
        <w:rFonts w:ascii="Symbol" w:hAnsi="Symbol" w:hint="default"/>
      </w:rPr>
    </w:lvl>
    <w:lvl w:ilvl="7" w:tplc="8490E856" w:tentative="1">
      <w:start w:val="1"/>
      <w:numFmt w:val="bullet"/>
      <w:lvlText w:val=""/>
      <w:lvlJc w:val="left"/>
      <w:pPr>
        <w:tabs>
          <w:tab w:val="num" w:pos="5760"/>
        </w:tabs>
        <w:ind w:left="5760" w:hanging="360"/>
      </w:pPr>
      <w:rPr>
        <w:rFonts w:ascii="Symbol" w:hAnsi="Symbol" w:hint="default"/>
      </w:rPr>
    </w:lvl>
    <w:lvl w:ilvl="8" w:tplc="DB028980" w:tentative="1">
      <w:start w:val="1"/>
      <w:numFmt w:val="bullet"/>
      <w:lvlText w:val=""/>
      <w:lvlJc w:val="left"/>
      <w:pPr>
        <w:tabs>
          <w:tab w:val="num" w:pos="6480"/>
        </w:tabs>
        <w:ind w:left="6480" w:hanging="360"/>
      </w:pPr>
      <w:rPr>
        <w:rFonts w:ascii="Symbol" w:hAnsi="Symbol" w:hint="default"/>
      </w:rPr>
    </w:lvl>
  </w:abstractNum>
  <w:abstractNum w:abstractNumId="19">
    <w:nsid w:val="58E04880"/>
    <w:multiLevelType w:val="hybridMultilevel"/>
    <w:tmpl w:val="5AE4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B92D4F"/>
    <w:multiLevelType w:val="hybridMultilevel"/>
    <w:tmpl w:val="E9C6C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35508F"/>
    <w:multiLevelType w:val="hybridMultilevel"/>
    <w:tmpl w:val="6E288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9D2FF8"/>
    <w:multiLevelType w:val="hybridMultilevel"/>
    <w:tmpl w:val="0324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0"/>
  </w:num>
  <w:num w:numId="16">
    <w:abstractNumId w:val="16"/>
  </w:num>
  <w:num w:numId="17">
    <w:abstractNumId w:val="17"/>
  </w:num>
  <w:num w:numId="18">
    <w:abstractNumId w:val="19"/>
  </w:num>
  <w:num w:numId="19">
    <w:abstractNumId w:val="18"/>
  </w:num>
  <w:num w:numId="20">
    <w:abstractNumId w:val="14"/>
  </w:num>
  <w:num w:numId="21">
    <w:abstractNumId w:val="12"/>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7C"/>
    <w:rsid w:val="0000092C"/>
    <w:rsid w:val="000016A0"/>
    <w:rsid w:val="000066F7"/>
    <w:rsid w:val="00012277"/>
    <w:rsid w:val="00012CDD"/>
    <w:rsid w:val="00013AC2"/>
    <w:rsid w:val="00013D60"/>
    <w:rsid w:val="00014133"/>
    <w:rsid w:val="00016E4F"/>
    <w:rsid w:val="00017350"/>
    <w:rsid w:val="00017490"/>
    <w:rsid w:val="000200A0"/>
    <w:rsid w:val="000269F5"/>
    <w:rsid w:val="000273E1"/>
    <w:rsid w:val="00031C2A"/>
    <w:rsid w:val="00034583"/>
    <w:rsid w:val="00035634"/>
    <w:rsid w:val="00037A81"/>
    <w:rsid w:val="00041317"/>
    <w:rsid w:val="000419CF"/>
    <w:rsid w:val="00041DA2"/>
    <w:rsid w:val="000426A3"/>
    <w:rsid w:val="00042D36"/>
    <w:rsid w:val="000436DE"/>
    <w:rsid w:val="00044244"/>
    <w:rsid w:val="0004516E"/>
    <w:rsid w:val="00045BB2"/>
    <w:rsid w:val="00046B15"/>
    <w:rsid w:val="00047979"/>
    <w:rsid w:val="00050120"/>
    <w:rsid w:val="0005012A"/>
    <w:rsid w:val="000502BA"/>
    <w:rsid w:val="00051D59"/>
    <w:rsid w:val="00051DE0"/>
    <w:rsid w:val="000527F1"/>
    <w:rsid w:val="00053CB5"/>
    <w:rsid w:val="00054369"/>
    <w:rsid w:val="00054A31"/>
    <w:rsid w:val="00061A71"/>
    <w:rsid w:val="000627B5"/>
    <w:rsid w:val="00062BB8"/>
    <w:rsid w:val="00062E30"/>
    <w:rsid w:val="0006427C"/>
    <w:rsid w:val="000647CC"/>
    <w:rsid w:val="0006489D"/>
    <w:rsid w:val="000648C0"/>
    <w:rsid w:val="000679C3"/>
    <w:rsid w:val="00070EB3"/>
    <w:rsid w:val="0007122F"/>
    <w:rsid w:val="00072A73"/>
    <w:rsid w:val="000744A5"/>
    <w:rsid w:val="000760AE"/>
    <w:rsid w:val="000771FB"/>
    <w:rsid w:val="00077F06"/>
    <w:rsid w:val="00082427"/>
    <w:rsid w:val="00082A64"/>
    <w:rsid w:val="00090005"/>
    <w:rsid w:val="0009222D"/>
    <w:rsid w:val="000940FB"/>
    <w:rsid w:val="000947F4"/>
    <w:rsid w:val="00094E9D"/>
    <w:rsid w:val="000958D3"/>
    <w:rsid w:val="000A0FD4"/>
    <w:rsid w:val="000A359F"/>
    <w:rsid w:val="000A3CAB"/>
    <w:rsid w:val="000A4A7C"/>
    <w:rsid w:val="000A5F8E"/>
    <w:rsid w:val="000A7ECD"/>
    <w:rsid w:val="000B054F"/>
    <w:rsid w:val="000B12D9"/>
    <w:rsid w:val="000B2489"/>
    <w:rsid w:val="000B2670"/>
    <w:rsid w:val="000B283D"/>
    <w:rsid w:val="000B355D"/>
    <w:rsid w:val="000B3D7F"/>
    <w:rsid w:val="000B5B73"/>
    <w:rsid w:val="000B5CB0"/>
    <w:rsid w:val="000B6557"/>
    <w:rsid w:val="000C013D"/>
    <w:rsid w:val="000C0735"/>
    <w:rsid w:val="000C0D32"/>
    <w:rsid w:val="000C1838"/>
    <w:rsid w:val="000C2D4D"/>
    <w:rsid w:val="000C3660"/>
    <w:rsid w:val="000C52E4"/>
    <w:rsid w:val="000C537F"/>
    <w:rsid w:val="000C6937"/>
    <w:rsid w:val="000C6ABB"/>
    <w:rsid w:val="000C7B4F"/>
    <w:rsid w:val="000C7D2F"/>
    <w:rsid w:val="000D3153"/>
    <w:rsid w:val="000D32D0"/>
    <w:rsid w:val="000D3CA2"/>
    <w:rsid w:val="000D47B6"/>
    <w:rsid w:val="000D48CF"/>
    <w:rsid w:val="000E0BD0"/>
    <w:rsid w:val="000E0C61"/>
    <w:rsid w:val="000E14CD"/>
    <w:rsid w:val="000E1A5C"/>
    <w:rsid w:val="000E24C9"/>
    <w:rsid w:val="000E409D"/>
    <w:rsid w:val="000E5BB3"/>
    <w:rsid w:val="000E6641"/>
    <w:rsid w:val="000E6FF9"/>
    <w:rsid w:val="000E7CCB"/>
    <w:rsid w:val="000F0CFF"/>
    <w:rsid w:val="000F107B"/>
    <w:rsid w:val="000F2DAE"/>
    <w:rsid w:val="000F3D23"/>
    <w:rsid w:val="000F602F"/>
    <w:rsid w:val="000F76E1"/>
    <w:rsid w:val="00100286"/>
    <w:rsid w:val="00100463"/>
    <w:rsid w:val="00104146"/>
    <w:rsid w:val="00105C99"/>
    <w:rsid w:val="00105E5B"/>
    <w:rsid w:val="00107153"/>
    <w:rsid w:val="001073B6"/>
    <w:rsid w:val="001079A8"/>
    <w:rsid w:val="00107FE3"/>
    <w:rsid w:val="001109B5"/>
    <w:rsid w:val="00113058"/>
    <w:rsid w:val="001145BC"/>
    <w:rsid w:val="00116DD0"/>
    <w:rsid w:val="001208C3"/>
    <w:rsid w:val="0012181C"/>
    <w:rsid w:val="00121852"/>
    <w:rsid w:val="00124B72"/>
    <w:rsid w:val="0012654A"/>
    <w:rsid w:val="00126918"/>
    <w:rsid w:val="00126B1B"/>
    <w:rsid w:val="00127443"/>
    <w:rsid w:val="00127447"/>
    <w:rsid w:val="00127877"/>
    <w:rsid w:val="0013442C"/>
    <w:rsid w:val="001347AB"/>
    <w:rsid w:val="00134E1D"/>
    <w:rsid w:val="00135333"/>
    <w:rsid w:val="001373BE"/>
    <w:rsid w:val="001376D2"/>
    <w:rsid w:val="001378A4"/>
    <w:rsid w:val="00140118"/>
    <w:rsid w:val="00142584"/>
    <w:rsid w:val="00143BF1"/>
    <w:rsid w:val="00143E43"/>
    <w:rsid w:val="00144040"/>
    <w:rsid w:val="001468DF"/>
    <w:rsid w:val="001509AE"/>
    <w:rsid w:val="00151A82"/>
    <w:rsid w:val="00154238"/>
    <w:rsid w:val="00154905"/>
    <w:rsid w:val="00155068"/>
    <w:rsid w:val="00155123"/>
    <w:rsid w:val="001558E9"/>
    <w:rsid w:val="00156AA3"/>
    <w:rsid w:val="001609C5"/>
    <w:rsid w:val="00160E3A"/>
    <w:rsid w:val="001618FF"/>
    <w:rsid w:val="001626A3"/>
    <w:rsid w:val="00162EB1"/>
    <w:rsid w:val="00163E9A"/>
    <w:rsid w:val="001651A3"/>
    <w:rsid w:val="00165D77"/>
    <w:rsid w:val="00165E4F"/>
    <w:rsid w:val="00165FCF"/>
    <w:rsid w:val="0016693A"/>
    <w:rsid w:val="001716D9"/>
    <w:rsid w:val="00174BC2"/>
    <w:rsid w:val="00174D27"/>
    <w:rsid w:val="00175E7D"/>
    <w:rsid w:val="00176E06"/>
    <w:rsid w:val="001778EA"/>
    <w:rsid w:val="00177CE9"/>
    <w:rsid w:val="001825F1"/>
    <w:rsid w:val="0018274F"/>
    <w:rsid w:val="00184B52"/>
    <w:rsid w:val="00186509"/>
    <w:rsid w:val="00186DCB"/>
    <w:rsid w:val="001906B8"/>
    <w:rsid w:val="00190E77"/>
    <w:rsid w:val="00192056"/>
    <w:rsid w:val="0019477E"/>
    <w:rsid w:val="00195337"/>
    <w:rsid w:val="00196387"/>
    <w:rsid w:val="001978EB"/>
    <w:rsid w:val="00197C4F"/>
    <w:rsid w:val="00197FEB"/>
    <w:rsid w:val="001A038E"/>
    <w:rsid w:val="001A0829"/>
    <w:rsid w:val="001A0852"/>
    <w:rsid w:val="001A08D4"/>
    <w:rsid w:val="001A1A41"/>
    <w:rsid w:val="001A28DD"/>
    <w:rsid w:val="001A47C8"/>
    <w:rsid w:val="001A53CB"/>
    <w:rsid w:val="001A5895"/>
    <w:rsid w:val="001A6650"/>
    <w:rsid w:val="001B296F"/>
    <w:rsid w:val="001B2E1C"/>
    <w:rsid w:val="001B388F"/>
    <w:rsid w:val="001B4EC7"/>
    <w:rsid w:val="001B5A1E"/>
    <w:rsid w:val="001B697C"/>
    <w:rsid w:val="001B7EB3"/>
    <w:rsid w:val="001C031A"/>
    <w:rsid w:val="001C0B8A"/>
    <w:rsid w:val="001C0BF1"/>
    <w:rsid w:val="001C0FF5"/>
    <w:rsid w:val="001C14A4"/>
    <w:rsid w:val="001C14B5"/>
    <w:rsid w:val="001C213D"/>
    <w:rsid w:val="001D01A8"/>
    <w:rsid w:val="001D236D"/>
    <w:rsid w:val="001D4C3A"/>
    <w:rsid w:val="001D5720"/>
    <w:rsid w:val="001E0AE9"/>
    <w:rsid w:val="001E0F18"/>
    <w:rsid w:val="001E0F1C"/>
    <w:rsid w:val="001E2595"/>
    <w:rsid w:val="001E28B3"/>
    <w:rsid w:val="001E324A"/>
    <w:rsid w:val="001E33F6"/>
    <w:rsid w:val="001E34D2"/>
    <w:rsid w:val="001E3D8A"/>
    <w:rsid w:val="001E4CE8"/>
    <w:rsid w:val="001E5CC6"/>
    <w:rsid w:val="001E6513"/>
    <w:rsid w:val="001E6B31"/>
    <w:rsid w:val="001E7CA6"/>
    <w:rsid w:val="001F23C6"/>
    <w:rsid w:val="001F2BFC"/>
    <w:rsid w:val="001F4A6A"/>
    <w:rsid w:val="001F5960"/>
    <w:rsid w:val="002014E0"/>
    <w:rsid w:val="002045FA"/>
    <w:rsid w:val="002069E2"/>
    <w:rsid w:val="0021063F"/>
    <w:rsid w:val="00211BDD"/>
    <w:rsid w:val="002121AF"/>
    <w:rsid w:val="00212532"/>
    <w:rsid w:val="00212F16"/>
    <w:rsid w:val="0021508B"/>
    <w:rsid w:val="002150FD"/>
    <w:rsid w:val="00215C12"/>
    <w:rsid w:val="00217D72"/>
    <w:rsid w:val="0022042C"/>
    <w:rsid w:val="00220971"/>
    <w:rsid w:val="00220FBC"/>
    <w:rsid w:val="00221DB3"/>
    <w:rsid w:val="002233D7"/>
    <w:rsid w:val="0022725D"/>
    <w:rsid w:val="00227CA5"/>
    <w:rsid w:val="0023000F"/>
    <w:rsid w:val="002307B7"/>
    <w:rsid w:val="0023090D"/>
    <w:rsid w:val="00230E2B"/>
    <w:rsid w:val="002314AA"/>
    <w:rsid w:val="00231920"/>
    <w:rsid w:val="00231BED"/>
    <w:rsid w:val="00232D93"/>
    <w:rsid w:val="00233799"/>
    <w:rsid w:val="00235B2F"/>
    <w:rsid w:val="00237436"/>
    <w:rsid w:val="00240372"/>
    <w:rsid w:val="00241676"/>
    <w:rsid w:val="0024215B"/>
    <w:rsid w:val="00242A7A"/>
    <w:rsid w:val="00242D14"/>
    <w:rsid w:val="00244019"/>
    <w:rsid w:val="002501DC"/>
    <w:rsid w:val="00250470"/>
    <w:rsid w:val="00250CF9"/>
    <w:rsid w:val="002523BD"/>
    <w:rsid w:val="00255B1B"/>
    <w:rsid w:val="00255C93"/>
    <w:rsid w:val="00255EBF"/>
    <w:rsid w:val="0025685C"/>
    <w:rsid w:val="00256C1D"/>
    <w:rsid w:val="002572CA"/>
    <w:rsid w:val="002575D3"/>
    <w:rsid w:val="0026010B"/>
    <w:rsid w:val="002604F8"/>
    <w:rsid w:val="00261839"/>
    <w:rsid w:val="002629D7"/>
    <w:rsid w:val="00262F65"/>
    <w:rsid w:val="00264AA1"/>
    <w:rsid w:val="00264FEE"/>
    <w:rsid w:val="00265EBD"/>
    <w:rsid w:val="00266CC8"/>
    <w:rsid w:val="00271D0D"/>
    <w:rsid w:val="00271D60"/>
    <w:rsid w:val="002729FE"/>
    <w:rsid w:val="00273216"/>
    <w:rsid w:val="00273CF5"/>
    <w:rsid w:val="002752B2"/>
    <w:rsid w:val="00276306"/>
    <w:rsid w:val="00280777"/>
    <w:rsid w:val="00282F24"/>
    <w:rsid w:val="002833C9"/>
    <w:rsid w:val="002833F9"/>
    <w:rsid w:val="002860BD"/>
    <w:rsid w:val="0028723D"/>
    <w:rsid w:val="002874E8"/>
    <w:rsid w:val="002909E7"/>
    <w:rsid w:val="00291285"/>
    <w:rsid w:val="00291454"/>
    <w:rsid w:val="002915EA"/>
    <w:rsid w:val="00292222"/>
    <w:rsid w:val="002933CB"/>
    <w:rsid w:val="002942CA"/>
    <w:rsid w:val="00294430"/>
    <w:rsid w:val="002946C9"/>
    <w:rsid w:val="00295C1D"/>
    <w:rsid w:val="00295C54"/>
    <w:rsid w:val="00296DA4"/>
    <w:rsid w:val="002973C4"/>
    <w:rsid w:val="00297D2D"/>
    <w:rsid w:val="00297E32"/>
    <w:rsid w:val="002A0B55"/>
    <w:rsid w:val="002A123A"/>
    <w:rsid w:val="002A1A43"/>
    <w:rsid w:val="002A1FB4"/>
    <w:rsid w:val="002A35D3"/>
    <w:rsid w:val="002A49C6"/>
    <w:rsid w:val="002A4AF6"/>
    <w:rsid w:val="002A576A"/>
    <w:rsid w:val="002A5C8A"/>
    <w:rsid w:val="002A6752"/>
    <w:rsid w:val="002A7D62"/>
    <w:rsid w:val="002B048D"/>
    <w:rsid w:val="002B0F16"/>
    <w:rsid w:val="002B1734"/>
    <w:rsid w:val="002B3021"/>
    <w:rsid w:val="002B3D47"/>
    <w:rsid w:val="002B48A6"/>
    <w:rsid w:val="002B5189"/>
    <w:rsid w:val="002B5C4F"/>
    <w:rsid w:val="002B6893"/>
    <w:rsid w:val="002C0ED9"/>
    <w:rsid w:val="002C1659"/>
    <w:rsid w:val="002C1738"/>
    <w:rsid w:val="002C43FA"/>
    <w:rsid w:val="002C45FA"/>
    <w:rsid w:val="002C566C"/>
    <w:rsid w:val="002C5726"/>
    <w:rsid w:val="002C5C3A"/>
    <w:rsid w:val="002C61BB"/>
    <w:rsid w:val="002C7707"/>
    <w:rsid w:val="002D056E"/>
    <w:rsid w:val="002D0D65"/>
    <w:rsid w:val="002D2C8F"/>
    <w:rsid w:val="002D33B6"/>
    <w:rsid w:val="002D3E75"/>
    <w:rsid w:val="002D56B4"/>
    <w:rsid w:val="002D6A77"/>
    <w:rsid w:val="002D7939"/>
    <w:rsid w:val="002E082F"/>
    <w:rsid w:val="002E11DD"/>
    <w:rsid w:val="002E2ABF"/>
    <w:rsid w:val="002E2C88"/>
    <w:rsid w:val="002E3923"/>
    <w:rsid w:val="002E3CB6"/>
    <w:rsid w:val="002E5F24"/>
    <w:rsid w:val="002E65BF"/>
    <w:rsid w:val="002E6743"/>
    <w:rsid w:val="002E7403"/>
    <w:rsid w:val="002E77F3"/>
    <w:rsid w:val="002E7B5B"/>
    <w:rsid w:val="002F06FA"/>
    <w:rsid w:val="002F175D"/>
    <w:rsid w:val="002F3819"/>
    <w:rsid w:val="002F48C1"/>
    <w:rsid w:val="002F6818"/>
    <w:rsid w:val="002F6C31"/>
    <w:rsid w:val="0030007D"/>
    <w:rsid w:val="003001A0"/>
    <w:rsid w:val="00301637"/>
    <w:rsid w:val="00301B47"/>
    <w:rsid w:val="003035C0"/>
    <w:rsid w:val="00305CA5"/>
    <w:rsid w:val="00305D8D"/>
    <w:rsid w:val="0030748D"/>
    <w:rsid w:val="00307CF2"/>
    <w:rsid w:val="00311A2C"/>
    <w:rsid w:val="00314287"/>
    <w:rsid w:val="003151A4"/>
    <w:rsid w:val="00315821"/>
    <w:rsid w:val="003159C0"/>
    <w:rsid w:val="00317BF0"/>
    <w:rsid w:val="00317F5D"/>
    <w:rsid w:val="003221BB"/>
    <w:rsid w:val="00322764"/>
    <w:rsid w:val="00324082"/>
    <w:rsid w:val="00327028"/>
    <w:rsid w:val="00331198"/>
    <w:rsid w:val="00331B5E"/>
    <w:rsid w:val="00332552"/>
    <w:rsid w:val="00334648"/>
    <w:rsid w:val="00334D53"/>
    <w:rsid w:val="00337668"/>
    <w:rsid w:val="003435D7"/>
    <w:rsid w:val="0034459F"/>
    <w:rsid w:val="003453B8"/>
    <w:rsid w:val="00345C9A"/>
    <w:rsid w:val="00345E5F"/>
    <w:rsid w:val="003466EF"/>
    <w:rsid w:val="003472AF"/>
    <w:rsid w:val="00347552"/>
    <w:rsid w:val="0034771E"/>
    <w:rsid w:val="00351B13"/>
    <w:rsid w:val="00351EA5"/>
    <w:rsid w:val="00352223"/>
    <w:rsid w:val="00354D0B"/>
    <w:rsid w:val="00355173"/>
    <w:rsid w:val="00355CDF"/>
    <w:rsid w:val="00355D6C"/>
    <w:rsid w:val="0035629C"/>
    <w:rsid w:val="0035638E"/>
    <w:rsid w:val="00356D38"/>
    <w:rsid w:val="003571C9"/>
    <w:rsid w:val="003606F8"/>
    <w:rsid w:val="003623E0"/>
    <w:rsid w:val="0036350A"/>
    <w:rsid w:val="0036359A"/>
    <w:rsid w:val="00363CA4"/>
    <w:rsid w:val="00363D1D"/>
    <w:rsid w:val="00363D73"/>
    <w:rsid w:val="003651FC"/>
    <w:rsid w:val="00367DC6"/>
    <w:rsid w:val="00370BD7"/>
    <w:rsid w:val="00371142"/>
    <w:rsid w:val="00371C65"/>
    <w:rsid w:val="00371FE4"/>
    <w:rsid w:val="00376475"/>
    <w:rsid w:val="00376A46"/>
    <w:rsid w:val="003777A0"/>
    <w:rsid w:val="00380716"/>
    <w:rsid w:val="0038093B"/>
    <w:rsid w:val="00381454"/>
    <w:rsid w:val="00383694"/>
    <w:rsid w:val="00383BAE"/>
    <w:rsid w:val="00384591"/>
    <w:rsid w:val="00384DE0"/>
    <w:rsid w:val="00386AAB"/>
    <w:rsid w:val="0039021D"/>
    <w:rsid w:val="003916EC"/>
    <w:rsid w:val="00393436"/>
    <w:rsid w:val="00395E73"/>
    <w:rsid w:val="0039688C"/>
    <w:rsid w:val="0039688F"/>
    <w:rsid w:val="00397F99"/>
    <w:rsid w:val="003A0001"/>
    <w:rsid w:val="003A0B68"/>
    <w:rsid w:val="003A4248"/>
    <w:rsid w:val="003A7537"/>
    <w:rsid w:val="003A7BF1"/>
    <w:rsid w:val="003B0781"/>
    <w:rsid w:val="003B0E6A"/>
    <w:rsid w:val="003B1B36"/>
    <w:rsid w:val="003B2F35"/>
    <w:rsid w:val="003B3260"/>
    <w:rsid w:val="003B36F9"/>
    <w:rsid w:val="003B4258"/>
    <w:rsid w:val="003B462A"/>
    <w:rsid w:val="003B50C7"/>
    <w:rsid w:val="003B73B6"/>
    <w:rsid w:val="003B767E"/>
    <w:rsid w:val="003C0932"/>
    <w:rsid w:val="003C18BE"/>
    <w:rsid w:val="003C1ECB"/>
    <w:rsid w:val="003C3194"/>
    <w:rsid w:val="003C3684"/>
    <w:rsid w:val="003C3DCD"/>
    <w:rsid w:val="003C7066"/>
    <w:rsid w:val="003D053F"/>
    <w:rsid w:val="003D05B4"/>
    <w:rsid w:val="003D1C46"/>
    <w:rsid w:val="003D3206"/>
    <w:rsid w:val="003D5A99"/>
    <w:rsid w:val="003E0DDF"/>
    <w:rsid w:val="003E1158"/>
    <w:rsid w:val="003E11E6"/>
    <w:rsid w:val="003E2BAD"/>
    <w:rsid w:val="003E3DDD"/>
    <w:rsid w:val="003E57F1"/>
    <w:rsid w:val="003E5FB9"/>
    <w:rsid w:val="003E6CA9"/>
    <w:rsid w:val="003E6E76"/>
    <w:rsid w:val="003F0EF9"/>
    <w:rsid w:val="003F3251"/>
    <w:rsid w:val="003F35DC"/>
    <w:rsid w:val="003F5384"/>
    <w:rsid w:val="003F6825"/>
    <w:rsid w:val="003F692D"/>
    <w:rsid w:val="004024C9"/>
    <w:rsid w:val="0040345A"/>
    <w:rsid w:val="004040AA"/>
    <w:rsid w:val="004056B2"/>
    <w:rsid w:val="00405B44"/>
    <w:rsid w:val="00406132"/>
    <w:rsid w:val="0041187F"/>
    <w:rsid w:val="00411A90"/>
    <w:rsid w:val="00411C6B"/>
    <w:rsid w:val="00413AF5"/>
    <w:rsid w:val="0041472B"/>
    <w:rsid w:val="00415200"/>
    <w:rsid w:val="0041660E"/>
    <w:rsid w:val="0041746B"/>
    <w:rsid w:val="004201CD"/>
    <w:rsid w:val="0042064F"/>
    <w:rsid w:val="004222BF"/>
    <w:rsid w:val="00422436"/>
    <w:rsid w:val="004228BF"/>
    <w:rsid w:val="0042292B"/>
    <w:rsid w:val="00422F65"/>
    <w:rsid w:val="00423093"/>
    <w:rsid w:val="00425984"/>
    <w:rsid w:val="004266D2"/>
    <w:rsid w:val="004270C7"/>
    <w:rsid w:val="0043005D"/>
    <w:rsid w:val="004306E3"/>
    <w:rsid w:val="0043129C"/>
    <w:rsid w:val="00433D8B"/>
    <w:rsid w:val="00436312"/>
    <w:rsid w:val="00440DD5"/>
    <w:rsid w:val="004423A0"/>
    <w:rsid w:val="00442416"/>
    <w:rsid w:val="00443122"/>
    <w:rsid w:val="004432D9"/>
    <w:rsid w:val="004439CC"/>
    <w:rsid w:val="00446637"/>
    <w:rsid w:val="00446987"/>
    <w:rsid w:val="00447EE5"/>
    <w:rsid w:val="00452C2F"/>
    <w:rsid w:val="00452FE1"/>
    <w:rsid w:val="0045323C"/>
    <w:rsid w:val="00454883"/>
    <w:rsid w:val="00455136"/>
    <w:rsid w:val="0045573C"/>
    <w:rsid w:val="0046028E"/>
    <w:rsid w:val="00460D2A"/>
    <w:rsid w:val="00462C71"/>
    <w:rsid w:val="00463B24"/>
    <w:rsid w:val="00465700"/>
    <w:rsid w:val="0046572E"/>
    <w:rsid w:val="00465785"/>
    <w:rsid w:val="004712F9"/>
    <w:rsid w:val="004714D1"/>
    <w:rsid w:val="00473AF9"/>
    <w:rsid w:val="0047479B"/>
    <w:rsid w:val="00474ABE"/>
    <w:rsid w:val="00474F06"/>
    <w:rsid w:val="004757A1"/>
    <w:rsid w:val="00475E0E"/>
    <w:rsid w:val="00477276"/>
    <w:rsid w:val="0048058A"/>
    <w:rsid w:val="00481416"/>
    <w:rsid w:val="004815BF"/>
    <w:rsid w:val="004830B4"/>
    <w:rsid w:val="00483667"/>
    <w:rsid w:val="00484A3F"/>
    <w:rsid w:val="004860D2"/>
    <w:rsid w:val="00487C92"/>
    <w:rsid w:val="00490EB0"/>
    <w:rsid w:val="00491937"/>
    <w:rsid w:val="0049668A"/>
    <w:rsid w:val="00497F62"/>
    <w:rsid w:val="004A03EC"/>
    <w:rsid w:val="004A1A79"/>
    <w:rsid w:val="004A2CBD"/>
    <w:rsid w:val="004A3D12"/>
    <w:rsid w:val="004A3FE9"/>
    <w:rsid w:val="004A42D6"/>
    <w:rsid w:val="004B0B50"/>
    <w:rsid w:val="004B0EFD"/>
    <w:rsid w:val="004C096C"/>
    <w:rsid w:val="004C0C81"/>
    <w:rsid w:val="004C1F1A"/>
    <w:rsid w:val="004C3BA4"/>
    <w:rsid w:val="004C6144"/>
    <w:rsid w:val="004C6BC1"/>
    <w:rsid w:val="004D0CDB"/>
    <w:rsid w:val="004D1044"/>
    <w:rsid w:val="004D1272"/>
    <w:rsid w:val="004D2071"/>
    <w:rsid w:val="004D3CFD"/>
    <w:rsid w:val="004E0107"/>
    <w:rsid w:val="004E0F65"/>
    <w:rsid w:val="004E28AE"/>
    <w:rsid w:val="004E3BDD"/>
    <w:rsid w:val="004E638E"/>
    <w:rsid w:val="004E73A1"/>
    <w:rsid w:val="004F02B8"/>
    <w:rsid w:val="004F3F41"/>
    <w:rsid w:val="004F492C"/>
    <w:rsid w:val="004F6EF3"/>
    <w:rsid w:val="004F7FE6"/>
    <w:rsid w:val="00500416"/>
    <w:rsid w:val="00500E62"/>
    <w:rsid w:val="0050292D"/>
    <w:rsid w:val="005068F0"/>
    <w:rsid w:val="00506A5D"/>
    <w:rsid w:val="00507485"/>
    <w:rsid w:val="0051195D"/>
    <w:rsid w:val="005128E4"/>
    <w:rsid w:val="0051295A"/>
    <w:rsid w:val="005135D4"/>
    <w:rsid w:val="00513790"/>
    <w:rsid w:val="00513A90"/>
    <w:rsid w:val="005143C3"/>
    <w:rsid w:val="00515381"/>
    <w:rsid w:val="0051640C"/>
    <w:rsid w:val="00516815"/>
    <w:rsid w:val="00517E8D"/>
    <w:rsid w:val="00517F22"/>
    <w:rsid w:val="00517FC0"/>
    <w:rsid w:val="0052023D"/>
    <w:rsid w:val="00520F88"/>
    <w:rsid w:val="005216F0"/>
    <w:rsid w:val="00522795"/>
    <w:rsid w:val="0052534B"/>
    <w:rsid w:val="005262B3"/>
    <w:rsid w:val="005263E9"/>
    <w:rsid w:val="00526515"/>
    <w:rsid w:val="00526F9F"/>
    <w:rsid w:val="00527606"/>
    <w:rsid w:val="00530F42"/>
    <w:rsid w:val="0053243F"/>
    <w:rsid w:val="00534865"/>
    <w:rsid w:val="00536A91"/>
    <w:rsid w:val="00536ED5"/>
    <w:rsid w:val="00537287"/>
    <w:rsid w:val="0054004F"/>
    <w:rsid w:val="00541A54"/>
    <w:rsid w:val="005443F3"/>
    <w:rsid w:val="00545E69"/>
    <w:rsid w:val="005514ED"/>
    <w:rsid w:val="00555776"/>
    <w:rsid w:val="00557423"/>
    <w:rsid w:val="00562292"/>
    <w:rsid w:val="00562E5C"/>
    <w:rsid w:val="005631C6"/>
    <w:rsid w:val="00564AF6"/>
    <w:rsid w:val="005659BA"/>
    <w:rsid w:val="005663D8"/>
    <w:rsid w:val="00567117"/>
    <w:rsid w:val="00570C98"/>
    <w:rsid w:val="005724CB"/>
    <w:rsid w:val="00574F27"/>
    <w:rsid w:val="005758BA"/>
    <w:rsid w:val="00576FA1"/>
    <w:rsid w:val="00577BFB"/>
    <w:rsid w:val="00582193"/>
    <w:rsid w:val="005823C3"/>
    <w:rsid w:val="005838AF"/>
    <w:rsid w:val="0058418E"/>
    <w:rsid w:val="005860DB"/>
    <w:rsid w:val="00587DA8"/>
    <w:rsid w:val="00590552"/>
    <w:rsid w:val="00594F2A"/>
    <w:rsid w:val="00595008"/>
    <w:rsid w:val="005970D4"/>
    <w:rsid w:val="005A155E"/>
    <w:rsid w:val="005A1B5C"/>
    <w:rsid w:val="005A22E3"/>
    <w:rsid w:val="005A3805"/>
    <w:rsid w:val="005A4D1E"/>
    <w:rsid w:val="005A55D0"/>
    <w:rsid w:val="005A591F"/>
    <w:rsid w:val="005A6914"/>
    <w:rsid w:val="005A6BCF"/>
    <w:rsid w:val="005A7632"/>
    <w:rsid w:val="005A7B33"/>
    <w:rsid w:val="005B238D"/>
    <w:rsid w:val="005B2FF2"/>
    <w:rsid w:val="005B36C9"/>
    <w:rsid w:val="005B3968"/>
    <w:rsid w:val="005B3EA7"/>
    <w:rsid w:val="005B54BF"/>
    <w:rsid w:val="005B5847"/>
    <w:rsid w:val="005B64DF"/>
    <w:rsid w:val="005B6AEA"/>
    <w:rsid w:val="005B781D"/>
    <w:rsid w:val="005B7C0E"/>
    <w:rsid w:val="005C0B1F"/>
    <w:rsid w:val="005C1263"/>
    <w:rsid w:val="005C1D31"/>
    <w:rsid w:val="005C2377"/>
    <w:rsid w:val="005C285C"/>
    <w:rsid w:val="005C2CE3"/>
    <w:rsid w:val="005C2EDD"/>
    <w:rsid w:val="005C7A49"/>
    <w:rsid w:val="005C7B51"/>
    <w:rsid w:val="005D0BBC"/>
    <w:rsid w:val="005D2105"/>
    <w:rsid w:val="005D6033"/>
    <w:rsid w:val="005E016A"/>
    <w:rsid w:val="005E0CF1"/>
    <w:rsid w:val="005E19BA"/>
    <w:rsid w:val="005E35C5"/>
    <w:rsid w:val="005E5168"/>
    <w:rsid w:val="005E5BE7"/>
    <w:rsid w:val="005E799A"/>
    <w:rsid w:val="005F1F73"/>
    <w:rsid w:val="005F2683"/>
    <w:rsid w:val="005F2C3C"/>
    <w:rsid w:val="005F3E55"/>
    <w:rsid w:val="005F493E"/>
    <w:rsid w:val="005F537F"/>
    <w:rsid w:val="005F7AF5"/>
    <w:rsid w:val="006016A7"/>
    <w:rsid w:val="0060213E"/>
    <w:rsid w:val="00602FCA"/>
    <w:rsid w:val="00604E3B"/>
    <w:rsid w:val="00607A5C"/>
    <w:rsid w:val="0061065E"/>
    <w:rsid w:val="00610AAD"/>
    <w:rsid w:val="006130F9"/>
    <w:rsid w:val="006157E1"/>
    <w:rsid w:val="00616C6C"/>
    <w:rsid w:val="00617AC2"/>
    <w:rsid w:val="00617BD9"/>
    <w:rsid w:val="00622899"/>
    <w:rsid w:val="006256CF"/>
    <w:rsid w:val="006264E6"/>
    <w:rsid w:val="00627F0F"/>
    <w:rsid w:val="00630F43"/>
    <w:rsid w:val="0063115B"/>
    <w:rsid w:val="00631B90"/>
    <w:rsid w:val="00632935"/>
    <w:rsid w:val="006331B9"/>
    <w:rsid w:val="006342D3"/>
    <w:rsid w:val="00634B1C"/>
    <w:rsid w:val="00637FF3"/>
    <w:rsid w:val="00640736"/>
    <w:rsid w:val="006441A6"/>
    <w:rsid w:val="0064728B"/>
    <w:rsid w:val="006474D8"/>
    <w:rsid w:val="006500E3"/>
    <w:rsid w:val="00651E49"/>
    <w:rsid w:val="00652FA8"/>
    <w:rsid w:val="00654118"/>
    <w:rsid w:val="0065462D"/>
    <w:rsid w:val="00654646"/>
    <w:rsid w:val="00654723"/>
    <w:rsid w:val="00654A0C"/>
    <w:rsid w:val="00655DF8"/>
    <w:rsid w:val="00661A7A"/>
    <w:rsid w:val="00662015"/>
    <w:rsid w:val="006632F9"/>
    <w:rsid w:val="0066345E"/>
    <w:rsid w:val="00663650"/>
    <w:rsid w:val="00663D5D"/>
    <w:rsid w:val="006665AE"/>
    <w:rsid w:val="0067036F"/>
    <w:rsid w:val="00671089"/>
    <w:rsid w:val="006726D4"/>
    <w:rsid w:val="00672909"/>
    <w:rsid w:val="00673D2D"/>
    <w:rsid w:val="00676CCB"/>
    <w:rsid w:val="006770CA"/>
    <w:rsid w:val="0067716A"/>
    <w:rsid w:val="006811F2"/>
    <w:rsid w:val="00682679"/>
    <w:rsid w:val="00682943"/>
    <w:rsid w:val="00683656"/>
    <w:rsid w:val="00683EE6"/>
    <w:rsid w:val="006842B5"/>
    <w:rsid w:val="006851DF"/>
    <w:rsid w:val="00686A50"/>
    <w:rsid w:val="006873A6"/>
    <w:rsid w:val="006907D7"/>
    <w:rsid w:val="00690A91"/>
    <w:rsid w:val="00691466"/>
    <w:rsid w:val="006945E7"/>
    <w:rsid w:val="0069704B"/>
    <w:rsid w:val="006977C6"/>
    <w:rsid w:val="006A3161"/>
    <w:rsid w:val="006A398F"/>
    <w:rsid w:val="006A488E"/>
    <w:rsid w:val="006A6118"/>
    <w:rsid w:val="006A644E"/>
    <w:rsid w:val="006A68F3"/>
    <w:rsid w:val="006B3709"/>
    <w:rsid w:val="006B3A11"/>
    <w:rsid w:val="006B3B3B"/>
    <w:rsid w:val="006B4618"/>
    <w:rsid w:val="006B5966"/>
    <w:rsid w:val="006B5A15"/>
    <w:rsid w:val="006B5E75"/>
    <w:rsid w:val="006C1632"/>
    <w:rsid w:val="006C695D"/>
    <w:rsid w:val="006D13DA"/>
    <w:rsid w:val="006D1660"/>
    <w:rsid w:val="006D4AB8"/>
    <w:rsid w:val="006D4F3D"/>
    <w:rsid w:val="006D50DF"/>
    <w:rsid w:val="006D554D"/>
    <w:rsid w:val="006D554F"/>
    <w:rsid w:val="006D66FB"/>
    <w:rsid w:val="006D6876"/>
    <w:rsid w:val="006D7567"/>
    <w:rsid w:val="006D7796"/>
    <w:rsid w:val="006E0B24"/>
    <w:rsid w:val="006E184E"/>
    <w:rsid w:val="006E1E6D"/>
    <w:rsid w:val="006E330A"/>
    <w:rsid w:val="006E46EB"/>
    <w:rsid w:val="006E6747"/>
    <w:rsid w:val="006E7573"/>
    <w:rsid w:val="006F0C37"/>
    <w:rsid w:val="006F3BBA"/>
    <w:rsid w:val="006F4508"/>
    <w:rsid w:val="006F6F08"/>
    <w:rsid w:val="006F72F3"/>
    <w:rsid w:val="00700203"/>
    <w:rsid w:val="007017D6"/>
    <w:rsid w:val="0070196E"/>
    <w:rsid w:val="00702C70"/>
    <w:rsid w:val="007035D8"/>
    <w:rsid w:val="00703F02"/>
    <w:rsid w:val="00705262"/>
    <w:rsid w:val="00705291"/>
    <w:rsid w:val="00706418"/>
    <w:rsid w:val="00706D63"/>
    <w:rsid w:val="00710741"/>
    <w:rsid w:val="00710B47"/>
    <w:rsid w:val="007120B2"/>
    <w:rsid w:val="00712CBE"/>
    <w:rsid w:val="007148AB"/>
    <w:rsid w:val="00714EE4"/>
    <w:rsid w:val="00716620"/>
    <w:rsid w:val="00716D68"/>
    <w:rsid w:val="00716E00"/>
    <w:rsid w:val="007202C1"/>
    <w:rsid w:val="00720683"/>
    <w:rsid w:val="00722B61"/>
    <w:rsid w:val="00723ED6"/>
    <w:rsid w:val="00724928"/>
    <w:rsid w:val="00726DDA"/>
    <w:rsid w:val="007270D4"/>
    <w:rsid w:val="00732241"/>
    <w:rsid w:val="0073349B"/>
    <w:rsid w:val="00734A18"/>
    <w:rsid w:val="0074114C"/>
    <w:rsid w:val="00742645"/>
    <w:rsid w:val="00742ADC"/>
    <w:rsid w:val="0074321C"/>
    <w:rsid w:val="0074449C"/>
    <w:rsid w:val="00744507"/>
    <w:rsid w:val="00744A2B"/>
    <w:rsid w:val="0074601C"/>
    <w:rsid w:val="0074670A"/>
    <w:rsid w:val="007510FD"/>
    <w:rsid w:val="007519B1"/>
    <w:rsid w:val="00751E36"/>
    <w:rsid w:val="00752114"/>
    <w:rsid w:val="00755260"/>
    <w:rsid w:val="0075568F"/>
    <w:rsid w:val="00755C27"/>
    <w:rsid w:val="00757473"/>
    <w:rsid w:val="007618A8"/>
    <w:rsid w:val="007618D9"/>
    <w:rsid w:val="00761A0C"/>
    <w:rsid w:val="00762041"/>
    <w:rsid w:val="00762283"/>
    <w:rsid w:val="00763350"/>
    <w:rsid w:val="007647AB"/>
    <w:rsid w:val="00772268"/>
    <w:rsid w:val="00773537"/>
    <w:rsid w:val="00776623"/>
    <w:rsid w:val="00777DB9"/>
    <w:rsid w:val="00781529"/>
    <w:rsid w:val="00781A84"/>
    <w:rsid w:val="00783905"/>
    <w:rsid w:val="00783B8F"/>
    <w:rsid w:val="00783BF7"/>
    <w:rsid w:val="00783CFD"/>
    <w:rsid w:val="00786A1B"/>
    <w:rsid w:val="00790469"/>
    <w:rsid w:val="0079131F"/>
    <w:rsid w:val="00793369"/>
    <w:rsid w:val="007938FD"/>
    <w:rsid w:val="00793E72"/>
    <w:rsid w:val="007959E1"/>
    <w:rsid w:val="00796137"/>
    <w:rsid w:val="00796710"/>
    <w:rsid w:val="00796FC1"/>
    <w:rsid w:val="00797839"/>
    <w:rsid w:val="00797E5C"/>
    <w:rsid w:val="007A36D3"/>
    <w:rsid w:val="007A3993"/>
    <w:rsid w:val="007A40A9"/>
    <w:rsid w:val="007A648C"/>
    <w:rsid w:val="007A70AC"/>
    <w:rsid w:val="007A72B7"/>
    <w:rsid w:val="007B0DF8"/>
    <w:rsid w:val="007B0F8F"/>
    <w:rsid w:val="007B1622"/>
    <w:rsid w:val="007B2E4E"/>
    <w:rsid w:val="007B3613"/>
    <w:rsid w:val="007B4129"/>
    <w:rsid w:val="007B47DD"/>
    <w:rsid w:val="007B481D"/>
    <w:rsid w:val="007B505C"/>
    <w:rsid w:val="007B57FE"/>
    <w:rsid w:val="007C11C3"/>
    <w:rsid w:val="007C22B6"/>
    <w:rsid w:val="007C3229"/>
    <w:rsid w:val="007C34CB"/>
    <w:rsid w:val="007C44A7"/>
    <w:rsid w:val="007C5AE9"/>
    <w:rsid w:val="007C5E36"/>
    <w:rsid w:val="007C7000"/>
    <w:rsid w:val="007D0AD9"/>
    <w:rsid w:val="007D1495"/>
    <w:rsid w:val="007D23A2"/>
    <w:rsid w:val="007D338D"/>
    <w:rsid w:val="007D3978"/>
    <w:rsid w:val="007D688B"/>
    <w:rsid w:val="007D6BD4"/>
    <w:rsid w:val="007D6F93"/>
    <w:rsid w:val="007E1AEB"/>
    <w:rsid w:val="007E1FCF"/>
    <w:rsid w:val="007E2239"/>
    <w:rsid w:val="007E55DF"/>
    <w:rsid w:val="007E5774"/>
    <w:rsid w:val="007F0DC1"/>
    <w:rsid w:val="007F1E2B"/>
    <w:rsid w:val="007F3883"/>
    <w:rsid w:val="007F6236"/>
    <w:rsid w:val="007F6C8E"/>
    <w:rsid w:val="007F74D3"/>
    <w:rsid w:val="007F770C"/>
    <w:rsid w:val="007F7AC4"/>
    <w:rsid w:val="007F7BE8"/>
    <w:rsid w:val="007F7F73"/>
    <w:rsid w:val="00800071"/>
    <w:rsid w:val="00800B40"/>
    <w:rsid w:val="00800BE4"/>
    <w:rsid w:val="00802589"/>
    <w:rsid w:val="008027F0"/>
    <w:rsid w:val="00803489"/>
    <w:rsid w:val="00804049"/>
    <w:rsid w:val="00804D58"/>
    <w:rsid w:val="0080530F"/>
    <w:rsid w:val="00810D80"/>
    <w:rsid w:val="00812CFC"/>
    <w:rsid w:val="00813F11"/>
    <w:rsid w:val="008141C2"/>
    <w:rsid w:val="008142D6"/>
    <w:rsid w:val="00815318"/>
    <w:rsid w:val="008162B0"/>
    <w:rsid w:val="00817809"/>
    <w:rsid w:val="008202CA"/>
    <w:rsid w:val="008241B3"/>
    <w:rsid w:val="008245E4"/>
    <w:rsid w:val="00825DE1"/>
    <w:rsid w:val="00825E9B"/>
    <w:rsid w:val="0082723C"/>
    <w:rsid w:val="00830BF1"/>
    <w:rsid w:val="00832E7D"/>
    <w:rsid w:val="00833349"/>
    <w:rsid w:val="0083458D"/>
    <w:rsid w:val="00834F79"/>
    <w:rsid w:val="00836479"/>
    <w:rsid w:val="00841C09"/>
    <w:rsid w:val="008432D2"/>
    <w:rsid w:val="00843794"/>
    <w:rsid w:val="00845584"/>
    <w:rsid w:val="008519DB"/>
    <w:rsid w:val="0085373A"/>
    <w:rsid w:val="008552F2"/>
    <w:rsid w:val="0085616F"/>
    <w:rsid w:val="00856277"/>
    <w:rsid w:val="00857738"/>
    <w:rsid w:val="00857D8D"/>
    <w:rsid w:val="00857F64"/>
    <w:rsid w:val="00860072"/>
    <w:rsid w:val="008615BC"/>
    <w:rsid w:val="00861A11"/>
    <w:rsid w:val="00862C5D"/>
    <w:rsid w:val="00863531"/>
    <w:rsid w:val="00863D71"/>
    <w:rsid w:val="00864BCF"/>
    <w:rsid w:val="00864D24"/>
    <w:rsid w:val="00873AD8"/>
    <w:rsid w:val="00874B73"/>
    <w:rsid w:val="00875AC0"/>
    <w:rsid w:val="00875F79"/>
    <w:rsid w:val="008779B2"/>
    <w:rsid w:val="00877DC0"/>
    <w:rsid w:val="00882A0B"/>
    <w:rsid w:val="00884755"/>
    <w:rsid w:val="00884ADA"/>
    <w:rsid w:val="00884B83"/>
    <w:rsid w:val="0088767B"/>
    <w:rsid w:val="008908A8"/>
    <w:rsid w:val="00890DFE"/>
    <w:rsid w:val="0089681F"/>
    <w:rsid w:val="008A2BAB"/>
    <w:rsid w:val="008A4C2B"/>
    <w:rsid w:val="008A4F6D"/>
    <w:rsid w:val="008A551E"/>
    <w:rsid w:val="008A6C9A"/>
    <w:rsid w:val="008A7F6A"/>
    <w:rsid w:val="008B03A9"/>
    <w:rsid w:val="008B0AD7"/>
    <w:rsid w:val="008B0EB1"/>
    <w:rsid w:val="008B369A"/>
    <w:rsid w:val="008B3CD1"/>
    <w:rsid w:val="008B41E2"/>
    <w:rsid w:val="008B4EB3"/>
    <w:rsid w:val="008B5403"/>
    <w:rsid w:val="008B5E85"/>
    <w:rsid w:val="008B66BA"/>
    <w:rsid w:val="008C075F"/>
    <w:rsid w:val="008C1E11"/>
    <w:rsid w:val="008C2E2E"/>
    <w:rsid w:val="008D0589"/>
    <w:rsid w:val="008D4A12"/>
    <w:rsid w:val="008D563B"/>
    <w:rsid w:val="008D5EF9"/>
    <w:rsid w:val="008E1DE2"/>
    <w:rsid w:val="008E5FEF"/>
    <w:rsid w:val="008E6070"/>
    <w:rsid w:val="008E6818"/>
    <w:rsid w:val="008E726A"/>
    <w:rsid w:val="008E759A"/>
    <w:rsid w:val="008E790A"/>
    <w:rsid w:val="008F08FA"/>
    <w:rsid w:val="008F127D"/>
    <w:rsid w:val="008F135E"/>
    <w:rsid w:val="008F1822"/>
    <w:rsid w:val="008F3297"/>
    <w:rsid w:val="008F4BB1"/>
    <w:rsid w:val="008F6490"/>
    <w:rsid w:val="008F64A1"/>
    <w:rsid w:val="00900F45"/>
    <w:rsid w:val="009023DA"/>
    <w:rsid w:val="00903748"/>
    <w:rsid w:val="00903AD7"/>
    <w:rsid w:val="00904F3D"/>
    <w:rsid w:val="009074CD"/>
    <w:rsid w:val="00907C84"/>
    <w:rsid w:val="00910D17"/>
    <w:rsid w:val="009115E8"/>
    <w:rsid w:val="0091339E"/>
    <w:rsid w:val="009143A8"/>
    <w:rsid w:val="00915351"/>
    <w:rsid w:val="00916282"/>
    <w:rsid w:val="00916DD3"/>
    <w:rsid w:val="0092005B"/>
    <w:rsid w:val="00921CC8"/>
    <w:rsid w:val="00922BA3"/>
    <w:rsid w:val="00923D74"/>
    <w:rsid w:val="00925351"/>
    <w:rsid w:val="00925382"/>
    <w:rsid w:val="00925BC6"/>
    <w:rsid w:val="00925C28"/>
    <w:rsid w:val="00927B72"/>
    <w:rsid w:val="00932465"/>
    <w:rsid w:val="0093254E"/>
    <w:rsid w:val="00933E37"/>
    <w:rsid w:val="009350A0"/>
    <w:rsid w:val="00940FF2"/>
    <w:rsid w:val="00943F38"/>
    <w:rsid w:val="00946DEA"/>
    <w:rsid w:val="009470BA"/>
    <w:rsid w:val="0095097D"/>
    <w:rsid w:val="009515A6"/>
    <w:rsid w:val="00952090"/>
    <w:rsid w:val="009541FA"/>
    <w:rsid w:val="0095435A"/>
    <w:rsid w:val="00954ABC"/>
    <w:rsid w:val="00960568"/>
    <w:rsid w:val="0096313B"/>
    <w:rsid w:val="00963A98"/>
    <w:rsid w:val="009653F8"/>
    <w:rsid w:val="00965D36"/>
    <w:rsid w:val="00966D07"/>
    <w:rsid w:val="00970386"/>
    <w:rsid w:val="009706E1"/>
    <w:rsid w:val="00972884"/>
    <w:rsid w:val="00973339"/>
    <w:rsid w:val="00973743"/>
    <w:rsid w:val="009749D1"/>
    <w:rsid w:val="00977300"/>
    <w:rsid w:val="0097765B"/>
    <w:rsid w:val="009805C6"/>
    <w:rsid w:val="009807A4"/>
    <w:rsid w:val="009819C9"/>
    <w:rsid w:val="009835E4"/>
    <w:rsid w:val="00983E7D"/>
    <w:rsid w:val="00985100"/>
    <w:rsid w:val="0098717E"/>
    <w:rsid w:val="00991806"/>
    <w:rsid w:val="0099211C"/>
    <w:rsid w:val="00993F6E"/>
    <w:rsid w:val="00995ABA"/>
    <w:rsid w:val="00995EEE"/>
    <w:rsid w:val="00996950"/>
    <w:rsid w:val="009A1740"/>
    <w:rsid w:val="009A22A3"/>
    <w:rsid w:val="009A23D9"/>
    <w:rsid w:val="009A2FDD"/>
    <w:rsid w:val="009A4A0F"/>
    <w:rsid w:val="009A4ADF"/>
    <w:rsid w:val="009A5FF0"/>
    <w:rsid w:val="009A7542"/>
    <w:rsid w:val="009A7BAC"/>
    <w:rsid w:val="009B17FE"/>
    <w:rsid w:val="009B3052"/>
    <w:rsid w:val="009B49EA"/>
    <w:rsid w:val="009B4FE1"/>
    <w:rsid w:val="009B548E"/>
    <w:rsid w:val="009B6DDC"/>
    <w:rsid w:val="009C06BB"/>
    <w:rsid w:val="009C2937"/>
    <w:rsid w:val="009C2942"/>
    <w:rsid w:val="009C3A86"/>
    <w:rsid w:val="009C438B"/>
    <w:rsid w:val="009C4CF7"/>
    <w:rsid w:val="009C60B3"/>
    <w:rsid w:val="009C6C69"/>
    <w:rsid w:val="009C7221"/>
    <w:rsid w:val="009C763C"/>
    <w:rsid w:val="009C76EF"/>
    <w:rsid w:val="009D0553"/>
    <w:rsid w:val="009D2B76"/>
    <w:rsid w:val="009D2C5D"/>
    <w:rsid w:val="009D3DE6"/>
    <w:rsid w:val="009D597F"/>
    <w:rsid w:val="009D6D98"/>
    <w:rsid w:val="009D7B41"/>
    <w:rsid w:val="009E14F9"/>
    <w:rsid w:val="009E291F"/>
    <w:rsid w:val="009E57C4"/>
    <w:rsid w:val="009F0F87"/>
    <w:rsid w:val="009F3FB5"/>
    <w:rsid w:val="009F423F"/>
    <w:rsid w:val="009F4DCE"/>
    <w:rsid w:val="009F561C"/>
    <w:rsid w:val="009F7222"/>
    <w:rsid w:val="009F7DE2"/>
    <w:rsid w:val="00A003FB"/>
    <w:rsid w:val="00A01402"/>
    <w:rsid w:val="00A02127"/>
    <w:rsid w:val="00A04829"/>
    <w:rsid w:val="00A04C7C"/>
    <w:rsid w:val="00A04E9C"/>
    <w:rsid w:val="00A068EF"/>
    <w:rsid w:val="00A0736D"/>
    <w:rsid w:val="00A077D1"/>
    <w:rsid w:val="00A10148"/>
    <w:rsid w:val="00A10C38"/>
    <w:rsid w:val="00A1165E"/>
    <w:rsid w:val="00A16D6A"/>
    <w:rsid w:val="00A178E0"/>
    <w:rsid w:val="00A1791E"/>
    <w:rsid w:val="00A17D4B"/>
    <w:rsid w:val="00A200DB"/>
    <w:rsid w:val="00A209E4"/>
    <w:rsid w:val="00A21D1D"/>
    <w:rsid w:val="00A23D53"/>
    <w:rsid w:val="00A2444C"/>
    <w:rsid w:val="00A30639"/>
    <w:rsid w:val="00A30E07"/>
    <w:rsid w:val="00A31376"/>
    <w:rsid w:val="00A320B3"/>
    <w:rsid w:val="00A32B30"/>
    <w:rsid w:val="00A33B87"/>
    <w:rsid w:val="00A3667D"/>
    <w:rsid w:val="00A36A66"/>
    <w:rsid w:val="00A37EB3"/>
    <w:rsid w:val="00A40AF9"/>
    <w:rsid w:val="00A41F1A"/>
    <w:rsid w:val="00A43D33"/>
    <w:rsid w:val="00A441A4"/>
    <w:rsid w:val="00A441CA"/>
    <w:rsid w:val="00A46225"/>
    <w:rsid w:val="00A46352"/>
    <w:rsid w:val="00A46824"/>
    <w:rsid w:val="00A47186"/>
    <w:rsid w:val="00A4769D"/>
    <w:rsid w:val="00A50D5D"/>
    <w:rsid w:val="00A519D3"/>
    <w:rsid w:val="00A51E2B"/>
    <w:rsid w:val="00A5305E"/>
    <w:rsid w:val="00A53425"/>
    <w:rsid w:val="00A53B05"/>
    <w:rsid w:val="00A54343"/>
    <w:rsid w:val="00A54535"/>
    <w:rsid w:val="00A54F8F"/>
    <w:rsid w:val="00A55FC3"/>
    <w:rsid w:val="00A620DF"/>
    <w:rsid w:val="00A62B00"/>
    <w:rsid w:val="00A631F5"/>
    <w:rsid w:val="00A64A36"/>
    <w:rsid w:val="00A65B31"/>
    <w:rsid w:val="00A677CF"/>
    <w:rsid w:val="00A71620"/>
    <w:rsid w:val="00A71F89"/>
    <w:rsid w:val="00A72739"/>
    <w:rsid w:val="00A74AEE"/>
    <w:rsid w:val="00A776EA"/>
    <w:rsid w:val="00A80868"/>
    <w:rsid w:val="00A80AFC"/>
    <w:rsid w:val="00A80E21"/>
    <w:rsid w:val="00A80E82"/>
    <w:rsid w:val="00A82934"/>
    <w:rsid w:val="00A838FA"/>
    <w:rsid w:val="00A8399E"/>
    <w:rsid w:val="00A841D1"/>
    <w:rsid w:val="00A844F4"/>
    <w:rsid w:val="00A84909"/>
    <w:rsid w:val="00A84B2C"/>
    <w:rsid w:val="00A85509"/>
    <w:rsid w:val="00A87E0F"/>
    <w:rsid w:val="00A87F5F"/>
    <w:rsid w:val="00A910CA"/>
    <w:rsid w:val="00A92B65"/>
    <w:rsid w:val="00A94129"/>
    <w:rsid w:val="00A94A25"/>
    <w:rsid w:val="00A96422"/>
    <w:rsid w:val="00AA2239"/>
    <w:rsid w:val="00AA25C5"/>
    <w:rsid w:val="00AA41DF"/>
    <w:rsid w:val="00AA4233"/>
    <w:rsid w:val="00AA4EE6"/>
    <w:rsid w:val="00AA7073"/>
    <w:rsid w:val="00AB001F"/>
    <w:rsid w:val="00AB0442"/>
    <w:rsid w:val="00AB2E3D"/>
    <w:rsid w:val="00AB46FB"/>
    <w:rsid w:val="00AB4BA5"/>
    <w:rsid w:val="00AB4BC0"/>
    <w:rsid w:val="00AB61B5"/>
    <w:rsid w:val="00AB68E6"/>
    <w:rsid w:val="00AB72CE"/>
    <w:rsid w:val="00AB7811"/>
    <w:rsid w:val="00AC003F"/>
    <w:rsid w:val="00AC035E"/>
    <w:rsid w:val="00AC06E6"/>
    <w:rsid w:val="00AC0A1B"/>
    <w:rsid w:val="00AC1029"/>
    <w:rsid w:val="00AC16AD"/>
    <w:rsid w:val="00AC304C"/>
    <w:rsid w:val="00AC3FF4"/>
    <w:rsid w:val="00AC64A4"/>
    <w:rsid w:val="00AC6D6F"/>
    <w:rsid w:val="00AC74B0"/>
    <w:rsid w:val="00AC7F01"/>
    <w:rsid w:val="00AD030C"/>
    <w:rsid w:val="00AD0423"/>
    <w:rsid w:val="00AD0740"/>
    <w:rsid w:val="00AD0853"/>
    <w:rsid w:val="00AD1F23"/>
    <w:rsid w:val="00AD360C"/>
    <w:rsid w:val="00AD3A3C"/>
    <w:rsid w:val="00AD60D0"/>
    <w:rsid w:val="00AD7925"/>
    <w:rsid w:val="00AE2C97"/>
    <w:rsid w:val="00AE4B49"/>
    <w:rsid w:val="00AE57F5"/>
    <w:rsid w:val="00AE5F4D"/>
    <w:rsid w:val="00AF2813"/>
    <w:rsid w:val="00AF3579"/>
    <w:rsid w:val="00AF3A82"/>
    <w:rsid w:val="00AF75A9"/>
    <w:rsid w:val="00B0180F"/>
    <w:rsid w:val="00B05BE9"/>
    <w:rsid w:val="00B05BF5"/>
    <w:rsid w:val="00B06D4E"/>
    <w:rsid w:val="00B10BA0"/>
    <w:rsid w:val="00B13DA3"/>
    <w:rsid w:val="00B147E3"/>
    <w:rsid w:val="00B14ADC"/>
    <w:rsid w:val="00B14B0F"/>
    <w:rsid w:val="00B16993"/>
    <w:rsid w:val="00B210F2"/>
    <w:rsid w:val="00B21D39"/>
    <w:rsid w:val="00B22007"/>
    <w:rsid w:val="00B22699"/>
    <w:rsid w:val="00B235BB"/>
    <w:rsid w:val="00B264BC"/>
    <w:rsid w:val="00B26BF9"/>
    <w:rsid w:val="00B27D05"/>
    <w:rsid w:val="00B305E0"/>
    <w:rsid w:val="00B3063D"/>
    <w:rsid w:val="00B30F7D"/>
    <w:rsid w:val="00B32384"/>
    <w:rsid w:val="00B32B3A"/>
    <w:rsid w:val="00B35209"/>
    <w:rsid w:val="00B360E5"/>
    <w:rsid w:val="00B36410"/>
    <w:rsid w:val="00B36DD9"/>
    <w:rsid w:val="00B40928"/>
    <w:rsid w:val="00B4181F"/>
    <w:rsid w:val="00B4221B"/>
    <w:rsid w:val="00B42743"/>
    <w:rsid w:val="00B42C71"/>
    <w:rsid w:val="00B44115"/>
    <w:rsid w:val="00B443B5"/>
    <w:rsid w:val="00B45379"/>
    <w:rsid w:val="00B522E9"/>
    <w:rsid w:val="00B53B34"/>
    <w:rsid w:val="00B579E5"/>
    <w:rsid w:val="00B57A56"/>
    <w:rsid w:val="00B57B85"/>
    <w:rsid w:val="00B57F9A"/>
    <w:rsid w:val="00B63937"/>
    <w:rsid w:val="00B63B99"/>
    <w:rsid w:val="00B6453A"/>
    <w:rsid w:val="00B64FDC"/>
    <w:rsid w:val="00B65735"/>
    <w:rsid w:val="00B66527"/>
    <w:rsid w:val="00B70561"/>
    <w:rsid w:val="00B70BAD"/>
    <w:rsid w:val="00B71F04"/>
    <w:rsid w:val="00B720C7"/>
    <w:rsid w:val="00B72118"/>
    <w:rsid w:val="00B7548B"/>
    <w:rsid w:val="00B76645"/>
    <w:rsid w:val="00B801B3"/>
    <w:rsid w:val="00B80793"/>
    <w:rsid w:val="00B8181E"/>
    <w:rsid w:val="00B82F20"/>
    <w:rsid w:val="00B8338A"/>
    <w:rsid w:val="00B8426A"/>
    <w:rsid w:val="00B8494A"/>
    <w:rsid w:val="00B84AF2"/>
    <w:rsid w:val="00B8557D"/>
    <w:rsid w:val="00B87167"/>
    <w:rsid w:val="00B915C4"/>
    <w:rsid w:val="00B91965"/>
    <w:rsid w:val="00B92B41"/>
    <w:rsid w:val="00B93B4E"/>
    <w:rsid w:val="00B96E06"/>
    <w:rsid w:val="00B9790B"/>
    <w:rsid w:val="00BA0DD0"/>
    <w:rsid w:val="00BA0EA2"/>
    <w:rsid w:val="00BA11C1"/>
    <w:rsid w:val="00BA1DB6"/>
    <w:rsid w:val="00BA4E25"/>
    <w:rsid w:val="00BB082D"/>
    <w:rsid w:val="00BB2388"/>
    <w:rsid w:val="00BB251B"/>
    <w:rsid w:val="00BB3000"/>
    <w:rsid w:val="00BB300C"/>
    <w:rsid w:val="00BB43BE"/>
    <w:rsid w:val="00BB6677"/>
    <w:rsid w:val="00BB75A9"/>
    <w:rsid w:val="00BB7BA4"/>
    <w:rsid w:val="00BC04F3"/>
    <w:rsid w:val="00BC7CF9"/>
    <w:rsid w:val="00BD0CB6"/>
    <w:rsid w:val="00BD16AB"/>
    <w:rsid w:val="00BD16BD"/>
    <w:rsid w:val="00BD57C0"/>
    <w:rsid w:val="00BD66AF"/>
    <w:rsid w:val="00BD6813"/>
    <w:rsid w:val="00BD6D8A"/>
    <w:rsid w:val="00BE0631"/>
    <w:rsid w:val="00BE24CB"/>
    <w:rsid w:val="00BE424D"/>
    <w:rsid w:val="00BE5995"/>
    <w:rsid w:val="00BF0B08"/>
    <w:rsid w:val="00BF1219"/>
    <w:rsid w:val="00BF2326"/>
    <w:rsid w:val="00BF4C2C"/>
    <w:rsid w:val="00BF5CBA"/>
    <w:rsid w:val="00BF642F"/>
    <w:rsid w:val="00BF6BED"/>
    <w:rsid w:val="00BF6F67"/>
    <w:rsid w:val="00BF71F4"/>
    <w:rsid w:val="00C01161"/>
    <w:rsid w:val="00C02E9B"/>
    <w:rsid w:val="00C067ED"/>
    <w:rsid w:val="00C06EEC"/>
    <w:rsid w:val="00C1303C"/>
    <w:rsid w:val="00C13364"/>
    <w:rsid w:val="00C13AF0"/>
    <w:rsid w:val="00C14411"/>
    <w:rsid w:val="00C16D1D"/>
    <w:rsid w:val="00C17B40"/>
    <w:rsid w:val="00C17E57"/>
    <w:rsid w:val="00C21B75"/>
    <w:rsid w:val="00C21EBA"/>
    <w:rsid w:val="00C2434F"/>
    <w:rsid w:val="00C25633"/>
    <w:rsid w:val="00C257D0"/>
    <w:rsid w:val="00C27DFB"/>
    <w:rsid w:val="00C307D7"/>
    <w:rsid w:val="00C3130F"/>
    <w:rsid w:val="00C316BA"/>
    <w:rsid w:val="00C31A25"/>
    <w:rsid w:val="00C31AE7"/>
    <w:rsid w:val="00C3262F"/>
    <w:rsid w:val="00C32892"/>
    <w:rsid w:val="00C34479"/>
    <w:rsid w:val="00C34A0E"/>
    <w:rsid w:val="00C34EA1"/>
    <w:rsid w:val="00C34EEF"/>
    <w:rsid w:val="00C35A02"/>
    <w:rsid w:val="00C36739"/>
    <w:rsid w:val="00C3753D"/>
    <w:rsid w:val="00C4237E"/>
    <w:rsid w:val="00C4257E"/>
    <w:rsid w:val="00C43EFE"/>
    <w:rsid w:val="00C4756E"/>
    <w:rsid w:val="00C47738"/>
    <w:rsid w:val="00C502A6"/>
    <w:rsid w:val="00C50B24"/>
    <w:rsid w:val="00C510C9"/>
    <w:rsid w:val="00C51247"/>
    <w:rsid w:val="00C52206"/>
    <w:rsid w:val="00C526D2"/>
    <w:rsid w:val="00C53417"/>
    <w:rsid w:val="00C55A52"/>
    <w:rsid w:val="00C5737D"/>
    <w:rsid w:val="00C617BD"/>
    <w:rsid w:val="00C62989"/>
    <w:rsid w:val="00C65834"/>
    <w:rsid w:val="00C661C8"/>
    <w:rsid w:val="00C701DE"/>
    <w:rsid w:val="00C707D4"/>
    <w:rsid w:val="00C71491"/>
    <w:rsid w:val="00C7154A"/>
    <w:rsid w:val="00C71EE6"/>
    <w:rsid w:val="00C744D0"/>
    <w:rsid w:val="00C74FB4"/>
    <w:rsid w:val="00C7520F"/>
    <w:rsid w:val="00C75B1F"/>
    <w:rsid w:val="00C76170"/>
    <w:rsid w:val="00C8059D"/>
    <w:rsid w:val="00C82CB9"/>
    <w:rsid w:val="00C834F2"/>
    <w:rsid w:val="00C8486D"/>
    <w:rsid w:val="00C84E21"/>
    <w:rsid w:val="00C86568"/>
    <w:rsid w:val="00C86BC0"/>
    <w:rsid w:val="00C8716C"/>
    <w:rsid w:val="00C8766C"/>
    <w:rsid w:val="00C916A2"/>
    <w:rsid w:val="00C926A4"/>
    <w:rsid w:val="00C933FE"/>
    <w:rsid w:val="00C93DD6"/>
    <w:rsid w:val="00C94291"/>
    <w:rsid w:val="00C94D92"/>
    <w:rsid w:val="00C955D1"/>
    <w:rsid w:val="00C95CB7"/>
    <w:rsid w:val="00C95CCB"/>
    <w:rsid w:val="00C9623A"/>
    <w:rsid w:val="00C976E9"/>
    <w:rsid w:val="00CA0E87"/>
    <w:rsid w:val="00CA21ED"/>
    <w:rsid w:val="00CA2838"/>
    <w:rsid w:val="00CA316A"/>
    <w:rsid w:val="00CA47C4"/>
    <w:rsid w:val="00CA4EFB"/>
    <w:rsid w:val="00CA5454"/>
    <w:rsid w:val="00CA56B4"/>
    <w:rsid w:val="00CA6DCB"/>
    <w:rsid w:val="00CA6EC2"/>
    <w:rsid w:val="00CB0205"/>
    <w:rsid w:val="00CB1241"/>
    <w:rsid w:val="00CB2143"/>
    <w:rsid w:val="00CB21CF"/>
    <w:rsid w:val="00CB2748"/>
    <w:rsid w:val="00CB30CE"/>
    <w:rsid w:val="00CB4317"/>
    <w:rsid w:val="00CB452D"/>
    <w:rsid w:val="00CB564E"/>
    <w:rsid w:val="00CB7157"/>
    <w:rsid w:val="00CB76D8"/>
    <w:rsid w:val="00CB7B6F"/>
    <w:rsid w:val="00CB7FA7"/>
    <w:rsid w:val="00CC18D7"/>
    <w:rsid w:val="00CC20AB"/>
    <w:rsid w:val="00CC21E0"/>
    <w:rsid w:val="00CC24A4"/>
    <w:rsid w:val="00CC29D3"/>
    <w:rsid w:val="00CC3378"/>
    <w:rsid w:val="00CC63D8"/>
    <w:rsid w:val="00CC64D7"/>
    <w:rsid w:val="00CC6735"/>
    <w:rsid w:val="00CC79A4"/>
    <w:rsid w:val="00CD14DD"/>
    <w:rsid w:val="00CD24F4"/>
    <w:rsid w:val="00CD2B87"/>
    <w:rsid w:val="00CD2E11"/>
    <w:rsid w:val="00CD5816"/>
    <w:rsid w:val="00CD5EA3"/>
    <w:rsid w:val="00CD69FD"/>
    <w:rsid w:val="00CD6BAE"/>
    <w:rsid w:val="00CD738B"/>
    <w:rsid w:val="00CE034F"/>
    <w:rsid w:val="00CE0B32"/>
    <w:rsid w:val="00CE1AE6"/>
    <w:rsid w:val="00CE1C6C"/>
    <w:rsid w:val="00CE1D0E"/>
    <w:rsid w:val="00CE29F0"/>
    <w:rsid w:val="00CE3A2F"/>
    <w:rsid w:val="00CE4430"/>
    <w:rsid w:val="00CE5A8D"/>
    <w:rsid w:val="00CE6489"/>
    <w:rsid w:val="00CE6636"/>
    <w:rsid w:val="00CE6A24"/>
    <w:rsid w:val="00CE70A5"/>
    <w:rsid w:val="00CF0BBF"/>
    <w:rsid w:val="00CF11BA"/>
    <w:rsid w:val="00CF2214"/>
    <w:rsid w:val="00CF265D"/>
    <w:rsid w:val="00CF28F5"/>
    <w:rsid w:val="00CF2DC1"/>
    <w:rsid w:val="00CF3890"/>
    <w:rsid w:val="00CF4838"/>
    <w:rsid w:val="00CF60F7"/>
    <w:rsid w:val="00CF737D"/>
    <w:rsid w:val="00D01265"/>
    <w:rsid w:val="00D0171E"/>
    <w:rsid w:val="00D01E44"/>
    <w:rsid w:val="00D02074"/>
    <w:rsid w:val="00D02477"/>
    <w:rsid w:val="00D02933"/>
    <w:rsid w:val="00D04C20"/>
    <w:rsid w:val="00D04C9B"/>
    <w:rsid w:val="00D04DBF"/>
    <w:rsid w:val="00D06246"/>
    <w:rsid w:val="00D06B07"/>
    <w:rsid w:val="00D06B81"/>
    <w:rsid w:val="00D07015"/>
    <w:rsid w:val="00D077CA"/>
    <w:rsid w:val="00D10ED0"/>
    <w:rsid w:val="00D11F86"/>
    <w:rsid w:val="00D12264"/>
    <w:rsid w:val="00D12274"/>
    <w:rsid w:val="00D127EE"/>
    <w:rsid w:val="00D12A64"/>
    <w:rsid w:val="00D15791"/>
    <w:rsid w:val="00D15ADA"/>
    <w:rsid w:val="00D15D88"/>
    <w:rsid w:val="00D16EC4"/>
    <w:rsid w:val="00D16F30"/>
    <w:rsid w:val="00D17C3C"/>
    <w:rsid w:val="00D22EE4"/>
    <w:rsid w:val="00D24199"/>
    <w:rsid w:val="00D24365"/>
    <w:rsid w:val="00D24E8C"/>
    <w:rsid w:val="00D26E47"/>
    <w:rsid w:val="00D303F0"/>
    <w:rsid w:val="00D3111C"/>
    <w:rsid w:val="00D312A6"/>
    <w:rsid w:val="00D31ECA"/>
    <w:rsid w:val="00D323D0"/>
    <w:rsid w:val="00D33A24"/>
    <w:rsid w:val="00D34807"/>
    <w:rsid w:val="00D356C5"/>
    <w:rsid w:val="00D359FB"/>
    <w:rsid w:val="00D373CF"/>
    <w:rsid w:val="00D451E8"/>
    <w:rsid w:val="00D45E8C"/>
    <w:rsid w:val="00D46FE4"/>
    <w:rsid w:val="00D473F8"/>
    <w:rsid w:val="00D47B5E"/>
    <w:rsid w:val="00D508C1"/>
    <w:rsid w:val="00D50CC4"/>
    <w:rsid w:val="00D52297"/>
    <w:rsid w:val="00D53379"/>
    <w:rsid w:val="00D53873"/>
    <w:rsid w:val="00D55BF6"/>
    <w:rsid w:val="00D576AD"/>
    <w:rsid w:val="00D57A46"/>
    <w:rsid w:val="00D57D06"/>
    <w:rsid w:val="00D57E3E"/>
    <w:rsid w:val="00D60234"/>
    <w:rsid w:val="00D60644"/>
    <w:rsid w:val="00D6175F"/>
    <w:rsid w:val="00D61961"/>
    <w:rsid w:val="00D637E8"/>
    <w:rsid w:val="00D64A5F"/>
    <w:rsid w:val="00D6520F"/>
    <w:rsid w:val="00D65220"/>
    <w:rsid w:val="00D679DF"/>
    <w:rsid w:val="00D67B17"/>
    <w:rsid w:val="00D67B21"/>
    <w:rsid w:val="00D7119A"/>
    <w:rsid w:val="00D7132D"/>
    <w:rsid w:val="00D71409"/>
    <w:rsid w:val="00D71D37"/>
    <w:rsid w:val="00D7205D"/>
    <w:rsid w:val="00D75535"/>
    <w:rsid w:val="00D75C0F"/>
    <w:rsid w:val="00D775C2"/>
    <w:rsid w:val="00D77751"/>
    <w:rsid w:val="00D77FFA"/>
    <w:rsid w:val="00D803CB"/>
    <w:rsid w:val="00D81F51"/>
    <w:rsid w:val="00D8269D"/>
    <w:rsid w:val="00D827AA"/>
    <w:rsid w:val="00D8288E"/>
    <w:rsid w:val="00D8399E"/>
    <w:rsid w:val="00D84539"/>
    <w:rsid w:val="00D851E9"/>
    <w:rsid w:val="00D85574"/>
    <w:rsid w:val="00D90172"/>
    <w:rsid w:val="00D91E7C"/>
    <w:rsid w:val="00D92BF3"/>
    <w:rsid w:val="00D949BE"/>
    <w:rsid w:val="00D9508E"/>
    <w:rsid w:val="00D95957"/>
    <w:rsid w:val="00D95979"/>
    <w:rsid w:val="00D97121"/>
    <w:rsid w:val="00D9750E"/>
    <w:rsid w:val="00D97EEF"/>
    <w:rsid w:val="00DA05E8"/>
    <w:rsid w:val="00DA121F"/>
    <w:rsid w:val="00DA1E54"/>
    <w:rsid w:val="00DA1FAE"/>
    <w:rsid w:val="00DA24F5"/>
    <w:rsid w:val="00DA3328"/>
    <w:rsid w:val="00DA3971"/>
    <w:rsid w:val="00DA4CD5"/>
    <w:rsid w:val="00DA539A"/>
    <w:rsid w:val="00DA7230"/>
    <w:rsid w:val="00DA7A2C"/>
    <w:rsid w:val="00DA7B8A"/>
    <w:rsid w:val="00DA7E7B"/>
    <w:rsid w:val="00DB3A45"/>
    <w:rsid w:val="00DB3FAC"/>
    <w:rsid w:val="00DB473A"/>
    <w:rsid w:val="00DB4E86"/>
    <w:rsid w:val="00DB5F1C"/>
    <w:rsid w:val="00DB62DF"/>
    <w:rsid w:val="00DB6761"/>
    <w:rsid w:val="00DB72D0"/>
    <w:rsid w:val="00DB7AD3"/>
    <w:rsid w:val="00DC0571"/>
    <w:rsid w:val="00DC08AC"/>
    <w:rsid w:val="00DC19AA"/>
    <w:rsid w:val="00DC28AA"/>
    <w:rsid w:val="00DC523D"/>
    <w:rsid w:val="00DC5821"/>
    <w:rsid w:val="00DC6CE6"/>
    <w:rsid w:val="00DD21E8"/>
    <w:rsid w:val="00DD39C7"/>
    <w:rsid w:val="00DD40F8"/>
    <w:rsid w:val="00DD6416"/>
    <w:rsid w:val="00DD78FC"/>
    <w:rsid w:val="00DD7CCB"/>
    <w:rsid w:val="00DD7D9D"/>
    <w:rsid w:val="00DE0D40"/>
    <w:rsid w:val="00DE1B76"/>
    <w:rsid w:val="00DE3D0F"/>
    <w:rsid w:val="00DE4B7A"/>
    <w:rsid w:val="00DE5F5D"/>
    <w:rsid w:val="00DE6488"/>
    <w:rsid w:val="00DE7FE5"/>
    <w:rsid w:val="00DF09A0"/>
    <w:rsid w:val="00DF0A9C"/>
    <w:rsid w:val="00DF253E"/>
    <w:rsid w:val="00DF35D3"/>
    <w:rsid w:val="00DF361D"/>
    <w:rsid w:val="00DF47A4"/>
    <w:rsid w:val="00DF4B57"/>
    <w:rsid w:val="00DF55E9"/>
    <w:rsid w:val="00DF5807"/>
    <w:rsid w:val="00DF5C70"/>
    <w:rsid w:val="00DF651B"/>
    <w:rsid w:val="00DF7AAD"/>
    <w:rsid w:val="00DF7F40"/>
    <w:rsid w:val="00E00443"/>
    <w:rsid w:val="00E007EE"/>
    <w:rsid w:val="00E008E7"/>
    <w:rsid w:val="00E009B5"/>
    <w:rsid w:val="00E01507"/>
    <w:rsid w:val="00E02785"/>
    <w:rsid w:val="00E0316D"/>
    <w:rsid w:val="00E03263"/>
    <w:rsid w:val="00E052EE"/>
    <w:rsid w:val="00E05A25"/>
    <w:rsid w:val="00E0631C"/>
    <w:rsid w:val="00E06B1E"/>
    <w:rsid w:val="00E10BFF"/>
    <w:rsid w:val="00E10D0A"/>
    <w:rsid w:val="00E14C8C"/>
    <w:rsid w:val="00E14DCB"/>
    <w:rsid w:val="00E14DF7"/>
    <w:rsid w:val="00E1546A"/>
    <w:rsid w:val="00E15649"/>
    <w:rsid w:val="00E242C1"/>
    <w:rsid w:val="00E27A9A"/>
    <w:rsid w:val="00E3234E"/>
    <w:rsid w:val="00E33D82"/>
    <w:rsid w:val="00E34361"/>
    <w:rsid w:val="00E34B81"/>
    <w:rsid w:val="00E35BB7"/>
    <w:rsid w:val="00E35E19"/>
    <w:rsid w:val="00E367AD"/>
    <w:rsid w:val="00E369BF"/>
    <w:rsid w:val="00E3724C"/>
    <w:rsid w:val="00E4078E"/>
    <w:rsid w:val="00E42B75"/>
    <w:rsid w:val="00E44F64"/>
    <w:rsid w:val="00E45B9F"/>
    <w:rsid w:val="00E46698"/>
    <w:rsid w:val="00E47062"/>
    <w:rsid w:val="00E47CF5"/>
    <w:rsid w:val="00E504EE"/>
    <w:rsid w:val="00E53709"/>
    <w:rsid w:val="00E5445D"/>
    <w:rsid w:val="00E5597B"/>
    <w:rsid w:val="00E55FD7"/>
    <w:rsid w:val="00E57B6C"/>
    <w:rsid w:val="00E60EDB"/>
    <w:rsid w:val="00E6206A"/>
    <w:rsid w:val="00E63900"/>
    <w:rsid w:val="00E63FB7"/>
    <w:rsid w:val="00E655BF"/>
    <w:rsid w:val="00E670AF"/>
    <w:rsid w:val="00E7001C"/>
    <w:rsid w:val="00E702A9"/>
    <w:rsid w:val="00E70FA5"/>
    <w:rsid w:val="00E72301"/>
    <w:rsid w:val="00E727CB"/>
    <w:rsid w:val="00E731E6"/>
    <w:rsid w:val="00E73299"/>
    <w:rsid w:val="00E75545"/>
    <w:rsid w:val="00E766E1"/>
    <w:rsid w:val="00E76A1C"/>
    <w:rsid w:val="00E81C51"/>
    <w:rsid w:val="00E82238"/>
    <w:rsid w:val="00E85520"/>
    <w:rsid w:val="00E86EB9"/>
    <w:rsid w:val="00E871B8"/>
    <w:rsid w:val="00E91E25"/>
    <w:rsid w:val="00E94D41"/>
    <w:rsid w:val="00E96839"/>
    <w:rsid w:val="00EA0FD6"/>
    <w:rsid w:val="00EA2958"/>
    <w:rsid w:val="00EA2F3D"/>
    <w:rsid w:val="00EA3232"/>
    <w:rsid w:val="00EA38FB"/>
    <w:rsid w:val="00EA4372"/>
    <w:rsid w:val="00EA4612"/>
    <w:rsid w:val="00EA48FE"/>
    <w:rsid w:val="00EA49E9"/>
    <w:rsid w:val="00EA6A48"/>
    <w:rsid w:val="00EA716C"/>
    <w:rsid w:val="00EA768E"/>
    <w:rsid w:val="00EB0B65"/>
    <w:rsid w:val="00EB2224"/>
    <w:rsid w:val="00EC021E"/>
    <w:rsid w:val="00EC1204"/>
    <w:rsid w:val="00EC16A0"/>
    <w:rsid w:val="00EC30C1"/>
    <w:rsid w:val="00EC38A8"/>
    <w:rsid w:val="00EC4EE3"/>
    <w:rsid w:val="00EC71CC"/>
    <w:rsid w:val="00EC7329"/>
    <w:rsid w:val="00ED49A8"/>
    <w:rsid w:val="00ED4F90"/>
    <w:rsid w:val="00ED57E5"/>
    <w:rsid w:val="00ED751D"/>
    <w:rsid w:val="00EE03BA"/>
    <w:rsid w:val="00EE0ECC"/>
    <w:rsid w:val="00EE0F6A"/>
    <w:rsid w:val="00EE28D7"/>
    <w:rsid w:val="00EE2A5D"/>
    <w:rsid w:val="00EE2B46"/>
    <w:rsid w:val="00EE483A"/>
    <w:rsid w:val="00EE56EE"/>
    <w:rsid w:val="00EE678F"/>
    <w:rsid w:val="00EE6C16"/>
    <w:rsid w:val="00EE7056"/>
    <w:rsid w:val="00EE75FE"/>
    <w:rsid w:val="00EF054E"/>
    <w:rsid w:val="00EF0B2A"/>
    <w:rsid w:val="00EF138F"/>
    <w:rsid w:val="00EF14CF"/>
    <w:rsid w:val="00EF2341"/>
    <w:rsid w:val="00EF3BCD"/>
    <w:rsid w:val="00EF6DFC"/>
    <w:rsid w:val="00EF6E44"/>
    <w:rsid w:val="00F015F3"/>
    <w:rsid w:val="00F02BF4"/>
    <w:rsid w:val="00F03F43"/>
    <w:rsid w:val="00F04AA6"/>
    <w:rsid w:val="00F07A80"/>
    <w:rsid w:val="00F14400"/>
    <w:rsid w:val="00F15ED8"/>
    <w:rsid w:val="00F16DF9"/>
    <w:rsid w:val="00F214E7"/>
    <w:rsid w:val="00F21965"/>
    <w:rsid w:val="00F233D0"/>
    <w:rsid w:val="00F23750"/>
    <w:rsid w:val="00F23CB1"/>
    <w:rsid w:val="00F27799"/>
    <w:rsid w:val="00F27D44"/>
    <w:rsid w:val="00F3083A"/>
    <w:rsid w:val="00F308CE"/>
    <w:rsid w:val="00F31C08"/>
    <w:rsid w:val="00F32C72"/>
    <w:rsid w:val="00F333D0"/>
    <w:rsid w:val="00F33868"/>
    <w:rsid w:val="00F3568F"/>
    <w:rsid w:val="00F375B3"/>
    <w:rsid w:val="00F3786A"/>
    <w:rsid w:val="00F37B95"/>
    <w:rsid w:val="00F37FDB"/>
    <w:rsid w:val="00F4227C"/>
    <w:rsid w:val="00F42588"/>
    <w:rsid w:val="00F42968"/>
    <w:rsid w:val="00F443BB"/>
    <w:rsid w:val="00F45CAC"/>
    <w:rsid w:val="00F47059"/>
    <w:rsid w:val="00F4747A"/>
    <w:rsid w:val="00F50C6A"/>
    <w:rsid w:val="00F51015"/>
    <w:rsid w:val="00F5167D"/>
    <w:rsid w:val="00F52535"/>
    <w:rsid w:val="00F52F8E"/>
    <w:rsid w:val="00F5339C"/>
    <w:rsid w:val="00F536B5"/>
    <w:rsid w:val="00F54236"/>
    <w:rsid w:val="00F54CC4"/>
    <w:rsid w:val="00F552A5"/>
    <w:rsid w:val="00F55B6C"/>
    <w:rsid w:val="00F56AA9"/>
    <w:rsid w:val="00F56CB1"/>
    <w:rsid w:val="00F57A2D"/>
    <w:rsid w:val="00F57A3C"/>
    <w:rsid w:val="00F62CBE"/>
    <w:rsid w:val="00F64EC0"/>
    <w:rsid w:val="00F65332"/>
    <w:rsid w:val="00F673C1"/>
    <w:rsid w:val="00F7114C"/>
    <w:rsid w:val="00F71412"/>
    <w:rsid w:val="00F71953"/>
    <w:rsid w:val="00F71DEB"/>
    <w:rsid w:val="00F71F20"/>
    <w:rsid w:val="00F7206C"/>
    <w:rsid w:val="00F738A1"/>
    <w:rsid w:val="00F73D57"/>
    <w:rsid w:val="00F73F1C"/>
    <w:rsid w:val="00F74C45"/>
    <w:rsid w:val="00F74C89"/>
    <w:rsid w:val="00F74CA4"/>
    <w:rsid w:val="00F7558A"/>
    <w:rsid w:val="00F75EA9"/>
    <w:rsid w:val="00F803B3"/>
    <w:rsid w:val="00F82BAC"/>
    <w:rsid w:val="00F84655"/>
    <w:rsid w:val="00F85D3C"/>
    <w:rsid w:val="00F862F7"/>
    <w:rsid w:val="00F863FD"/>
    <w:rsid w:val="00F86FBF"/>
    <w:rsid w:val="00F87990"/>
    <w:rsid w:val="00F9067C"/>
    <w:rsid w:val="00F90D61"/>
    <w:rsid w:val="00F94464"/>
    <w:rsid w:val="00F949F5"/>
    <w:rsid w:val="00F95C66"/>
    <w:rsid w:val="00F95FE8"/>
    <w:rsid w:val="00F96489"/>
    <w:rsid w:val="00FA21E7"/>
    <w:rsid w:val="00FA228C"/>
    <w:rsid w:val="00FA44A3"/>
    <w:rsid w:val="00FA4A8E"/>
    <w:rsid w:val="00FA7D1B"/>
    <w:rsid w:val="00FB0EC9"/>
    <w:rsid w:val="00FB172A"/>
    <w:rsid w:val="00FB3EE4"/>
    <w:rsid w:val="00FB500D"/>
    <w:rsid w:val="00FB63D6"/>
    <w:rsid w:val="00FB6856"/>
    <w:rsid w:val="00FB7804"/>
    <w:rsid w:val="00FC1361"/>
    <w:rsid w:val="00FC177A"/>
    <w:rsid w:val="00FC3351"/>
    <w:rsid w:val="00FC495F"/>
    <w:rsid w:val="00FD1752"/>
    <w:rsid w:val="00FD2FBC"/>
    <w:rsid w:val="00FD499E"/>
    <w:rsid w:val="00FD4A76"/>
    <w:rsid w:val="00FD5A2F"/>
    <w:rsid w:val="00FD5E9C"/>
    <w:rsid w:val="00FD6F5A"/>
    <w:rsid w:val="00FD7691"/>
    <w:rsid w:val="00FE141D"/>
    <w:rsid w:val="00FE14F3"/>
    <w:rsid w:val="00FE2181"/>
    <w:rsid w:val="00FE3B14"/>
    <w:rsid w:val="00FE4D83"/>
    <w:rsid w:val="00FE64B2"/>
    <w:rsid w:val="00FE705F"/>
    <w:rsid w:val="00FE782E"/>
    <w:rsid w:val="00FE7BF5"/>
    <w:rsid w:val="00FE7EE1"/>
    <w:rsid w:val="00FF0245"/>
    <w:rsid w:val="00FF10F0"/>
    <w:rsid w:val="00FF15C6"/>
    <w:rsid w:val="00FF1A8F"/>
    <w:rsid w:val="00FF31BB"/>
    <w:rsid w:val="00FF3F74"/>
    <w:rsid w:val="00FF5564"/>
    <w:rsid w:val="00FF60C7"/>
    <w:rsid w:val="00FF667F"/>
    <w:rsid w:val="00FF66A5"/>
    <w:rsid w:val="00FF72E9"/>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015"/>
    <w:rPr>
      <w:sz w:val="24"/>
      <w:szCs w:val="24"/>
    </w:rPr>
  </w:style>
  <w:style w:type="paragraph" w:styleId="Heading1">
    <w:name w:val="heading 1"/>
    <w:basedOn w:val="Normal"/>
    <w:next w:val="Normal"/>
    <w:link w:val="Heading1Char"/>
    <w:uiPriority w:val="9"/>
    <w:qFormat/>
    <w:rsid w:val="001C0B8A"/>
    <w:pPr>
      <w:keepNext/>
      <w:spacing w:before="960" w:after="60"/>
      <w:jc w:val="center"/>
      <w:outlineLvl w:val="0"/>
    </w:pPr>
    <w:rPr>
      <w:rFonts w:ascii="Arial" w:hAnsi="Arial" w:cs="Arial"/>
      <w:b/>
      <w:bCs/>
      <w:kern w:val="32"/>
      <w:sz w:val="36"/>
      <w:szCs w:val="36"/>
    </w:rPr>
  </w:style>
  <w:style w:type="paragraph" w:styleId="Heading2">
    <w:name w:val="heading 2"/>
    <w:basedOn w:val="Normal"/>
    <w:next w:val="Normal"/>
    <w:link w:val="Heading2Char"/>
    <w:uiPriority w:val="9"/>
    <w:unhideWhenUsed/>
    <w:qFormat/>
    <w:rsid w:val="000A359F"/>
    <w:pPr>
      <w:keepNext/>
      <w:spacing w:before="240" w:after="60"/>
      <w:outlineLvl w:val="1"/>
    </w:pPr>
    <w:rPr>
      <w:rFonts w:ascii="Arial" w:hAnsi="Arial" w:cs="Arial"/>
      <w:b/>
      <w:bCs/>
      <w:iCs/>
      <w:noProof/>
    </w:rPr>
  </w:style>
  <w:style w:type="paragraph" w:styleId="Heading3">
    <w:name w:val="heading 3"/>
    <w:basedOn w:val="3rdheading"/>
    <w:next w:val="Normal"/>
    <w:link w:val="Heading3Char"/>
    <w:uiPriority w:val="9"/>
    <w:qFormat/>
    <w:rsid w:val="00A53B05"/>
    <w:pPr>
      <w:spacing w:before="240"/>
      <w:outlineLvl w:val="2"/>
    </w:pPr>
    <w:rPr>
      <w:rFonts w:ascii="Arial" w:hAnsi="Arial" w:cs="Arial"/>
      <w:i/>
      <w:sz w:val="22"/>
      <w:szCs w:val="22"/>
    </w:rPr>
  </w:style>
  <w:style w:type="paragraph" w:styleId="Heading4">
    <w:name w:val="heading 4"/>
    <w:basedOn w:val="Normal"/>
    <w:next w:val="Normal"/>
    <w:link w:val="Heading4Char"/>
    <w:uiPriority w:val="9"/>
    <w:unhideWhenUsed/>
    <w:qFormat/>
    <w:rsid w:val="002E3923"/>
    <w:pPr>
      <w:keepNext/>
      <w:spacing w:before="120"/>
      <w:outlineLvl w:val="3"/>
    </w:pPr>
    <w:rPr>
      <w:rFonts w:ascii="Calibri" w:hAnsi="Calibri" w:cs="Arial"/>
      <w:b/>
      <w:bCs/>
    </w:rPr>
  </w:style>
  <w:style w:type="paragraph" w:styleId="Heading5">
    <w:name w:val="heading 5"/>
    <w:basedOn w:val="Normal"/>
    <w:next w:val="Normal"/>
    <w:link w:val="Heading5Char"/>
    <w:uiPriority w:val="9"/>
    <w:unhideWhenUsed/>
    <w:qFormat/>
    <w:rsid w:val="00DA121F"/>
    <w:pPr>
      <w:keepNext/>
      <w:keepLines/>
      <w:spacing w:before="120" w:line="276" w:lineRule="auto"/>
      <w:outlineLvl w:val="4"/>
    </w:pPr>
    <w:rPr>
      <w:rFonts w:asciiTheme="majorHAnsi" w:eastAsiaTheme="majorEastAsia" w:hAnsiTheme="majorHAnsi" w:cstheme="majorBidi"/>
      <w:i/>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571"/>
    <w:pPr>
      <w:shd w:val="clear" w:color="auto" w:fill="948A54"/>
      <w:tabs>
        <w:tab w:val="center" w:pos="4320"/>
        <w:tab w:val="right" w:pos="8640"/>
      </w:tabs>
      <w:spacing w:after="360"/>
    </w:pPr>
    <w:rPr>
      <w:rFonts w:ascii="Calibri" w:hAnsi="Calibri"/>
      <w:noProof/>
    </w:rPr>
  </w:style>
  <w:style w:type="paragraph" w:styleId="Footer">
    <w:name w:val="footer"/>
    <w:basedOn w:val="Normal"/>
    <w:link w:val="FooterChar"/>
    <w:uiPriority w:val="99"/>
    <w:rsid w:val="002523BD"/>
    <w:pPr>
      <w:tabs>
        <w:tab w:val="center" w:pos="4320"/>
        <w:tab w:val="right" w:pos="8640"/>
      </w:tabs>
    </w:pPr>
  </w:style>
  <w:style w:type="paragraph" w:customStyle="1" w:styleId="text">
    <w:name w:val="text"/>
    <w:basedOn w:val="Normal"/>
    <w:link w:val="textChar"/>
    <w:rsid w:val="002523BD"/>
    <w:rPr>
      <w:rFonts w:ascii="Novarese Bk BT" w:hAnsi="Novarese Bk BT"/>
      <w:sz w:val="20"/>
      <w:szCs w:val="20"/>
    </w:rPr>
  </w:style>
  <w:style w:type="character" w:customStyle="1" w:styleId="textChar">
    <w:name w:val="text Char"/>
    <w:link w:val="text"/>
    <w:rsid w:val="002523BD"/>
    <w:rPr>
      <w:rFonts w:ascii="Novarese Bk BT" w:hAnsi="Novarese Bk BT"/>
      <w:lang w:val="en-US" w:eastAsia="en-US" w:bidi="ar-SA"/>
    </w:rPr>
  </w:style>
  <w:style w:type="paragraph" w:customStyle="1" w:styleId="headings">
    <w:name w:val="headings"/>
    <w:basedOn w:val="Heading3"/>
    <w:link w:val="headingsChar"/>
    <w:rsid w:val="00EA6A48"/>
  </w:style>
  <w:style w:type="character" w:styleId="FollowedHyperlink">
    <w:name w:val="FollowedHyperlink"/>
    <w:rsid w:val="002523BD"/>
    <w:rPr>
      <w:color w:val="800080"/>
      <w:u w:val="single"/>
    </w:rPr>
  </w:style>
  <w:style w:type="paragraph" w:styleId="BalloonText">
    <w:name w:val="Balloon Text"/>
    <w:basedOn w:val="Normal"/>
    <w:link w:val="BalloonTextChar"/>
    <w:uiPriority w:val="99"/>
    <w:semiHidden/>
    <w:rsid w:val="002523BD"/>
    <w:rPr>
      <w:rFonts w:ascii="Tahoma" w:hAnsi="Tahoma" w:cs="Tahoma"/>
      <w:sz w:val="16"/>
      <w:szCs w:val="16"/>
    </w:rPr>
  </w:style>
  <w:style w:type="character" w:styleId="FootnoteReference">
    <w:name w:val="footnote reference"/>
    <w:uiPriority w:val="99"/>
    <w:semiHidden/>
    <w:rsid w:val="002523BD"/>
    <w:rPr>
      <w:vertAlign w:val="superscript"/>
    </w:rPr>
  </w:style>
  <w:style w:type="paragraph" w:styleId="FootnoteText">
    <w:name w:val="footnote text"/>
    <w:basedOn w:val="Normal"/>
    <w:link w:val="FootnoteTextChar"/>
    <w:uiPriority w:val="99"/>
    <w:semiHidden/>
    <w:rsid w:val="002E11DD"/>
    <w:pPr>
      <w:spacing w:before="240"/>
    </w:pPr>
    <w:rPr>
      <w:sz w:val="20"/>
      <w:szCs w:val="20"/>
    </w:rPr>
  </w:style>
  <w:style w:type="character" w:customStyle="1" w:styleId="headingsChar">
    <w:name w:val="headings Char"/>
    <w:link w:val="headings"/>
    <w:rsid w:val="00EA6A48"/>
    <w:rPr>
      <w:rFonts w:ascii="Arial" w:hAnsi="Arial" w:cs="Arial"/>
      <w:b/>
      <w:bCs/>
      <w:sz w:val="26"/>
      <w:szCs w:val="26"/>
    </w:rPr>
  </w:style>
  <w:style w:type="table" w:styleId="TableGrid">
    <w:name w:val="Table Grid"/>
    <w:basedOn w:val="TableNormal"/>
    <w:uiPriority w:val="59"/>
    <w:rsid w:val="0067290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C06E6"/>
    <w:pPr>
      <w:ind w:left="1080"/>
    </w:pPr>
  </w:style>
  <w:style w:type="paragraph" w:styleId="ListParagraph">
    <w:name w:val="List Paragraph"/>
    <w:basedOn w:val="Normal"/>
    <w:uiPriority w:val="34"/>
    <w:qFormat/>
    <w:rsid w:val="00B8494A"/>
    <w:pPr>
      <w:ind w:left="720"/>
    </w:pPr>
  </w:style>
  <w:style w:type="paragraph" w:customStyle="1" w:styleId="StyleheadingsLeft05">
    <w:name w:val="Style headings + Left:  0.5&quot;"/>
    <w:basedOn w:val="headings"/>
    <w:autoRedefine/>
    <w:rsid w:val="00E86EB9"/>
    <w:pPr>
      <w:ind w:left="720"/>
    </w:pPr>
    <w:rPr>
      <w:rFonts w:cs="Times New Roman"/>
    </w:rPr>
  </w:style>
  <w:style w:type="character" w:customStyle="1" w:styleId="Style10pt">
    <w:name w:val="Style 10 pt"/>
    <w:rsid w:val="00B305E0"/>
    <w:rPr>
      <w:sz w:val="22"/>
    </w:rPr>
  </w:style>
  <w:style w:type="paragraph" w:customStyle="1" w:styleId="Style10ptLeft05">
    <w:name w:val="Style 10 pt Left:  0.5&quot;"/>
    <w:basedOn w:val="Normal"/>
    <w:rsid w:val="00B305E0"/>
    <w:pPr>
      <w:ind w:left="720"/>
    </w:pPr>
    <w:rPr>
      <w:sz w:val="22"/>
      <w:szCs w:val="20"/>
    </w:rPr>
  </w:style>
  <w:style w:type="character" w:customStyle="1" w:styleId="HeaderChar">
    <w:name w:val="Header Char"/>
    <w:link w:val="Header"/>
    <w:uiPriority w:val="99"/>
    <w:rsid w:val="00DC0571"/>
    <w:rPr>
      <w:rFonts w:ascii="Calibri" w:hAnsi="Calibri"/>
      <w:noProof/>
      <w:sz w:val="24"/>
      <w:szCs w:val="24"/>
      <w:shd w:val="clear" w:color="auto" w:fill="948A54"/>
    </w:rPr>
  </w:style>
  <w:style w:type="character" w:customStyle="1" w:styleId="FooterChar">
    <w:name w:val="Footer Char"/>
    <w:link w:val="Footer"/>
    <w:uiPriority w:val="99"/>
    <w:rsid w:val="004A2CBD"/>
    <w:rPr>
      <w:sz w:val="24"/>
      <w:szCs w:val="24"/>
    </w:rPr>
  </w:style>
  <w:style w:type="character" w:customStyle="1" w:styleId="Heading1Char">
    <w:name w:val="Heading 1 Char"/>
    <w:link w:val="Heading1"/>
    <w:uiPriority w:val="9"/>
    <w:rsid w:val="001C0B8A"/>
    <w:rPr>
      <w:rFonts w:ascii="Arial" w:hAnsi="Arial" w:cs="Arial"/>
      <w:b/>
      <w:bCs/>
      <w:kern w:val="32"/>
      <w:sz w:val="36"/>
      <w:szCs w:val="36"/>
    </w:rPr>
  </w:style>
  <w:style w:type="paragraph" w:styleId="Title">
    <w:name w:val="Title"/>
    <w:basedOn w:val="Normal"/>
    <w:next w:val="Normal"/>
    <w:link w:val="TitleChar"/>
    <w:qFormat/>
    <w:rsid w:val="00716620"/>
    <w:pPr>
      <w:shd w:val="clear" w:color="auto" w:fill="4F81BD"/>
      <w:tabs>
        <w:tab w:val="center" w:pos="5760"/>
      </w:tabs>
      <w:jc w:val="center"/>
      <w:outlineLvl w:val="0"/>
    </w:pPr>
    <w:rPr>
      <w:rFonts w:ascii="Tahoma" w:hAnsi="Tahoma" w:cs="Tahoma"/>
      <w:b/>
      <w:bCs/>
      <w:noProof/>
      <w:color w:val="F2F2F2"/>
      <w:kern w:val="28"/>
      <w:sz w:val="64"/>
      <w:szCs w:val="64"/>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716620"/>
    <w:rPr>
      <w:rFonts w:ascii="Tahoma" w:hAnsi="Tahoma" w:cs="Tahoma"/>
      <w:b/>
      <w:bCs/>
      <w:noProof/>
      <w:color w:val="F2F2F2"/>
      <w:kern w:val="28"/>
      <w:sz w:val="64"/>
      <w:szCs w:val="64"/>
      <w:shd w:val="clear" w:color="auto" w:fill="4F81BD"/>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qFormat/>
    <w:rsid w:val="00716620"/>
    <w:pPr>
      <w:shd w:val="clear" w:color="auto" w:fill="4F81BD"/>
      <w:spacing w:after="60"/>
      <w:jc w:val="center"/>
      <w:outlineLvl w:val="1"/>
    </w:pPr>
    <w:rPr>
      <w:rFonts w:ascii="Comic Sans MS" w:hAnsi="Comic Sans MS"/>
      <w:color w:val="F2F2F2"/>
      <w:sz w:val="28"/>
      <w:szCs w:val="28"/>
    </w:rPr>
  </w:style>
  <w:style w:type="character" w:customStyle="1" w:styleId="SubtitleChar">
    <w:name w:val="Subtitle Char"/>
    <w:link w:val="Subtitle"/>
    <w:rsid w:val="00716620"/>
    <w:rPr>
      <w:rFonts w:ascii="Comic Sans MS" w:hAnsi="Comic Sans MS"/>
      <w:color w:val="F2F2F2"/>
      <w:sz w:val="28"/>
      <w:szCs w:val="28"/>
      <w:shd w:val="clear" w:color="auto" w:fill="4F81BD"/>
    </w:rPr>
  </w:style>
  <w:style w:type="character" w:customStyle="1" w:styleId="Heading2Char">
    <w:name w:val="Heading 2 Char"/>
    <w:link w:val="Heading2"/>
    <w:uiPriority w:val="9"/>
    <w:rsid w:val="000A359F"/>
    <w:rPr>
      <w:rFonts w:ascii="Arial" w:hAnsi="Arial" w:cs="Arial"/>
      <w:b/>
      <w:bCs/>
      <w:iCs/>
      <w:noProof/>
      <w:sz w:val="24"/>
      <w:szCs w:val="24"/>
    </w:rPr>
  </w:style>
  <w:style w:type="character" w:customStyle="1" w:styleId="BodyTextIndentChar">
    <w:name w:val="Body Text Indent Char"/>
    <w:link w:val="BodyTextIndent"/>
    <w:rsid w:val="00EA6A48"/>
    <w:rPr>
      <w:sz w:val="24"/>
      <w:szCs w:val="24"/>
    </w:rPr>
  </w:style>
  <w:style w:type="paragraph" w:styleId="BodyText">
    <w:name w:val="Body Text"/>
    <w:basedOn w:val="Normal"/>
    <w:link w:val="BodyTextChar"/>
    <w:uiPriority w:val="99"/>
    <w:rsid w:val="00DC0571"/>
    <w:pPr>
      <w:spacing w:after="120"/>
    </w:pPr>
    <w:rPr>
      <w:rFonts w:ascii="Calibri" w:hAnsi="Calibri" w:cs="Tahoma"/>
    </w:rPr>
  </w:style>
  <w:style w:type="character" w:customStyle="1" w:styleId="BodyTextChar">
    <w:name w:val="Body Text Char"/>
    <w:link w:val="BodyText"/>
    <w:uiPriority w:val="99"/>
    <w:rsid w:val="00DC0571"/>
    <w:rPr>
      <w:rFonts w:ascii="Calibri" w:hAnsi="Calibri" w:cs="Tahoma"/>
      <w:sz w:val="24"/>
      <w:szCs w:val="24"/>
    </w:rPr>
  </w:style>
  <w:style w:type="paragraph" w:styleId="BodyText2">
    <w:name w:val="Body Text 2"/>
    <w:basedOn w:val="Normal"/>
    <w:link w:val="BodyText2Char"/>
    <w:rsid w:val="00B360E5"/>
    <w:pPr>
      <w:spacing w:after="120" w:line="480" w:lineRule="auto"/>
    </w:pPr>
  </w:style>
  <w:style w:type="character" w:customStyle="1" w:styleId="BodyText2Char">
    <w:name w:val="Body Text 2 Char"/>
    <w:link w:val="BodyText2"/>
    <w:rsid w:val="00B360E5"/>
    <w:rPr>
      <w:sz w:val="24"/>
      <w:szCs w:val="24"/>
    </w:rPr>
  </w:style>
  <w:style w:type="paragraph" w:styleId="ListBullet">
    <w:name w:val="List Bullet"/>
    <w:basedOn w:val="Normal"/>
    <w:rsid w:val="00FF3F74"/>
    <w:pPr>
      <w:numPr>
        <w:numId w:val="3"/>
      </w:numPr>
      <w:contextualSpacing/>
    </w:pPr>
  </w:style>
  <w:style w:type="paragraph" w:styleId="ListBullet2">
    <w:name w:val="List Bullet 2"/>
    <w:basedOn w:val="Normal"/>
    <w:rsid w:val="00FF3F74"/>
    <w:pPr>
      <w:numPr>
        <w:numId w:val="4"/>
      </w:numPr>
      <w:contextualSpacing/>
    </w:pPr>
  </w:style>
  <w:style w:type="character" w:styleId="EndnoteReference">
    <w:name w:val="endnote reference"/>
    <w:uiPriority w:val="99"/>
    <w:rsid w:val="00AA41DF"/>
    <w:rPr>
      <w:vertAlign w:val="superscript"/>
    </w:rPr>
  </w:style>
  <w:style w:type="paragraph" w:styleId="EndnoteText">
    <w:name w:val="endnote text"/>
    <w:basedOn w:val="Normal"/>
    <w:link w:val="EndnoteTextChar"/>
    <w:uiPriority w:val="99"/>
    <w:rsid w:val="00AA41DF"/>
    <w:rPr>
      <w:sz w:val="20"/>
      <w:szCs w:val="20"/>
    </w:rPr>
  </w:style>
  <w:style w:type="character" w:customStyle="1" w:styleId="EndnoteTextChar">
    <w:name w:val="Endnote Text Char"/>
    <w:basedOn w:val="DefaultParagraphFont"/>
    <w:link w:val="EndnoteText"/>
    <w:uiPriority w:val="99"/>
    <w:rsid w:val="00AA41DF"/>
  </w:style>
  <w:style w:type="paragraph" w:styleId="NoSpacing">
    <w:name w:val="No Spacing"/>
    <w:link w:val="NoSpacingChar"/>
    <w:uiPriority w:val="1"/>
    <w:qFormat/>
    <w:rsid w:val="00716620"/>
    <w:rPr>
      <w:rFonts w:ascii="Calibri" w:hAnsi="Calibri"/>
      <w:sz w:val="22"/>
      <w:szCs w:val="22"/>
    </w:rPr>
  </w:style>
  <w:style w:type="character" w:customStyle="1" w:styleId="NoSpacingChar">
    <w:name w:val="No Spacing Char"/>
    <w:link w:val="NoSpacing"/>
    <w:uiPriority w:val="1"/>
    <w:rsid w:val="00716620"/>
    <w:rPr>
      <w:rFonts w:ascii="Calibri" w:hAnsi="Calibri"/>
      <w:sz w:val="22"/>
      <w:szCs w:val="22"/>
      <w:lang w:val="en-US" w:eastAsia="en-US" w:bidi="ar-SA"/>
    </w:rPr>
  </w:style>
  <w:style w:type="paragraph" w:styleId="Caption">
    <w:name w:val="caption"/>
    <w:basedOn w:val="Normal"/>
    <w:next w:val="Normal"/>
    <w:unhideWhenUsed/>
    <w:qFormat/>
    <w:rsid w:val="002E11DD"/>
    <w:rPr>
      <w:b/>
      <w:bCs/>
      <w:sz w:val="20"/>
      <w:szCs w:val="20"/>
    </w:rPr>
  </w:style>
  <w:style w:type="paragraph" w:styleId="DocumentMap">
    <w:name w:val="Document Map"/>
    <w:basedOn w:val="Normal"/>
    <w:link w:val="DocumentMapChar"/>
    <w:rsid w:val="00CA56B4"/>
    <w:rPr>
      <w:rFonts w:ascii="Tahoma" w:hAnsi="Tahoma" w:cs="Tahoma"/>
      <w:sz w:val="16"/>
      <w:szCs w:val="16"/>
    </w:rPr>
  </w:style>
  <w:style w:type="character" w:customStyle="1" w:styleId="DocumentMapChar">
    <w:name w:val="Document Map Char"/>
    <w:link w:val="DocumentMap"/>
    <w:rsid w:val="00CA56B4"/>
    <w:rPr>
      <w:rFonts w:ascii="Tahoma" w:hAnsi="Tahoma" w:cs="Tahoma"/>
      <w:sz w:val="16"/>
      <w:szCs w:val="16"/>
    </w:rPr>
  </w:style>
  <w:style w:type="character" w:customStyle="1" w:styleId="Heading4Char">
    <w:name w:val="Heading 4 Char"/>
    <w:link w:val="Heading4"/>
    <w:uiPriority w:val="9"/>
    <w:rsid w:val="002E3923"/>
    <w:rPr>
      <w:rFonts w:ascii="Calibri" w:hAnsi="Calibri" w:cs="Arial"/>
      <w:b/>
      <w:bCs/>
      <w:sz w:val="24"/>
      <w:szCs w:val="24"/>
    </w:rPr>
  </w:style>
  <w:style w:type="character" w:customStyle="1" w:styleId="Heading3Char">
    <w:name w:val="Heading 3 Char"/>
    <w:link w:val="Heading3"/>
    <w:uiPriority w:val="9"/>
    <w:rsid w:val="00A53B05"/>
    <w:rPr>
      <w:rFonts w:ascii="Arial" w:hAnsi="Arial" w:cs="Arial"/>
      <w:b/>
      <w:i/>
      <w:sz w:val="22"/>
      <w:szCs w:val="22"/>
    </w:rPr>
  </w:style>
  <w:style w:type="paragraph" w:customStyle="1" w:styleId="2ndheading">
    <w:name w:val="2nd heading"/>
    <w:basedOn w:val="Normal"/>
    <w:qFormat/>
    <w:rsid w:val="00AC16AD"/>
    <w:pPr>
      <w:keepNext/>
      <w:keepLines/>
    </w:pPr>
    <w:rPr>
      <w:rFonts w:ascii="Arial Black" w:hAnsi="Arial Black"/>
      <w:sz w:val="22"/>
    </w:rPr>
  </w:style>
  <w:style w:type="paragraph" w:customStyle="1" w:styleId="3rdheading">
    <w:name w:val="3rd heading"/>
    <w:basedOn w:val="Normal"/>
    <w:qFormat/>
    <w:rsid w:val="00AC16AD"/>
    <w:pPr>
      <w:keepNext/>
      <w:keepLines/>
      <w:spacing w:after="120" w:line="320" w:lineRule="exact"/>
    </w:pPr>
    <w:rPr>
      <w:rFonts w:ascii="Novarese Bk BT" w:hAnsi="Novarese Bk BT"/>
      <w:b/>
    </w:rPr>
  </w:style>
  <w:style w:type="character" w:styleId="Hyperlink">
    <w:name w:val="Hyperlink"/>
    <w:uiPriority w:val="99"/>
    <w:rsid w:val="00DC0571"/>
    <w:rPr>
      <w:color w:val="0000FF"/>
      <w:u w:val="single"/>
    </w:rPr>
  </w:style>
  <w:style w:type="paragraph" w:customStyle="1" w:styleId="TableTitle">
    <w:name w:val="Table Title"/>
    <w:basedOn w:val="BodyText"/>
    <w:link w:val="TableTitleChar"/>
    <w:qFormat/>
    <w:rsid w:val="000771FB"/>
    <w:pPr>
      <w:spacing w:before="240"/>
      <w:jc w:val="center"/>
    </w:pPr>
    <w:rPr>
      <w:b/>
    </w:rPr>
  </w:style>
  <w:style w:type="paragraph" w:customStyle="1" w:styleId="tablesource">
    <w:name w:val="table source"/>
    <w:basedOn w:val="BodyText"/>
    <w:link w:val="tablesourceChar"/>
    <w:qFormat/>
    <w:rsid w:val="000771FB"/>
    <w:rPr>
      <w:sz w:val="16"/>
      <w:szCs w:val="16"/>
    </w:rPr>
  </w:style>
  <w:style w:type="character" w:customStyle="1" w:styleId="TableTitleChar">
    <w:name w:val="Table Title Char"/>
    <w:link w:val="TableTitle"/>
    <w:rsid w:val="000771FB"/>
    <w:rPr>
      <w:rFonts w:ascii="Calibri" w:hAnsi="Calibri" w:cs="Tahoma"/>
      <w:b/>
      <w:sz w:val="24"/>
      <w:szCs w:val="24"/>
    </w:rPr>
  </w:style>
  <w:style w:type="table" w:styleId="TableColumns2">
    <w:name w:val="Table Columns 2"/>
    <w:basedOn w:val="TableNormal"/>
    <w:rsid w:val="009D3DE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sourceChar">
    <w:name w:val="table source Char"/>
    <w:link w:val="tablesource"/>
    <w:rsid w:val="000771FB"/>
    <w:rPr>
      <w:rFonts w:ascii="Calibri" w:hAnsi="Calibri" w:cs="Tahoma"/>
      <w:sz w:val="16"/>
      <w:szCs w:val="16"/>
    </w:rPr>
  </w:style>
  <w:style w:type="paragraph" w:styleId="BlockText">
    <w:name w:val="Block Text"/>
    <w:basedOn w:val="Normal"/>
    <w:rsid w:val="0058418E"/>
    <w:pPr>
      <w:spacing w:after="120"/>
      <w:ind w:left="1440" w:right="1440"/>
    </w:pPr>
  </w:style>
  <w:style w:type="character" w:customStyle="1" w:styleId="Heading5Char">
    <w:name w:val="Heading 5 Char"/>
    <w:basedOn w:val="DefaultParagraphFont"/>
    <w:link w:val="Heading5"/>
    <w:uiPriority w:val="9"/>
    <w:rsid w:val="00DA121F"/>
    <w:rPr>
      <w:rFonts w:asciiTheme="majorHAnsi" w:eastAsiaTheme="majorEastAsia" w:hAnsiTheme="majorHAnsi" w:cstheme="majorBidi"/>
      <w:i/>
      <w:color w:val="4F81BD" w:themeColor="accent1"/>
      <w:sz w:val="22"/>
      <w:szCs w:val="22"/>
    </w:rPr>
  </w:style>
  <w:style w:type="character" w:customStyle="1" w:styleId="BalloonTextChar">
    <w:name w:val="Balloon Text Char"/>
    <w:basedOn w:val="DefaultParagraphFont"/>
    <w:link w:val="BalloonText"/>
    <w:uiPriority w:val="99"/>
    <w:semiHidden/>
    <w:rsid w:val="00DA121F"/>
    <w:rPr>
      <w:rFonts w:ascii="Tahoma" w:hAnsi="Tahoma" w:cs="Tahoma"/>
      <w:sz w:val="16"/>
      <w:szCs w:val="16"/>
    </w:rPr>
  </w:style>
  <w:style w:type="character" w:styleId="CommentReference">
    <w:name w:val="annotation reference"/>
    <w:basedOn w:val="DefaultParagraphFont"/>
    <w:uiPriority w:val="99"/>
    <w:unhideWhenUsed/>
    <w:rsid w:val="00DA121F"/>
    <w:rPr>
      <w:sz w:val="16"/>
      <w:szCs w:val="16"/>
    </w:rPr>
  </w:style>
  <w:style w:type="paragraph" w:styleId="CommentText">
    <w:name w:val="annotation text"/>
    <w:basedOn w:val="Normal"/>
    <w:link w:val="CommentTextChar"/>
    <w:uiPriority w:val="99"/>
    <w:unhideWhenUsed/>
    <w:rsid w:val="00DA121F"/>
    <w:pPr>
      <w:spacing w:before="120"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A121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DA121F"/>
    <w:rPr>
      <w:b/>
      <w:bCs/>
    </w:rPr>
  </w:style>
  <w:style w:type="character" w:customStyle="1" w:styleId="CommentSubjectChar">
    <w:name w:val="Comment Subject Char"/>
    <w:basedOn w:val="CommentTextChar"/>
    <w:link w:val="CommentSubject"/>
    <w:uiPriority w:val="99"/>
    <w:rsid w:val="00DA121F"/>
    <w:rPr>
      <w:rFonts w:asciiTheme="minorHAnsi" w:eastAsiaTheme="minorHAnsi" w:hAnsiTheme="minorHAnsi" w:cstheme="minorBidi"/>
      <w:b/>
      <w:bCs/>
    </w:rPr>
  </w:style>
  <w:style w:type="character" w:customStyle="1" w:styleId="FootnoteTextChar">
    <w:name w:val="Footnote Text Char"/>
    <w:basedOn w:val="DefaultParagraphFont"/>
    <w:link w:val="FootnoteText"/>
    <w:uiPriority w:val="99"/>
    <w:semiHidden/>
    <w:rsid w:val="00DA121F"/>
  </w:style>
  <w:style w:type="paragraph" w:styleId="NormalWeb">
    <w:name w:val="Normal (Web)"/>
    <w:basedOn w:val="Normal"/>
    <w:uiPriority w:val="99"/>
    <w:unhideWhenUsed/>
    <w:rsid w:val="00DA121F"/>
    <w:pPr>
      <w:spacing w:before="100" w:beforeAutospacing="1" w:after="100" w:afterAutospacing="1"/>
    </w:pPr>
    <w:rPr>
      <w:rFonts w:eastAsiaTheme="minorEastAsia"/>
    </w:rPr>
  </w:style>
  <w:style w:type="paragraph" w:customStyle="1" w:styleId="TableColumnHeaders">
    <w:name w:val="Table Column Headers"/>
    <w:basedOn w:val="BodyText"/>
    <w:qFormat/>
    <w:rsid w:val="006D1660"/>
    <w:rPr>
      <w:b/>
      <w:bCs/>
    </w:rPr>
  </w:style>
  <w:style w:type="paragraph" w:customStyle="1" w:styleId="TableRowLabels">
    <w:name w:val="Table Row Labels"/>
    <w:basedOn w:val="BodyText"/>
    <w:qFormat/>
    <w:rsid w:val="00700203"/>
  </w:style>
  <w:style w:type="paragraph" w:customStyle="1" w:styleId="StyleTableColumnHeadersItalic">
    <w:name w:val="Style Table Column Headers + Italic"/>
    <w:basedOn w:val="TableColumnHeaders"/>
    <w:rsid w:val="00A54343"/>
    <w:pPr>
      <w:jc w:val="center"/>
    </w:pPr>
    <w:rPr>
      <w:i/>
      <w:iCs/>
    </w:rPr>
  </w:style>
  <w:style w:type="paragraph" w:customStyle="1" w:styleId="StyleTableColumnHeadersItalic1">
    <w:name w:val="Style Table Column Headers + Italic1"/>
    <w:basedOn w:val="TableColumnHeaders"/>
    <w:autoRedefine/>
    <w:rsid w:val="00C8766C"/>
    <w:pPr>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015"/>
    <w:rPr>
      <w:sz w:val="24"/>
      <w:szCs w:val="24"/>
    </w:rPr>
  </w:style>
  <w:style w:type="paragraph" w:styleId="Heading1">
    <w:name w:val="heading 1"/>
    <w:basedOn w:val="Normal"/>
    <w:next w:val="Normal"/>
    <w:link w:val="Heading1Char"/>
    <w:uiPriority w:val="9"/>
    <w:qFormat/>
    <w:rsid w:val="001C0B8A"/>
    <w:pPr>
      <w:keepNext/>
      <w:spacing w:before="960" w:after="60"/>
      <w:jc w:val="center"/>
      <w:outlineLvl w:val="0"/>
    </w:pPr>
    <w:rPr>
      <w:rFonts w:ascii="Arial" w:hAnsi="Arial" w:cs="Arial"/>
      <w:b/>
      <w:bCs/>
      <w:kern w:val="32"/>
      <w:sz w:val="36"/>
      <w:szCs w:val="36"/>
    </w:rPr>
  </w:style>
  <w:style w:type="paragraph" w:styleId="Heading2">
    <w:name w:val="heading 2"/>
    <w:basedOn w:val="Normal"/>
    <w:next w:val="Normal"/>
    <w:link w:val="Heading2Char"/>
    <w:uiPriority w:val="9"/>
    <w:unhideWhenUsed/>
    <w:qFormat/>
    <w:rsid w:val="000A359F"/>
    <w:pPr>
      <w:keepNext/>
      <w:spacing w:before="240" w:after="60"/>
      <w:outlineLvl w:val="1"/>
    </w:pPr>
    <w:rPr>
      <w:rFonts w:ascii="Arial" w:hAnsi="Arial" w:cs="Arial"/>
      <w:b/>
      <w:bCs/>
      <w:iCs/>
      <w:noProof/>
    </w:rPr>
  </w:style>
  <w:style w:type="paragraph" w:styleId="Heading3">
    <w:name w:val="heading 3"/>
    <w:basedOn w:val="3rdheading"/>
    <w:next w:val="Normal"/>
    <w:link w:val="Heading3Char"/>
    <w:uiPriority w:val="9"/>
    <w:qFormat/>
    <w:rsid w:val="00A53B05"/>
    <w:pPr>
      <w:spacing w:before="240"/>
      <w:outlineLvl w:val="2"/>
    </w:pPr>
    <w:rPr>
      <w:rFonts w:ascii="Arial" w:hAnsi="Arial" w:cs="Arial"/>
      <w:i/>
      <w:sz w:val="22"/>
      <w:szCs w:val="22"/>
    </w:rPr>
  </w:style>
  <w:style w:type="paragraph" w:styleId="Heading4">
    <w:name w:val="heading 4"/>
    <w:basedOn w:val="Normal"/>
    <w:next w:val="Normal"/>
    <w:link w:val="Heading4Char"/>
    <w:uiPriority w:val="9"/>
    <w:unhideWhenUsed/>
    <w:qFormat/>
    <w:rsid w:val="002E3923"/>
    <w:pPr>
      <w:keepNext/>
      <w:spacing w:before="120"/>
      <w:outlineLvl w:val="3"/>
    </w:pPr>
    <w:rPr>
      <w:rFonts w:ascii="Calibri" w:hAnsi="Calibri" w:cs="Arial"/>
      <w:b/>
      <w:bCs/>
    </w:rPr>
  </w:style>
  <w:style w:type="paragraph" w:styleId="Heading5">
    <w:name w:val="heading 5"/>
    <w:basedOn w:val="Normal"/>
    <w:next w:val="Normal"/>
    <w:link w:val="Heading5Char"/>
    <w:uiPriority w:val="9"/>
    <w:unhideWhenUsed/>
    <w:qFormat/>
    <w:rsid w:val="00DA121F"/>
    <w:pPr>
      <w:keepNext/>
      <w:keepLines/>
      <w:spacing w:before="120" w:line="276" w:lineRule="auto"/>
      <w:outlineLvl w:val="4"/>
    </w:pPr>
    <w:rPr>
      <w:rFonts w:asciiTheme="majorHAnsi" w:eastAsiaTheme="majorEastAsia" w:hAnsiTheme="majorHAnsi" w:cstheme="majorBidi"/>
      <w:i/>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571"/>
    <w:pPr>
      <w:shd w:val="clear" w:color="auto" w:fill="948A54"/>
      <w:tabs>
        <w:tab w:val="center" w:pos="4320"/>
        <w:tab w:val="right" w:pos="8640"/>
      </w:tabs>
      <w:spacing w:after="360"/>
    </w:pPr>
    <w:rPr>
      <w:rFonts w:ascii="Calibri" w:hAnsi="Calibri"/>
      <w:noProof/>
    </w:rPr>
  </w:style>
  <w:style w:type="paragraph" w:styleId="Footer">
    <w:name w:val="footer"/>
    <w:basedOn w:val="Normal"/>
    <w:link w:val="FooterChar"/>
    <w:uiPriority w:val="99"/>
    <w:rsid w:val="002523BD"/>
    <w:pPr>
      <w:tabs>
        <w:tab w:val="center" w:pos="4320"/>
        <w:tab w:val="right" w:pos="8640"/>
      </w:tabs>
    </w:pPr>
  </w:style>
  <w:style w:type="paragraph" w:customStyle="1" w:styleId="text">
    <w:name w:val="text"/>
    <w:basedOn w:val="Normal"/>
    <w:link w:val="textChar"/>
    <w:rsid w:val="002523BD"/>
    <w:rPr>
      <w:rFonts w:ascii="Novarese Bk BT" w:hAnsi="Novarese Bk BT"/>
      <w:sz w:val="20"/>
      <w:szCs w:val="20"/>
    </w:rPr>
  </w:style>
  <w:style w:type="character" w:customStyle="1" w:styleId="textChar">
    <w:name w:val="text Char"/>
    <w:link w:val="text"/>
    <w:rsid w:val="002523BD"/>
    <w:rPr>
      <w:rFonts w:ascii="Novarese Bk BT" w:hAnsi="Novarese Bk BT"/>
      <w:lang w:val="en-US" w:eastAsia="en-US" w:bidi="ar-SA"/>
    </w:rPr>
  </w:style>
  <w:style w:type="paragraph" w:customStyle="1" w:styleId="headings">
    <w:name w:val="headings"/>
    <w:basedOn w:val="Heading3"/>
    <w:link w:val="headingsChar"/>
    <w:rsid w:val="00EA6A48"/>
  </w:style>
  <w:style w:type="character" w:styleId="FollowedHyperlink">
    <w:name w:val="FollowedHyperlink"/>
    <w:rsid w:val="002523BD"/>
    <w:rPr>
      <w:color w:val="800080"/>
      <w:u w:val="single"/>
    </w:rPr>
  </w:style>
  <w:style w:type="paragraph" w:styleId="BalloonText">
    <w:name w:val="Balloon Text"/>
    <w:basedOn w:val="Normal"/>
    <w:link w:val="BalloonTextChar"/>
    <w:uiPriority w:val="99"/>
    <w:semiHidden/>
    <w:rsid w:val="002523BD"/>
    <w:rPr>
      <w:rFonts w:ascii="Tahoma" w:hAnsi="Tahoma" w:cs="Tahoma"/>
      <w:sz w:val="16"/>
      <w:szCs w:val="16"/>
    </w:rPr>
  </w:style>
  <w:style w:type="character" w:styleId="FootnoteReference">
    <w:name w:val="footnote reference"/>
    <w:uiPriority w:val="99"/>
    <w:semiHidden/>
    <w:rsid w:val="002523BD"/>
    <w:rPr>
      <w:vertAlign w:val="superscript"/>
    </w:rPr>
  </w:style>
  <w:style w:type="paragraph" w:styleId="FootnoteText">
    <w:name w:val="footnote text"/>
    <w:basedOn w:val="Normal"/>
    <w:link w:val="FootnoteTextChar"/>
    <w:uiPriority w:val="99"/>
    <w:semiHidden/>
    <w:rsid w:val="002E11DD"/>
    <w:pPr>
      <w:spacing w:before="240"/>
    </w:pPr>
    <w:rPr>
      <w:sz w:val="20"/>
      <w:szCs w:val="20"/>
    </w:rPr>
  </w:style>
  <w:style w:type="character" w:customStyle="1" w:styleId="headingsChar">
    <w:name w:val="headings Char"/>
    <w:link w:val="headings"/>
    <w:rsid w:val="00EA6A48"/>
    <w:rPr>
      <w:rFonts w:ascii="Arial" w:hAnsi="Arial" w:cs="Arial"/>
      <w:b/>
      <w:bCs/>
      <w:sz w:val="26"/>
      <w:szCs w:val="26"/>
    </w:rPr>
  </w:style>
  <w:style w:type="table" w:styleId="TableGrid">
    <w:name w:val="Table Grid"/>
    <w:basedOn w:val="TableNormal"/>
    <w:uiPriority w:val="59"/>
    <w:rsid w:val="0067290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C06E6"/>
    <w:pPr>
      <w:ind w:left="1080"/>
    </w:pPr>
  </w:style>
  <w:style w:type="paragraph" w:styleId="ListParagraph">
    <w:name w:val="List Paragraph"/>
    <w:basedOn w:val="Normal"/>
    <w:uiPriority w:val="34"/>
    <w:qFormat/>
    <w:rsid w:val="00B8494A"/>
    <w:pPr>
      <w:ind w:left="720"/>
    </w:pPr>
  </w:style>
  <w:style w:type="paragraph" w:customStyle="1" w:styleId="StyleheadingsLeft05">
    <w:name w:val="Style headings + Left:  0.5&quot;"/>
    <w:basedOn w:val="headings"/>
    <w:autoRedefine/>
    <w:rsid w:val="00E86EB9"/>
    <w:pPr>
      <w:ind w:left="720"/>
    </w:pPr>
    <w:rPr>
      <w:rFonts w:cs="Times New Roman"/>
    </w:rPr>
  </w:style>
  <w:style w:type="character" w:customStyle="1" w:styleId="Style10pt">
    <w:name w:val="Style 10 pt"/>
    <w:rsid w:val="00B305E0"/>
    <w:rPr>
      <w:sz w:val="22"/>
    </w:rPr>
  </w:style>
  <w:style w:type="paragraph" w:customStyle="1" w:styleId="Style10ptLeft05">
    <w:name w:val="Style 10 pt Left:  0.5&quot;"/>
    <w:basedOn w:val="Normal"/>
    <w:rsid w:val="00B305E0"/>
    <w:pPr>
      <w:ind w:left="720"/>
    </w:pPr>
    <w:rPr>
      <w:sz w:val="22"/>
      <w:szCs w:val="20"/>
    </w:rPr>
  </w:style>
  <w:style w:type="character" w:customStyle="1" w:styleId="HeaderChar">
    <w:name w:val="Header Char"/>
    <w:link w:val="Header"/>
    <w:uiPriority w:val="99"/>
    <w:rsid w:val="00DC0571"/>
    <w:rPr>
      <w:rFonts w:ascii="Calibri" w:hAnsi="Calibri"/>
      <w:noProof/>
      <w:sz w:val="24"/>
      <w:szCs w:val="24"/>
      <w:shd w:val="clear" w:color="auto" w:fill="948A54"/>
    </w:rPr>
  </w:style>
  <w:style w:type="character" w:customStyle="1" w:styleId="FooterChar">
    <w:name w:val="Footer Char"/>
    <w:link w:val="Footer"/>
    <w:uiPriority w:val="99"/>
    <w:rsid w:val="004A2CBD"/>
    <w:rPr>
      <w:sz w:val="24"/>
      <w:szCs w:val="24"/>
    </w:rPr>
  </w:style>
  <w:style w:type="character" w:customStyle="1" w:styleId="Heading1Char">
    <w:name w:val="Heading 1 Char"/>
    <w:link w:val="Heading1"/>
    <w:uiPriority w:val="9"/>
    <w:rsid w:val="001C0B8A"/>
    <w:rPr>
      <w:rFonts w:ascii="Arial" w:hAnsi="Arial" w:cs="Arial"/>
      <w:b/>
      <w:bCs/>
      <w:kern w:val="32"/>
      <w:sz w:val="36"/>
      <w:szCs w:val="36"/>
    </w:rPr>
  </w:style>
  <w:style w:type="paragraph" w:styleId="Title">
    <w:name w:val="Title"/>
    <w:basedOn w:val="Normal"/>
    <w:next w:val="Normal"/>
    <w:link w:val="TitleChar"/>
    <w:qFormat/>
    <w:rsid w:val="00716620"/>
    <w:pPr>
      <w:shd w:val="clear" w:color="auto" w:fill="4F81BD"/>
      <w:tabs>
        <w:tab w:val="center" w:pos="5760"/>
      </w:tabs>
      <w:jc w:val="center"/>
      <w:outlineLvl w:val="0"/>
    </w:pPr>
    <w:rPr>
      <w:rFonts w:ascii="Tahoma" w:hAnsi="Tahoma" w:cs="Tahoma"/>
      <w:b/>
      <w:bCs/>
      <w:noProof/>
      <w:color w:val="F2F2F2"/>
      <w:kern w:val="28"/>
      <w:sz w:val="64"/>
      <w:szCs w:val="64"/>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716620"/>
    <w:rPr>
      <w:rFonts w:ascii="Tahoma" w:hAnsi="Tahoma" w:cs="Tahoma"/>
      <w:b/>
      <w:bCs/>
      <w:noProof/>
      <w:color w:val="F2F2F2"/>
      <w:kern w:val="28"/>
      <w:sz w:val="64"/>
      <w:szCs w:val="64"/>
      <w:shd w:val="clear" w:color="auto" w:fill="4F81BD"/>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qFormat/>
    <w:rsid w:val="00716620"/>
    <w:pPr>
      <w:shd w:val="clear" w:color="auto" w:fill="4F81BD"/>
      <w:spacing w:after="60"/>
      <w:jc w:val="center"/>
      <w:outlineLvl w:val="1"/>
    </w:pPr>
    <w:rPr>
      <w:rFonts w:ascii="Comic Sans MS" w:hAnsi="Comic Sans MS"/>
      <w:color w:val="F2F2F2"/>
      <w:sz w:val="28"/>
      <w:szCs w:val="28"/>
    </w:rPr>
  </w:style>
  <w:style w:type="character" w:customStyle="1" w:styleId="SubtitleChar">
    <w:name w:val="Subtitle Char"/>
    <w:link w:val="Subtitle"/>
    <w:rsid w:val="00716620"/>
    <w:rPr>
      <w:rFonts w:ascii="Comic Sans MS" w:hAnsi="Comic Sans MS"/>
      <w:color w:val="F2F2F2"/>
      <w:sz w:val="28"/>
      <w:szCs w:val="28"/>
      <w:shd w:val="clear" w:color="auto" w:fill="4F81BD"/>
    </w:rPr>
  </w:style>
  <w:style w:type="character" w:customStyle="1" w:styleId="Heading2Char">
    <w:name w:val="Heading 2 Char"/>
    <w:link w:val="Heading2"/>
    <w:uiPriority w:val="9"/>
    <w:rsid w:val="000A359F"/>
    <w:rPr>
      <w:rFonts w:ascii="Arial" w:hAnsi="Arial" w:cs="Arial"/>
      <w:b/>
      <w:bCs/>
      <w:iCs/>
      <w:noProof/>
      <w:sz w:val="24"/>
      <w:szCs w:val="24"/>
    </w:rPr>
  </w:style>
  <w:style w:type="character" w:customStyle="1" w:styleId="BodyTextIndentChar">
    <w:name w:val="Body Text Indent Char"/>
    <w:link w:val="BodyTextIndent"/>
    <w:rsid w:val="00EA6A48"/>
    <w:rPr>
      <w:sz w:val="24"/>
      <w:szCs w:val="24"/>
    </w:rPr>
  </w:style>
  <w:style w:type="paragraph" w:styleId="BodyText">
    <w:name w:val="Body Text"/>
    <w:basedOn w:val="Normal"/>
    <w:link w:val="BodyTextChar"/>
    <w:uiPriority w:val="99"/>
    <w:rsid w:val="00DC0571"/>
    <w:pPr>
      <w:spacing w:after="120"/>
    </w:pPr>
    <w:rPr>
      <w:rFonts w:ascii="Calibri" w:hAnsi="Calibri" w:cs="Tahoma"/>
    </w:rPr>
  </w:style>
  <w:style w:type="character" w:customStyle="1" w:styleId="BodyTextChar">
    <w:name w:val="Body Text Char"/>
    <w:link w:val="BodyText"/>
    <w:uiPriority w:val="99"/>
    <w:rsid w:val="00DC0571"/>
    <w:rPr>
      <w:rFonts w:ascii="Calibri" w:hAnsi="Calibri" w:cs="Tahoma"/>
      <w:sz w:val="24"/>
      <w:szCs w:val="24"/>
    </w:rPr>
  </w:style>
  <w:style w:type="paragraph" w:styleId="BodyText2">
    <w:name w:val="Body Text 2"/>
    <w:basedOn w:val="Normal"/>
    <w:link w:val="BodyText2Char"/>
    <w:rsid w:val="00B360E5"/>
    <w:pPr>
      <w:spacing w:after="120" w:line="480" w:lineRule="auto"/>
    </w:pPr>
  </w:style>
  <w:style w:type="character" w:customStyle="1" w:styleId="BodyText2Char">
    <w:name w:val="Body Text 2 Char"/>
    <w:link w:val="BodyText2"/>
    <w:rsid w:val="00B360E5"/>
    <w:rPr>
      <w:sz w:val="24"/>
      <w:szCs w:val="24"/>
    </w:rPr>
  </w:style>
  <w:style w:type="paragraph" w:styleId="ListBullet">
    <w:name w:val="List Bullet"/>
    <w:basedOn w:val="Normal"/>
    <w:rsid w:val="00FF3F74"/>
    <w:pPr>
      <w:numPr>
        <w:numId w:val="3"/>
      </w:numPr>
      <w:contextualSpacing/>
    </w:pPr>
  </w:style>
  <w:style w:type="paragraph" w:styleId="ListBullet2">
    <w:name w:val="List Bullet 2"/>
    <w:basedOn w:val="Normal"/>
    <w:rsid w:val="00FF3F74"/>
    <w:pPr>
      <w:numPr>
        <w:numId w:val="4"/>
      </w:numPr>
      <w:contextualSpacing/>
    </w:pPr>
  </w:style>
  <w:style w:type="character" w:styleId="EndnoteReference">
    <w:name w:val="endnote reference"/>
    <w:uiPriority w:val="99"/>
    <w:rsid w:val="00AA41DF"/>
    <w:rPr>
      <w:vertAlign w:val="superscript"/>
    </w:rPr>
  </w:style>
  <w:style w:type="paragraph" w:styleId="EndnoteText">
    <w:name w:val="endnote text"/>
    <w:basedOn w:val="Normal"/>
    <w:link w:val="EndnoteTextChar"/>
    <w:uiPriority w:val="99"/>
    <w:rsid w:val="00AA41DF"/>
    <w:rPr>
      <w:sz w:val="20"/>
      <w:szCs w:val="20"/>
    </w:rPr>
  </w:style>
  <w:style w:type="character" w:customStyle="1" w:styleId="EndnoteTextChar">
    <w:name w:val="Endnote Text Char"/>
    <w:basedOn w:val="DefaultParagraphFont"/>
    <w:link w:val="EndnoteText"/>
    <w:uiPriority w:val="99"/>
    <w:rsid w:val="00AA41DF"/>
  </w:style>
  <w:style w:type="paragraph" w:styleId="NoSpacing">
    <w:name w:val="No Spacing"/>
    <w:link w:val="NoSpacingChar"/>
    <w:uiPriority w:val="1"/>
    <w:qFormat/>
    <w:rsid w:val="00716620"/>
    <w:rPr>
      <w:rFonts w:ascii="Calibri" w:hAnsi="Calibri"/>
      <w:sz w:val="22"/>
      <w:szCs w:val="22"/>
    </w:rPr>
  </w:style>
  <w:style w:type="character" w:customStyle="1" w:styleId="NoSpacingChar">
    <w:name w:val="No Spacing Char"/>
    <w:link w:val="NoSpacing"/>
    <w:uiPriority w:val="1"/>
    <w:rsid w:val="00716620"/>
    <w:rPr>
      <w:rFonts w:ascii="Calibri" w:hAnsi="Calibri"/>
      <w:sz w:val="22"/>
      <w:szCs w:val="22"/>
      <w:lang w:val="en-US" w:eastAsia="en-US" w:bidi="ar-SA"/>
    </w:rPr>
  </w:style>
  <w:style w:type="paragraph" w:styleId="Caption">
    <w:name w:val="caption"/>
    <w:basedOn w:val="Normal"/>
    <w:next w:val="Normal"/>
    <w:unhideWhenUsed/>
    <w:qFormat/>
    <w:rsid w:val="002E11DD"/>
    <w:rPr>
      <w:b/>
      <w:bCs/>
      <w:sz w:val="20"/>
      <w:szCs w:val="20"/>
    </w:rPr>
  </w:style>
  <w:style w:type="paragraph" w:styleId="DocumentMap">
    <w:name w:val="Document Map"/>
    <w:basedOn w:val="Normal"/>
    <w:link w:val="DocumentMapChar"/>
    <w:rsid w:val="00CA56B4"/>
    <w:rPr>
      <w:rFonts w:ascii="Tahoma" w:hAnsi="Tahoma" w:cs="Tahoma"/>
      <w:sz w:val="16"/>
      <w:szCs w:val="16"/>
    </w:rPr>
  </w:style>
  <w:style w:type="character" w:customStyle="1" w:styleId="DocumentMapChar">
    <w:name w:val="Document Map Char"/>
    <w:link w:val="DocumentMap"/>
    <w:rsid w:val="00CA56B4"/>
    <w:rPr>
      <w:rFonts w:ascii="Tahoma" w:hAnsi="Tahoma" w:cs="Tahoma"/>
      <w:sz w:val="16"/>
      <w:szCs w:val="16"/>
    </w:rPr>
  </w:style>
  <w:style w:type="character" w:customStyle="1" w:styleId="Heading4Char">
    <w:name w:val="Heading 4 Char"/>
    <w:link w:val="Heading4"/>
    <w:uiPriority w:val="9"/>
    <w:rsid w:val="002E3923"/>
    <w:rPr>
      <w:rFonts w:ascii="Calibri" w:hAnsi="Calibri" w:cs="Arial"/>
      <w:b/>
      <w:bCs/>
      <w:sz w:val="24"/>
      <w:szCs w:val="24"/>
    </w:rPr>
  </w:style>
  <w:style w:type="character" w:customStyle="1" w:styleId="Heading3Char">
    <w:name w:val="Heading 3 Char"/>
    <w:link w:val="Heading3"/>
    <w:uiPriority w:val="9"/>
    <w:rsid w:val="00A53B05"/>
    <w:rPr>
      <w:rFonts w:ascii="Arial" w:hAnsi="Arial" w:cs="Arial"/>
      <w:b/>
      <w:i/>
      <w:sz w:val="22"/>
      <w:szCs w:val="22"/>
    </w:rPr>
  </w:style>
  <w:style w:type="paragraph" w:customStyle="1" w:styleId="2ndheading">
    <w:name w:val="2nd heading"/>
    <w:basedOn w:val="Normal"/>
    <w:qFormat/>
    <w:rsid w:val="00AC16AD"/>
    <w:pPr>
      <w:keepNext/>
      <w:keepLines/>
    </w:pPr>
    <w:rPr>
      <w:rFonts w:ascii="Arial Black" w:hAnsi="Arial Black"/>
      <w:sz w:val="22"/>
    </w:rPr>
  </w:style>
  <w:style w:type="paragraph" w:customStyle="1" w:styleId="3rdheading">
    <w:name w:val="3rd heading"/>
    <w:basedOn w:val="Normal"/>
    <w:qFormat/>
    <w:rsid w:val="00AC16AD"/>
    <w:pPr>
      <w:keepNext/>
      <w:keepLines/>
      <w:spacing w:after="120" w:line="320" w:lineRule="exact"/>
    </w:pPr>
    <w:rPr>
      <w:rFonts w:ascii="Novarese Bk BT" w:hAnsi="Novarese Bk BT"/>
      <w:b/>
    </w:rPr>
  </w:style>
  <w:style w:type="character" w:styleId="Hyperlink">
    <w:name w:val="Hyperlink"/>
    <w:uiPriority w:val="99"/>
    <w:rsid w:val="00DC0571"/>
    <w:rPr>
      <w:color w:val="0000FF"/>
      <w:u w:val="single"/>
    </w:rPr>
  </w:style>
  <w:style w:type="paragraph" w:customStyle="1" w:styleId="TableTitle">
    <w:name w:val="Table Title"/>
    <w:basedOn w:val="BodyText"/>
    <w:link w:val="TableTitleChar"/>
    <w:qFormat/>
    <w:rsid w:val="000771FB"/>
    <w:pPr>
      <w:spacing w:before="240"/>
      <w:jc w:val="center"/>
    </w:pPr>
    <w:rPr>
      <w:b/>
    </w:rPr>
  </w:style>
  <w:style w:type="paragraph" w:customStyle="1" w:styleId="tablesource">
    <w:name w:val="table source"/>
    <w:basedOn w:val="BodyText"/>
    <w:link w:val="tablesourceChar"/>
    <w:qFormat/>
    <w:rsid w:val="000771FB"/>
    <w:rPr>
      <w:sz w:val="16"/>
      <w:szCs w:val="16"/>
    </w:rPr>
  </w:style>
  <w:style w:type="character" w:customStyle="1" w:styleId="TableTitleChar">
    <w:name w:val="Table Title Char"/>
    <w:link w:val="TableTitle"/>
    <w:rsid w:val="000771FB"/>
    <w:rPr>
      <w:rFonts w:ascii="Calibri" w:hAnsi="Calibri" w:cs="Tahoma"/>
      <w:b/>
      <w:sz w:val="24"/>
      <w:szCs w:val="24"/>
    </w:rPr>
  </w:style>
  <w:style w:type="table" w:styleId="TableColumns2">
    <w:name w:val="Table Columns 2"/>
    <w:basedOn w:val="TableNormal"/>
    <w:rsid w:val="009D3DE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sourceChar">
    <w:name w:val="table source Char"/>
    <w:link w:val="tablesource"/>
    <w:rsid w:val="000771FB"/>
    <w:rPr>
      <w:rFonts w:ascii="Calibri" w:hAnsi="Calibri" w:cs="Tahoma"/>
      <w:sz w:val="16"/>
      <w:szCs w:val="16"/>
    </w:rPr>
  </w:style>
  <w:style w:type="paragraph" w:styleId="BlockText">
    <w:name w:val="Block Text"/>
    <w:basedOn w:val="Normal"/>
    <w:rsid w:val="0058418E"/>
    <w:pPr>
      <w:spacing w:after="120"/>
      <w:ind w:left="1440" w:right="1440"/>
    </w:pPr>
  </w:style>
  <w:style w:type="character" w:customStyle="1" w:styleId="Heading5Char">
    <w:name w:val="Heading 5 Char"/>
    <w:basedOn w:val="DefaultParagraphFont"/>
    <w:link w:val="Heading5"/>
    <w:uiPriority w:val="9"/>
    <w:rsid w:val="00DA121F"/>
    <w:rPr>
      <w:rFonts w:asciiTheme="majorHAnsi" w:eastAsiaTheme="majorEastAsia" w:hAnsiTheme="majorHAnsi" w:cstheme="majorBidi"/>
      <w:i/>
      <w:color w:val="4F81BD" w:themeColor="accent1"/>
      <w:sz w:val="22"/>
      <w:szCs w:val="22"/>
    </w:rPr>
  </w:style>
  <w:style w:type="character" w:customStyle="1" w:styleId="BalloonTextChar">
    <w:name w:val="Balloon Text Char"/>
    <w:basedOn w:val="DefaultParagraphFont"/>
    <w:link w:val="BalloonText"/>
    <w:uiPriority w:val="99"/>
    <w:semiHidden/>
    <w:rsid w:val="00DA121F"/>
    <w:rPr>
      <w:rFonts w:ascii="Tahoma" w:hAnsi="Tahoma" w:cs="Tahoma"/>
      <w:sz w:val="16"/>
      <w:szCs w:val="16"/>
    </w:rPr>
  </w:style>
  <w:style w:type="character" w:styleId="CommentReference">
    <w:name w:val="annotation reference"/>
    <w:basedOn w:val="DefaultParagraphFont"/>
    <w:uiPriority w:val="99"/>
    <w:unhideWhenUsed/>
    <w:rsid w:val="00DA121F"/>
    <w:rPr>
      <w:sz w:val="16"/>
      <w:szCs w:val="16"/>
    </w:rPr>
  </w:style>
  <w:style w:type="paragraph" w:styleId="CommentText">
    <w:name w:val="annotation text"/>
    <w:basedOn w:val="Normal"/>
    <w:link w:val="CommentTextChar"/>
    <w:uiPriority w:val="99"/>
    <w:unhideWhenUsed/>
    <w:rsid w:val="00DA121F"/>
    <w:pPr>
      <w:spacing w:before="120"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A121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DA121F"/>
    <w:rPr>
      <w:b/>
      <w:bCs/>
    </w:rPr>
  </w:style>
  <w:style w:type="character" w:customStyle="1" w:styleId="CommentSubjectChar">
    <w:name w:val="Comment Subject Char"/>
    <w:basedOn w:val="CommentTextChar"/>
    <w:link w:val="CommentSubject"/>
    <w:uiPriority w:val="99"/>
    <w:rsid w:val="00DA121F"/>
    <w:rPr>
      <w:rFonts w:asciiTheme="minorHAnsi" w:eastAsiaTheme="minorHAnsi" w:hAnsiTheme="minorHAnsi" w:cstheme="minorBidi"/>
      <w:b/>
      <w:bCs/>
    </w:rPr>
  </w:style>
  <w:style w:type="character" w:customStyle="1" w:styleId="FootnoteTextChar">
    <w:name w:val="Footnote Text Char"/>
    <w:basedOn w:val="DefaultParagraphFont"/>
    <w:link w:val="FootnoteText"/>
    <w:uiPriority w:val="99"/>
    <w:semiHidden/>
    <w:rsid w:val="00DA121F"/>
  </w:style>
  <w:style w:type="paragraph" w:styleId="NormalWeb">
    <w:name w:val="Normal (Web)"/>
    <w:basedOn w:val="Normal"/>
    <w:uiPriority w:val="99"/>
    <w:unhideWhenUsed/>
    <w:rsid w:val="00DA121F"/>
    <w:pPr>
      <w:spacing w:before="100" w:beforeAutospacing="1" w:after="100" w:afterAutospacing="1"/>
    </w:pPr>
    <w:rPr>
      <w:rFonts w:eastAsiaTheme="minorEastAsia"/>
    </w:rPr>
  </w:style>
  <w:style w:type="paragraph" w:customStyle="1" w:styleId="TableColumnHeaders">
    <w:name w:val="Table Column Headers"/>
    <w:basedOn w:val="BodyText"/>
    <w:qFormat/>
    <w:rsid w:val="006D1660"/>
    <w:rPr>
      <w:b/>
      <w:bCs/>
    </w:rPr>
  </w:style>
  <w:style w:type="paragraph" w:customStyle="1" w:styleId="TableRowLabels">
    <w:name w:val="Table Row Labels"/>
    <w:basedOn w:val="BodyText"/>
    <w:qFormat/>
    <w:rsid w:val="00700203"/>
  </w:style>
  <w:style w:type="paragraph" w:customStyle="1" w:styleId="StyleTableColumnHeadersItalic">
    <w:name w:val="Style Table Column Headers + Italic"/>
    <w:basedOn w:val="TableColumnHeaders"/>
    <w:rsid w:val="00A54343"/>
    <w:pPr>
      <w:jc w:val="center"/>
    </w:pPr>
    <w:rPr>
      <w:i/>
      <w:iCs/>
    </w:rPr>
  </w:style>
  <w:style w:type="paragraph" w:customStyle="1" w:styleId="StyleTableColumnHeadersItalic1">
    <w:name w:val="Style Table Column Headers + Italic1"/>
    <w:basedOn w:val="TableColumnHeaders"/>
    <w:autoRedefine/>
    <w:rsid w:val="00C8766C"/>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078">
      <w:bodyDiv w:val="1"/>
      <w:marLeft w:val="0"/>
      <w:marRight w:val="0"/>
      <w:marTop w:val="0"/>
      <w:marBottom w:val="0"/>
      <w:divBdr>
        <w:top w:val="none" w:sz="0" w:space="0" w:color="auto"/>
        <w:left w:val="none" w:sz="0" w:space="0" w:color="auto"/>
        <w:bottom w:val="none" w:sz="0" w:space="0" w:color="auto"/>
        <w:right w:val="none" w:sz="0" w:space="0" w:color="auto"/>
      </w:divBdr>
    </w:div>
    <w:div w:id="12073694">
      <w:bodyDiv w:val="1"/>
      <w:marLeft w:val="0"/>
      <w:marRight w:val="0"/>
      <w:marTop w:val="0"/>
      <w:marBottom w:val="0"/>
      <w:divBdr>
        <w:top w:val="none" w:sz="0" w:space="0" w:color="auto"/>
        <w:left w:val="none" w:sz="0" w:space="0" w:color="auto"/>
        <w:bottom w:val="none" w:sz="0" w:space="0" w:color="auto"/>
        <w:right w:val="none" w:sz="0" w:space="0" w:color="auto"/>
      </w:divBdr>
    </w:div>
    <w:div w:id="54396632">
      <w:bodyDiv w:val="1"/>
      <w:marLeft w:val="0"/>
      <w:marRight w:val="0"/>
      <w:marTop w:val="0"/>
      <w:marBottom w:val="0"/>
      <w:divBdr>
        <w:top w:val="none" w:sz="0" w:space="0" w:color="auto"/>
        <w:left w:val="none" w:sz="0" w:space="0" w:color="auto"/>
        <w:bottom w:val="none" w:sz="0" w:space="0" w:color="auto"/>
        <w:right w:val="none" w:sz="0" w:space="0" w:color="auto"/>
      </w:divBdr>
    </w:div>
    <w:div w:id="82728728">
      <w:bodyDiv w:val="1"/>
      <w:marLeft w:val="0"/>
      <w:marRight w:val="0"/>
      <w:marTop w:val="0"/>
      <w:marBottom w:val="0"/>
      <w:divBdr>
        <w:top w:val="none" w:sz="0" w:space="0" w:color="auto"/>
        <w:left w:val="none" w:sz="0" w:space="0" w:color="auto"/>
        <w:bottom w:val="none" w:sz="0" w:space="0" w:color="auto"/>
        <w:right w:val="none" w:sz="0" w:space="0" w:color="auto"/>
      </w:divBdr>
    </w:div>
    <w:div w:id="221718784">
      <w:bodyDiv w:val="1"/>
      <w:marLeft w:val="0"/>
      <w:marRight w:val="0"/>
      <w:marTop w:val="0"/>
      <w:marBottom w:val="0"/>
      <w:divBdr>
        <w:top w:val="none" w:sz="0" w:space="0" w:color="auto"/>
        <w:left w:val="none" w:sz="0" w:space="0" w:color="auto"/>
        <w:bottom w:val="none" w:sz="0" w:space="0" w:color="auto"/>
        <w:right w:val="none" w:sz="0" w:space="0" w:color="auto"/>
      </w:divBdr>
    </w:div>
    <w:div w:id="292450059">
      <w:bodyDiv w:val="1"/>
      <w:marLeft w:val="0"/>
      <w:marRight w:val="0"/>
      <w:marTop w:val="0"/>
      <w:marBottom w:val="0"/>
      <w:divBdr>
        <w:top w:val="none" w:sz="0" w:space="0" w:color="auto"/>
        <w:left w:val="none" w:sz="0" w:space="0" w:color="auto"/>
        <w:bottom w:val="none" w:sz="0" w:space="0" w:color="auto"/>
        <w:right w:val="none" w:sz="0" w:space="0" w:color="auto"/>
      </w:divBdr>
    </w:div>
    <w:div w:id="455149501">
      <w:bodyDiv w:val="1"/>
      <w:marLeft w:val="0"/>
      <w:marRight w:val="0"/>
      <w:marTop w:val="0"/>
      <w:marBottom w:val="0"/>
      <w:divBdr>
        <w:top w:val="none" w:sz="0" w:space="0" w:color="auto"/>
        <w:left w:val="none" w:sz="0" w:space="0" w:color="auto"/>
        <w:bottom w:val="none" w:sz="0" w:space="0" w:color="auto"/>
        <w:right w:val="none" w:sz="0" w:space="0" w:color="auto"/>
      </w:divBdr>
    </w:div>
    <w:div w:id="491264768">
      <w:bodyDiv w:val="1"/>
      <w:marLeft w:val="0"/>
      <w:marRight w:val="0"/>
      <w:marTop w:val="0"/>
      <w:marBottom w:val="0"/>
      <w:divBdr>
        <w:top w:val="none" w:sz="0" w:space="0" w:color="auto"/>
        <w:left w:val="none" w:sz="0" w:space="0" w:color="auto"/>
        <w:bottom w:val="none" w:sz="0" w:space="0" w:color="auto"/>
        <w:right w:val="none" w:sz="0" w:space="0" w:color="auto"/>
      </w:divBdr>
    </w:div>
    <w:div w:id="520050281">
      <w:bodyDiv w:val="1"/>
      <w:marLeft w:val="0"/>
      <w:marRight w:val="0"/>
      <w:marTop w:val="0"/>
      <w:marBottom w:val="0"/>
      <w:divBdr>
        <w:top w:val="none" w:sz="0" w:space="0" w:color="auto"/>
        <w:left w:val="none" w:sz="0" w:space="0" w:color="auto"/>
        <w:bottom w:val="none" w:sz="0" w:space="0" w:color="auto"/>
        <w:right w:val="none" w:sz="0" w:space="0" w:color="auto"/>
      </w:divBdr>
    </w:div>
    <w:div w:id="581063111">
      <w:bodyDiv w:val="1"/>
      <w:marLeft w:val="0"/>
      <w:marRight w:val="0"/>
      <w:marTop w:val="0"/>
      <w:marBottom w:val="0"/>
      <w:divBdr>
        <w:top w:val="none" w:sz="0" w:space="0" w:color="auto"/>
        <w:left w:val="none" w:sz="0" w:space="0" w:color="auto"/>
        <w:bottom w:val="none" w:sz="0" w:space="0" w:color="auto"/>
        <w:right w:val="none" w:sz="0" w:space="0" w:color="auto"/>
      </w:divBdr>
    </w:div>
    <w:div w:id="639186720">
      <w:bodyDiv w:val="1"/>
      <w:marLeft w:val="0"/>
      <w:marRight w:val="0"/>
      <w:marTop w:val="0"/>
      <w:marBottom w:val="0"/>
      <w:divBdr>
        <w:top w:val="none" w:sz="0" w:space="0" w:color="auto"/>
        <w:left w:val="none" w:sz="0" w:space="0" w:color="auto"/>
        <w:bottom w:val="none" w:sz="0" w:space="0" w:color="auto"/>
        <w:right w:val="none" w:sz="0" w:space="0" w:color="auto"/>
      </w:divBdr>
    </w:div>
    <w:div w:id="687755964">
      <w:bodyDiv w:val="1"/>
      <w:marLeft w:val="0"/>
      <w:marRight w:val="0"/>
      <w:marTop w:val="0"/>
      <w:marBottom w:val="0"/>
      <w:divBdr>
        <w:top w:val="none" w:sz="0" w:space="0" w:color="auto"/>
        <w:left w:val="none" w:sz="0" w:space="0" w:color="auto"/>
        <w:bottom w:val="none" w:sz="0" w:space="0" w:color="auto"/>
        <w:right w:val="none" w:sz="0" w:space="0" w:color="auto"/>
      </w:divBdr>
    </w:div>
    <w:div w:id="693312169">
      <w:bodyDiv w:val="1"/>
      <w:marLeft w:val="0"/>
      <w:marRight w:val="0"/>
      <w:marTop w:val="0"/>
      <w:marBottom w:val="0"/>
      <w:divBdr>
        <w:top w:val="none" w:sz="0" w:space="0" w:color="auto"/>
        <w:left w:val="none" w:sz="0" w:space="0" w:color="auto"/>
        <w:bottom w:val="none" w:sz="0" w:space="0" w:color="auto"/>
        <w:right w:val="none" w:sz="0" w:space="0" w:color="auto"/>
      </w:divBdr>
    </w:div>
    <w:div w:id="932399421">
      <w:bodyDiv w:val="1"/>
      <w:marLeft w:val="0"/>
      <w:marRight w:val="0"/>
      <w:marTop w:val="0"/>
      <w:marBottom w:val="0"/>
      <w:divBdr>
        <w:top w:val="none" w:sz="0" w:space="0" w:color="auto"/>
        <w:left w:val="none" w:sz="0" w:space="0" w:color="auto"/>
        <w:bottom w:val="none" w:sz="0" w:space="0" w:color="auto"/>
        <w:right w:val="none" w:sz="0" w:space="0" w:color="auto"/>
      </w:divBdr>
    </w:div>
    <w:div w:id="959728078">
      <w:bodyDiv w:val="1"/>
      <w:marLeft w:val="0"/>
      <w:marRight w:val="0"/>
      <w:marTop w:val="0"/>
      <w:marBottom w:val="0"/>
      <w:divBdr>
        <w:top w:val="none" w:sz="0" w:space="0" w:color="auto"/>
        <w:left w:val="none" w:sz="0" w:space="0" w:color="auto"/>
        <w:bottom w:val="none" w:sz="0" w:space="0" w:color="auto"/>
        <w:right w:val="none" w:sz="0" w:space="0" w:color="auto"/>
      </w:divBdr>
    </w:div>
    <w:div w:id="1122924432">
      <w:bodyDiv w:val="1"/>
      <w:marLeft w:val="0"/>
      <w:marRight w:val="0"/>
      <w:marTop w:val="0"/>
      <w:marBottom w:val="0"/>
      <w:divBdr>
        <w:top w:val="none" w:sz="0" w:space="0" w:color="auto"/>
        <w:left w:val="none" w:sz="0" w:space="0" w:color="auto"/>
        <w:bottom w:val="none" w:sz="0" w:space="0" w:color="auto"/>
        <w:right w:val="none" w:sz="0" w:space="0" w:color="auto"/>
      </w:divBdr>
    </w:div>
    <w:div w:id="1183973822">
      <w:bodyDiv w:val="1"/>
      <w:marLeft w:val="0"/>
      <w:marRight w:val="0"/>
      <w:marTop w:val="0"/>
      <w:marBottom w:val="0"/>
      <w:divBdr>
        <w:top w:val="none" w:sz="0" w:space="0" w:color="auto"/>
        <w:left w:val="none" w:sz="0" w:space="0" w:color="auto"/>
        <w:bottom w:val="none" w:sz="0" w:space="0" w:color="auto"/>
        <w:right w:val="none" w:sz="0" w:space="0" w:color="auto"/>
      </w:divBdr>
    </w:div>
    <w:div w:id="1299261135">
      <w:bodyDiv w:val="1"/>
      <w:marLeft w:val="0"/>
      <w:marRight w:val="0"/>
      <w:marTop w:val="0"/>
      <w:marBottom w:val="0"/>
      <w:divBdr>
        <w:top w:val="none" w:sz="0" w:space="0" w:color="auto"/>
        <w:left w:val="none" w:sz="0" w:space="0" w:color="auto"/>
        <w:bottom w:val="none" w:sz="0" w:space="0" w:color="auto"/>
        <w:right w:val="none" w:sz="0" w:space="0" w:color="auto"/>
      </w:divBdr>
    </w:div>
    <w:div w:id="1433017835">
      <w:bodyDiv w:val="1"/>
      <w:marLeft w:val="0"/>
      <w:marRight w:val="0"/>
      <w:marTop w:val="0"/>
      <w:marBottom w:val="0"/>
      <w:divBdr>
        <w:top w:val="none" w:sz="0" w:space="0" w:color="auto"/>
        <w:left w:val="none" w:sz="0" w:space="0" w:color="auto"/>
        <w:bottom w:val="none" w:sz="0" w:space="0" w:color="auto"/>
        <w:right w:val="none" w:sz="0" w:space="0" w:color="auto"/>
      </w:divBdr>
    </w:div>
    <w:div w:id="1573655966">
      <w:bodyDiv w:val="1"/>
      <w:marLeft w:val="0"/>
      <w:marRight w:val="0"/>
      <w:marTop w:val="0"/>
      <w:marBottom w:val="0"/>
      <w:divBdr>
        <w:top w:val="none" w:sz="0" w:space="0" w:color="auto"/>
        <w:left w:val="none" w:sz="0" w:space="0" w:color="auto"/>
        <w:bottom w:val="none" w:sz="0" w:space="0" w:color="auto"/>
        <w:right w:val="none" w:sz="0" w:space="0" w:color="auto"/>
      </w:divBdr>
    </w:div>
    <w:div w:id="1626232366">
      <w:bodyDiv w:val="1"/>
      <w:marLeft w:val="0"/>
      <w:marRight w:val="0"/>
      <w:marTop w:val="0"/>
      <w:marBottom w:val="0"/>
      <w:divBdr>
        <w:top w:val="none" w:sz="0" w:space="0" w:color="auto"/>
        <w:left w:val="none" w:sz="0" w:space="0" w:color="auto"/>
        <w:bottom w:val="none" w:sz="0" w:space="0" w:color="auto"/>
        <w:right w:val="none" w:sz="0" w:space="0" w:color="auto"/>
      </w:divBdr>
    </w:div>
    <w:div w:id="1740320237">
      <w:bodyDiv w:val="1"/>
      <w:marLeft w:val="0"/>
      <w:marRight w:val="0"/>
      <w:marTop w:val="0"/>
      <w:marBottom w:val="0"/>
      <w:divBdr>
        <w:top w:val="none" w:sz="0" w:space="0" w:color="auto"/>
        <w:left w:val="none" w:sz="0" w:space="0" w:color="auto"/>
        <w:bottom w:val="none" w:sz="0" w:space="0" w:color="auto"/>
        <w:right w:val="none" w:sz="0" w:space="0" w:color="auto"/>
      </w:divBdr>
    </w:div>
    <w:div w:id="1896965450">
      <w:bodyDiv w:val="1"/>
      <w:marLeft w:val="0"/>
      <w:marRight w:val="0"/>
      <w:marTop w:val="0"/>
      <w:marBottom w:val="0"/>
      <w:divBdr>
        <w:top w:val="none" w:sz="0" w:space="0" w:color="auto"/>
        <w:left w:val="none" w:sz="0" w:space="0" w:color="auto"/>
        <w:bottom w:val="none" w:sz="0" w:space="0" w:color="auto"/>
        <w:right w:val="none" w:sz="0" w:space="0" w:color="auto"/>
      </w:divBdr>
    </w:div>
    <w:div w:id="1926454764">
      <w:bodyDiv w:val="1"/>
      <w:marLeft w:val="0"/>
      <w:marRight w:val="0"/>
      <w:marTop w:val="0"/>
      <w:marBottom w:val="0"/>
      <w:divBdr>
        <w:top w:val="none" w:sz="0" w:space="0" w:color="auto"/>
        <w:left w:val="none" w:sz="0" w:space="0" w:color="auto"/>
        <w:bottom w:val="none" w:sz="0" w:space="0" w:color="auto"/>
        <w:right w:val="none" w:sz="0" w:space="0" w:color="auto"/>
      </w:divBdr>
    </w:div>
    <w:div w:id="20537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6.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image" Target="media/image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9.xml"/><Relationship Id="rId28" Type="http://schemas.openxmlformats.org/officeDocument/2006/relationships/image" Target="media/image11.png"/><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hart" Target="charts/chart8.xml"/><Relationship Id="rId27" Type="http://schemas.openxmlformats.org/officeDocument/2006/relationships/image" Target="media/image10.png"/><Relationship Id="rId30" Type="http://schemas.openxmlformats.org/officeDocument/2006/relationships/image" Target="media/image13.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auffman.org/uploadedFiles/where_will_the_jobs_come_from.pdf" TargetMode="External"/><Relationship Id="rId1" Type="http://schemas.openxmlformats.org/officeDocument/2006/relationships/hyperlink" Target="http://journal.c2er.org/2013/01/the-ghost-of-christmas-fu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ine.gov/labor/cwr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WRI%20website\CWRI\publications\Word\Template_Brief.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02\DOL-HQ\Users\Ruth.E.Pease\RUTH%20PEASE\BUSINESS%20STARTS%20PROJECT\DATA\2008%20New%20Starts\2008Starts_filterZero_6-5-1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oit-teaqfsemc02\DOL-HQ\Users\Ruth.E.Pease\RUTH%20PEASE\BUSINESS%20STARTS%20PROJECT\DATA\2008%20New%20Starts\2008Starts_filterZero_6-1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02\DOL-HQ\Users\Ruth.E.Pease\RUTH%20PEASE\BUSINESS%20STARTS%20PROJECT\DATA\2008%20New%20Starts\2008Starts_filterZero_6-1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02\DOL-HQ\Users\Ruth.E.Pease\RUTH%20PEASE\BUSINESS%20STARTS%20PROJECT\DATA\2008%20New%20Starts\2008Starts_filterZero_6-5-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02\DOL-HQ\Users\Ruth.E.Pease\RUTH%20PEASE\BUSINESS%20STARTS%20PROJECT\DATA\2008%20New%20Starts\2008Starts_filterZero_6-5-1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it-teaqfsemc02\DOL-HQ\Users\Ruth.E.Pease\RUTH%20PEASE\BUSINESS%20STARTS%20PROJECT\DATA\2008%20New%20Starts\2008Starts_filterZero_6-5-1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oit-teaqfsemc02\DOL-HQ\Users\Ruth.E.Pease\RUTH%20PEASE\BUSINESS%20STARTS%20PROJECT\DATA\2008%20New%20Starts\2008Starts_filterZero_6-5-1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oit-teaqfsemc02\DOL-HQ\Users\Ruth.E.Pease\RUTH%20PEASE\BUSINESS%20STARTS%20PROJECT\DATA\2008%20New%20Starts\2008Starts_filterZero_6-10-1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oit-teaqfsemc02\DOL-HQ\Users\Ruth.E.Pease\RUTH%20PEASE\BUSINESS%20STARTS%20PROJECT\DATA\2008%20New%20Starts\2008Starts_filterZero_6-10-1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oit-teaqfsemc02\DOL-HQ\Users\Ruth.E.Pease\RUTH%20PEASE\BUSINESS%20STARTS%20PROJECT\DATA\2008%20New%20Starts\2008Starts_filterZero_6-1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Surviving</a:t>
            </a:r>
            <a:r>
              <a:rPr lang="en-US" sz="1600" baseline="0"/>
              <a:t> </a:t>
            </a:r>
            <a:r>
              <a:rPr lang="en-US" sz="1600"/>
              <a:t>Business Units</a:t>
            </a:r>
          </a:p>
        </c:rich>
      </c:tx>
      <c:overlay val="0"/>
    </c:title>
    <c:autoTitleDeleted val="0"/>
    <c:plotArea>
      <c:layout>
        <c:manualLayout>
          <c:layoutTarget val="inner"/>
          <c:xMode val="edge"/>
          <c:yMode val="edge"/>
          <c:x val="2.5052192066805846E-2"/>
          <c:y val="0.19432888597258677"/>
          <c:w val="0.93876130828114124"/>
          <c:h val="0.68969123651210262"/>
        </c:manualLayout>
      </c:layout>
      <c:barChart>
        <c:barDir val="col"/>
        <c:grouping val="clustered"/>
        <c:varyColors val="0"/>
        <c:ser>
          <c:idx val="1"/>
          <c:order val="1"/>
          <c:tx>
            <c:v>Survival Rate</c:v>
          </c:tx>
          <c:spPr>
            <a:solidFill>
              <a:schemeClr val="accent5">
                <a:lumMod val="60000"/>
                <a:lumOff val="40000"/>
              </a:schemeClr>
            </a:solidFill>
            <a:ln>
              <a:solidFill>
                <a:schemeClr val="accent5">
                  <a:lumMod val="50000"/>
                </a:schemeClr>
              </a:solidFill>
            </a:ln>
          </c:spPr>
          <c:invertIfNegative val="0"/>
          <c:dLbls>
            <c:txPr>
              <a:bodyPr/>
              <a:lstStyle/>
              <a:p>
                <a:pPr>
                  <a:defRPr sz="1200"/>
                </a:pPr>
                <a:endParaRPr lang="en-US"/>
              </a:p>
            </c:txPr>
            <c:showLegendKey val="0"/>
            <c:showVal val="1"/>
            <c:showCatName val="0"/>
            <c:showSerName val="0"/>
            <c:showPercent val="0"/>
            <c:showBubbleSize val="0"/>
            <c:showLeaderLines val="0"/>
          </c:dLbls>
          <c:val>
            <c:numRef>
              <c:f>'Summary Stats'!$B$9:$B$13</c:f>
              <c:numCache>
                <c:formatCode>0%</c:formatCode>
                <c:ptCount val="5"/>
                <c:pt idx="0">
                  <c:v>1</c:v>
                </c:pt>
                <c:pt idx="1">
                  <c:v>0.87330508474576274</c:v>
                </c:pt>
                <c:pt idx="2">
                  <c:v>0.71864406779661016</c:v>
                </c:pt>
                <c:pt idx="3">
                  <c:v>0.62457627118644066</c:v>
                </c:pt>
                <c:pt idx="4">
                  <c:v>0.55635593220338986</c:v>
                </c:pt>
              </c:numCache>
            </c:numRef>
          </c:val>
        </c:ser>
        <c:dLbls>
          <c:showLegendKey val="0"/>
          <c:showVal val="0"/>
          <c:showCatName val="0"/>
          <c:showSerName val="0"/>
          <c:showPercent val="0"/>
          <c:showBubbleSize val="0"/>
        </c:dLbls>
        <c:gapWidth val="380"/>
        <c:axId val="236349696"/>
        <c:axId val="236348160"/>
      </c:barChart>
      <c:lineChart>
        <c:grouping val="standard"/>
        <c:varyColors val="0"/>
        <c:ser>
          <c:idx val="0"/>
          <c:order val="0"/>
          <c:tx>
            <c:v>Business Units</c:v>
          </c:tx>
          <c:spPr>
            <a:ln>
              <a:solidFill>
                <a:schemeClr val="accent5">
                  <a:lumMod val="50000"/>
                </a:schemeClr>
              </a:solidFill>
            </a:ln>
          </c:spPr>
          <c:marker>
            <c:spPr>
              <a:solidFill>
                <a:schemeClr val="tx1">
                  <a:lumMod val="85000"/>
                  <a:lumOff val="15000"/>
                </a:schemeClr>
              </a:solidFill>
              <a:ln>
                <a:solidFill>
                  <a:schemeClr val="accent5">
                    <a:lumMod val="50000"/>
                  </a:schemeClr>
                </a:solidFill>
              </a:ln>
            </c:spPr>
          </c:marker>
          <c:dLbls>
            <c:dLbl>
              <c:idx val="4"/>
              <c:tx>
                <c:rich>
                  <a:bodyPr/>
                  <a:lstStyle/>
                  <a:p>
                    <a:r>
                      <a:rPr lang="en-US"/>
                      <a:t> 1,314 </a:t>
                    </a:r>
                  </a:p>
                </c:rich>
              </c:tx>
              <c:dLblPos val="t"/>
              <c:showLegendKey val="0"/>
              <c:showVal val="1"/>
              <c:showCatName val="0"/>
              <c:showSerName val="0"/>
              <c:showPercent val="0"/>
              <c:showBubbleSize val="0"/>
            </c:dLbl>
            <c:txPr>
              <a:bodyPr/>
              <a:lstStyle/>
              <a:p>
                <a:pPr>
                  <a:defRPr sz="1200"/>
                </a:pPr>
                <a:endParaRPr lang="en-US"/>
              </a:p>
            </c:txPr>
            <c:dLblPos val="t"/>
            <c:showLegendKey val="0"/>
            <c:showVal val="1"/>
            <c:showCatName val="0"/>
            <c:showSerName val="0"/>
            <c:showPercent val="0"/>
            <c:showBubbleSize val="0"/>
            <c:showLeaderLines val="0"/>
          </c:dLbls>
          <c:cat>
            <c:numRef>
              <c:f>'Summary Stats'!$A$2:$A$6</c:f>
              <c:numCache>
                <c:formatCode>General</c:formatCode>
                <c:ptCount val="5"/>
                <c:pt idx="0">
                  <c:v>2008</c:v>
                </c:pt>
                <c:pt idx="1">
                  <c:v>2009</c:v>
                </c:pt>
                <c:pt idx="2">
                  <c:v>2010</c:v>
                </c:pt>
                <c:pt idx="3">
                  <c:v>2011</c:v>
                </c:pt>
                <c:pt idx="4">
                  <c:v>2012</c:v>
                </c:pt>
              </c:numCache>
            </c:numRef>
          </c:cat>
          <c:val>
            <c:numRef>
              <c:f>'Summary Stats'!$B$2:$B$6</c:f>
              <c:numCache>
                <c:formatCode>_(* #,##0_);_(* \(#,##0\);_(* "-"??_);_(@_)</c:formatCode>
                <c:ptCount val="5"/>
                <c:pt idx="0">
                  <c:v>2360</c:v>
                </c:pt>
                <c:pt idx="1">
                  <c:v>2061</c:v>
                </c:pt>
                <c:pt idx="2">
                  <c:v>1696</c:v>
                </c:pt>
                <c:pt idx="3">
                  <c:v>1474</c:v>
                </c:pt>
                <c:pt idx="4">
                  <c:v>1313</c:v>
                </c:pt>
              </c:numCache>
            </c:numRef>
          </c:val>
          <c:smooth val="0"/>
        </c:ser>
        <c:dLbls>
          <c:showLegendKey val="0"/>
          <c:showVal val="0"/>
          <c:showCatName val="0"/>
          <c:showSerName val="0"/>
          <c:showPercent val="0"/>
          <c:showBubbleSize val="0"/>
        </c:dLbls>
        <c:marker val="1"/>
        <c:smooth val="0"/>
        <c:axId val="235656704"/>
        <c:axId val="235658240"/>
      </c:lineChart>
      <c:catAx>
        <c:axId val="235656704"/>
        <c:scaling>
          <c:orientation val="minMax"/>
        </c:scaling>
        <c:delete val="0"/>
        <c:axPos val="b"/>
        <c:numFmt formatCode="General" sourceLinked="1"/>
        <c:majorTickMark val="out"/>
        <c:minorTickMark val="none"/>
        <c:tickLblPos val="nextTo"/>
        <c:crossAx val="235658240"/>
        <c:crosses val="autoZero"/>
        <c:auto val="1"/>
        <c:lblAlgn val="ctr"/>
        <c:lblOffset val="100"/>
        <c:noMultiLvlLbl val="0"/>
      </c:catAx>
      <c:valAx>
        <c:axId val="235658240"/>
        <c:scaling>
          <c:orientation val="minMax"/>
        </c:scaling>
        <c:delete val="0"/>
        <c:axPos val="l"/>
        <c:numFmt formatCode="_(* #,##0_);_(* \(#,##0\);_(* &quot;-&quot;??_);_(@_)" sourceLinked="1"/>
        <c:majorTickMark val="none"/>
        <c:minorTickMark val="none"/>
        <c:tickLblPos val="none"/>
        <c:spPr>
          <a:ln>
            <a:noFill/>
          </a:ln>
        </c:spPr>
        <c:txPr>
          <a:bodyPr/>
          <a:lstStyle/>
          <a:p>
            <a:pPr>
              <a:defRPr>
                <a:solidFill>
                  <a:schemeClr val="bg1"/>
                </a:solidFill>
              </a:defRPr>
            </a:pPr>
            <a:endParaRPr lang="en-US"/>
          </a:p>
        </c:txPr>
        <c:crossAx val="235656704"/>
        <c:crosses val="autoZero"/>
        <c:crossBetween val="between"/>
      </c:valAx>
      <c:valAx>
        <c:axId val="236348160"/>
        <c:scaling>
          <c:orientation val="minMax"/>
          <c:max val="2.5"/>
        </c:scaling>
        <c:delete val="0"/>
        <c:axPos val="r"/>
        <c:numFmt formatCode="0%" sourceLinked="1"/>
        <c:majorTickMark val="none"/>
        <c:minorTickMark val="none"/>
        <c:tickLblPos val="none"/>
        <c:spPr>
          <a:ln>
            <a:noFill/>
          </a:ln>
        </c:spPr>
        <c:txPr>
          <a:bodyPr/>
          <a:lstStyle/>
          <a:p>
            <a:pPr>
              <a:defRPr>
                <a:solidFill>
                  <a:schemeClr val="bg1"/>
                </a:solidFill>
              </a:defRPr>
            </a:pPr>
            <a:endParaRPr lang="en-US"/>
          </a:p>
        </c:txPr>
        <c:crossAx val="236349696"/>
        <c:crosses val="max"/>
        <c:crossBetween val="between"/>
      </c:valAx>
      <c:catAx>
        <c:axId val="236349696"/>
        <c:scaling>
          <c:orientation val="minMax"/>
        </c:scaling>
        <c:delete val="1"/>
        <c:axPos val="b"/>
        <c:majorTickMark val="out"/>
        <c:minorTickMark val="none"/>
        <c:tickLblPos val="nextTo"/>
        <c:crossAx val="236348160"/>
        <c:crosses val="autoZero"/>
        <c:auto val="1"/>
        <c:lblAlgn val="ctr"/>
        <c:lblOffset val="100"/>
        <c:noMultiLvlLbl val="0"/>
      </c:cat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2012</a:t>
            </a:r>
          </a:p>
        </c:rich>
      </c:tx>
      <c:layout>
        <c:manualLayout>
          <c:xMode val="edge"/>
          <c:yMode val="edge"/>
          <c:x val="2.6093749094218614E-3"/>
          <c:y val="4.7991918981119177E-3"/>
        </c:manualLayout>
      </c:layout>
      <c:overlay val="1"/>
    </c:title>
    <c:autoTitleDeleted val="0"/>
    <c:plotArea>
      <c:layout>
        <c:manualLayout>
          <c:layoutTarget val="inner"/>
          <c:xMode val="edge"/>
          <c:yMode val="edge"/>
          <c:x val="8.5365906679883821E-2"/>
          <c:y val="0.19991995147161978"/>
          <c:w val="0.78545603508038697"/>
          <c:h val="0.78816513295794288"/>
        </c:manualLayout>
      </c:layout>
      <c:pieChart>
        <c:varyColors val="1"/>
        <c:ser>
          <c:idx val="0"/>
          <c:order val="0"/>
          <c:spPr>
            <a:solidFill>
              <a:schemeClr val="accent5">
                <a:lumMod val="50000"/>
              </a:schemeClr>
            </a:solidFill>
          </c:spPr>
          <c:dPt>
            <c:idx val="0"/>
            <c:bubble3D val="0"/>
            <c:spPr>
              <a:solidFill>
                <a:schemeClr val="accent5">
                  <a:lumMod val="60000"/>
                  <a:lumOff val="40000"/>
                </a:schemeClr>
              </a:solidFill>
            </c:spPr>
          </c:dPt>
          <c:cat>
            <c:strRef>
              <c:f>'GEO2'!$C$3:$D$3</c:f>
              <c:strCache>
                <c:ptCount val="2"/>
                <c:pt idx="0">
                  <c:v>MSAs</c:v>
                </c:pt>
                <c:pt idx="1">
                  <c:v>BOS</c:v>
                </c:pt>
              </c:strCache>
            </c:strRef>
          </c:cat>
          <c:val>
            <c:numRef>
              <c:f>'GEO2'!$Q$10:$R$10</c:f>
              <c:numCache>
                <c:formatCode>_(* #,##0_);_(* \(#,##0\);_(* "-"??_);_(@_)</c:formatCode>
                <c:ptCount val="2"/>
                <c:pt idx="0">
                  <c:v>3680.5000000000005</c:v>
                </c:pt>
                <c:pt idx="1">
                  <c:v>3220.9166666666665</c:v>
                </c:pt>
              </c:numCache>
            </c:numRef>
          </c:val>
        </c:ser>
        <c:dLbls>
          <c:showLegendKey val="0"/>
          <c:showVal val="0"/>
          <c:showCatName val="0"/>
          <c:showSerName val="0"/>
          <c:showPercent val="0"/>
          <c:showBubbleSize val="0"/>
          <c:showLeaderLines val="1"/>
        </c:dLbls>
        <c:firstSliceAng val="162"/>
      </c:pieChart>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While the number of businesses decreased, aggregate employment remained</a:t>
            </a:r>
            <a:r>
              <a:rPr lang="en-US" sz="1300" b="0" baseline="0"/>
              <a:t> relatively flat</a:t>
            </a:r>
            <a:r>
              <a:rPr lang="en-US" sz="1300" b="0"/>
              <a:t>, indicating that surviving businesses grew.</a:t>
            </a:r>
            <a:r>
              <a:rPr lang="en-US" sz="1300"/>
              <a:t> </a:t>
            </a:r>
          </a:p>
        </c:rich>
      </c:tx>
      <c:overlay val="0"/>
    </c:title>
    <c:autoTitleDeleted val="0"/>
    <c:plotArea>
      <c:layout>
        <c:manualLayout>
          <c:layoutTarget val="inner"/>
          <c:xMode val="edge"/>
          <c:yMode val="edge"/>
          <c:x val="3.6644794400699905E-2"/>
          <c:y val="0.26001275077208408"/>
          <c:w val="0.90357392825896776"/>
          <c:h val="0.64715566705581351"/>
        </c:manualLayout>
      </c:layout>
      <c:barChart>
        <c:barDir val="col"/>
        <c:grouping val="clustered"/>
        <c:varyColors val="0"/>
        <c:ser>
          <c:idx val="0"/>
          <c:order val="0"/>
          <c:tx>
            <c:v>Avg Annual Employment</c:v>
          </c:tx>
          <c:spPr>
            <a:solidFill>
              <a:schemeClr val="accent5">
                <a:lumMod val="60000"/>
                <a:lumOff val="40000"/>
              </a:schemeClr>
            </a:solidFill>
            <a:ln>
              <a:solidFill>
                <a:schemeClr val="accent5">
                  <a:lumMod val="50000"/>
                </a:schemeClr>
              </a:solidFill>
            </a:ln>
          </c:spPr>
          <c:invertIfNegative val="0"/>
          <c:dPt>
            <c:idx val="0"/>
            <c:invertIfNegative val="0"/>
            <c:bubble3D val="0"/>
          </c:dPt>
          <c:dLbls>
            <c:txPr>
              <a:bodyPr/>
              <a:lstStyle/>
              <a:p>
                <a:pPr>
                  <a:defRPr sz="1200"/>
                </a:pPr>
                <a:endParaRPr lang="en-US"/>
              </a:p>
            </c:txPr>
            <c:showLegendKey val="0"/>
            <c:showVal val="1"/>
            <c:showCatName val="0"/>
            <c:showSerName val="0"/>
            <c:showPercent val="0"/>
            <c:showBubbleSize val="0"/>
            <c:showLeaderLines val="0"/>
          </c:dLbls>
          <c:cat>
            <c:numRef>
              <c:f>'Summary Stats'!$A$2:$A$6</c:f>
              <c:numCache>
                <c:formatCode>General</c:formatCode>
                <c:ptCount val="5"/>
                <c:pt idx="0">
                  <c:v>2008</c:v>
                </c:pt>
                <c:pt idx="1">
                  <c:v>2009</c:v>
                </c:pt>
                <c:pt idx="2">
                  <c:v>2010</c:v>
                </c:pt>
                <c:pt idx="3">
                  <c:v>2011</c:v>
                </c:pt>
                <c:pt idx="4">
                  <c:v>2012</c:v>
                </c:pt>
              </c:numCache>
            </c:numRef>
          </c:cat>
          <c:val>
            <c:numRef>
              <c:f>('Summary Stats'!$C$7,'Summary Stats'!$C$3:$C$6)</c:f>
              <c:numCache>
                <c:formatCode>_(* #,##0_);_(* \(#,##0\);_(* "-"??_);_(@_)</c:formatCode>
                <c:ptCount val="5"/>
                <c:pt idx="1">
                  <c:v>7166.666666666667</c:v>
                </c:pt>
                <c:pt idx="2">
                  <c:v>6989.75</c:v>
                </c:pt>
                <c:pt idx="3">
                  <c:v>6916.666666666667</c:v>
                </c:pt>
                <c:pt idx="4">
                  <c:v>6901.416666666667</c:v>
                </c:pt>
              </c:numCache>
            </c:numRef>
          </c:val>
        </c:ser>
        <c:ser>
          <c:idx val="1"/>
          <c:order val="1"/>
          <c:tx>
            <c:v>Average Business Size</c:v>
          </c:tx>
          <c:spPr>
            <a:solidFill>
              <a:schemeClr val="accent5">
                <a:lumMod val="50000"/>
              </a:schemeClr>
            </a:solidFill>
            <a:ln>
              <a:solidFill>
                <a:schemeClr val="accent5">
                  <a:lumMod val="50000"/>
                </a:schemeClr>
              </a:solidFill>
            </a:ln>
          </c:spPr>
          <c:invertIfNegative val="0"/>
          <c:dPt>
            <c:idx val="0"/>
            <c:invertIfNegative val="0"/>
            <c:bubble3D val="0"/>
          </c:dPt>
          <c:dLbls>
            <c:dLbl>
              <c:idx val="0"/>
              <c:tx>
                <c:rich>
                  <a:bodyPr/>
                  <a:lstStyle/>
                  <a:p>
                    <a:r>
                      <a:rPr lang="en-US" sz="1200"/>
                      <a:t>1.9</a:t>
                    </a:r>
                    <a:endParaRPr lang="en-US"/>
                  </a:p>
                </c:rich>
              </c:tx>
              <c:showLegendKey val="0"/>
              <c:showVal val="1"/>
              <c:showCatName val="0"/>
              <c:showSerName val="0"/>
              <c:showPercent val="0"/>
              <c:showBubbleSize val="0"/>
            </c:dLbl>
            <c:dLbl>
              <c:idx val="1"/>
              <c:tx>
                <c:rich>
                  <a:bodyPr/>
                  <a:lstStyle/>
                  <a:p>
                    <a:r>
                      <a:rPr lang="en-US" sz="1200"/>
                      <a:t> 3.5 </a:t>
                    </a:r>
                    <a:endParaRPr lang="en-US"/>
                  </a:p>
                </c:rich>
              </c:tx>
              <c:showLegendKey val="0"/>
              <c:showVal val="1"/>
              <c:showCatName val="0"/>
              <c:showSerName val="0"/>
              <c:showPercent val="0"/>
              <c:showBubbleSize val="0"/>
            </c:dLbl>
            <c:dLbl>
              <c:idx val="2"/>
              <c:tx>
                <c:rich>
                  <a:bodyPr/>
                  <a:lstStyle/>
                  <a:p>
                    <a:r>
                      <a:rPr lang="en-US" sz="1200"/>
                      <a:t> 4.1 </a:t>
                    </a:r>
                    <a:endParaRPr lang="en-US"/>
                  </a:p>
                </c:rich>
              </c:tx>
              <c:showLegendKey val="0"/>
              <c:showVal val="1"/>
              <c:showCatName val="0"/>
              <c:showSerName val="0"/>
              <c:showPercent val="0"/>
              <c:showBubbleSize val="0"/>
            </c:dLbl>
            <c:dLbl>
              <c:idx val="3"/>
              <c:tx>
                <c:rich>
                  <a:bodyPr/>
                  <a:lstStyle/>
                  <a:p>
                    <a:r>
                      <a:rPr lang="en-US" sz="1200"/>
                      <a:t> 4.7 </a:t>
                    </a:r>
                    <a:endParaRPr lang="en-US"/>
                  </a:p>
                </c:rich>
              </c:tx>
              <c:showLegendKey val="0"/>
              <c:showVal val="1"/>
              <c:showCatName val="0"/>
              <c:showSerName val="0"/>
              <c:showPercent val="0"/>
              <c:showBubbleSize val="0"/>
            </c:dLbl>
            <c:dLbl>
              <c:idx val="4"/>
              <c:tx>
                <c:rich>
                  <a:bodyPr/>
                  <a:lstStyle/>
                  <a:p>
                    <a:r>
                      <a:rPr lang="en-US" sz="1200"/>
                      <a:t>5.3</a:t>
                    </a:r>
                    <a:endParaRPr lang="en-US"/>
                  </a:p>
                </c:rich>
              </c:tx>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numRef>
              <c:f>'Summary Stats'!$A$2:$A$6</c:f>
              <c:numCache>
                <c:formatCode>General</c:formatCode>
                <c:ptCount val="5"/>
                <c:pt idx="0">
                  <c:v>2008</c:v>
                </c:pt>
                <c:pt idx="1">
                  <c:v>2009</c:v>
                </c:pt>
                <c:pt idx="2">
                  <c:v>2010</c:v>
                </c:pt>
                <c:pt idx="3">
                  <c:v>2011</c:v>
                </c:pt>
                <c:pt idx="4">
                  <c:v>2012</c:v>
                </c:pt>
              </c:numCache>
            </c:numRef>
          </c:cat>
          <c:val>
            <c:numRef>
              <c:f>('Summary Stats'!$E$16,'Summary Stats'!$D$17:$D$20)</c:f>
              <c:numCache>
                <c:formatCode>General</c:formatCode>
                <c:ptCount val="5"/>
                <c:pt idx="1">
                  <c:v>3477.2764030405956</c:v>
                </c:pt>
                <c:pt idx="2">
                  <c:v>4121.3148584905657</c:v>
                </c:pt>
                <c:pt idx="3">
                  <c:v>4692.446856625962</c:v>
                </c:pt>
                <c:pt idx="4">
                  <c:v>5252.219685438864</c:v>
                </c:pt>
              </c:numCache>
            </c:numRef>
          </c:val>
        </c:ser>
        <c:dLbls>
          <c:showLegendKey val="0"/>
          <c:showVal val="0"/>
          <c:showCatName val="0"/>
          <c:showSerName val="0"/>
          <c:showPercent val="0"/>
          <c:showBubbleSize val="0"/>
        </c:dLbls>
        <c:gapWidth val="150"/>
        <c:axId val="236359040"/>
        <c:axId val="236807296"/>
      </c:barChart>
      <c:catAx>
        <c:axId val="236359040"/>
        <c:scaling>
          <c:orientation val="minMax"/>
        </c:scaling>
        <c:delete val="0"/>
        <c:axPos val="b"/>
        <c:numFmt formatCode="General" sourceLinked="1"/>
        <c:majorTickMark val="out"/>
        <c:minorTickMark val="none"/>
        <c:tickLblPos val="nextTo"/>
        <c:crossAx val="236807296"/>
        <c:crosses val="autoZero"/>
        <c:auto val="1"/>
        <c:lblAlgn val="ctr"/>
        <c:lblOffset val="100"/>
        <c:noMultiLvlLbl val="0"/>
      </c:catAx>
      <c:valAx>
        <c:axId val="236807296"/>
        <c:scaling>
          <c:orientation val="minMax"/>
        </c:scaling>
        <c:delete val="1"/>
        <c:axPos val="l"/>
        <c:numFmt formatCode="_(* #,##0_);_(* \(#,##0\);_(* &quot;-&quot;??_);_(@_)" sourceLinked="1"/>
        <c:majorTickMark val="out"/>
        <c:minorTickMark val="none"/>
        <c:tickLblPos val="nextTo"/>
        <c:crossAx val="236359040"/>
        <c:crosses val="autoZero"/>
        <c:crossBetween val="between"/>
      </c:valAx>
    </c:plotArea>
    <c:legend>
      <c:legendPos val="l"/>
      <c:layout>
        <c:manualLayout>
          <c:xMode val="edge"/>
          <c:yMode val="edge"/>
          <c:x val="7.4120734908136518E-3"/>
          <c:y val="0.29177542081687735"/>
          <c:w val="0.25574014909478171"/>
          <c:h val="0.2236207224885532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a:t>Annual</a:t>
            </a:r>
            <a:r>
              <a:rPr lang="en-US" sz="1200" b="0" baseline="0"/>
              <a:t> Payroll </a:t>
            </a:r>
          </a:p>
          <a:p>
            <a:pPr>
              <a:defRPr sz="1200"/>
            </a:pPr>
            <a:r>
              <a:rPr lang="en-US" sz="1200" b="0" i="1" baseline="0"/>
              <a:t>(million $$)</a:t>
            </a:r>
          </a:p>
        </c:rich>
      </c:tx>
      <c:layout>
        <c:manualLayout>
          <c:xMode val="edge"/>
          <c:yMode val="edge"/>
          <c:x val="0.27056409571734868"/>
          <c:y val="4.629647856517935E-2"/>
        </c:manualLayout>
      </c:layout>
      <c:overlay val="0"/>
    </c:title>
    <c:autoTitleDeleted val="0"/>
    <c:plotArea>
      <c:layout>
        <c:manualLayout>
          <c:layoutTarget val="inner"/>
          <c:xMode val="edge"/>
          <c:yMode val="edge"/>
          <c:x val="0.10934598087519762"/>
          <c:y val="0.23727955058249298"/>
          <c:w val="0.81154998899991304"/>
          <c:h val="0.59985799906611992"/>
        </c:manualLayout>
      </c:layout>
      <c:barChart>
        <c:barDir val="col"/>
        <c:grouping val="clustered"/>
        <c:varyColors val="0"/>
        <c:ser>
          <c:idx val="0"/>
          <c:order val="0"/>
          <c:tx>
            <c:v>Annuall Payroll</c:v>
          </c:tx>
          <c:spPr>
            <a:solidFill>
              <a:schemeClr val="accent5">
                <a:lumMod val="50000"/>
              </a:schemeClr>
            </a:solidFill>
            <a:ln>
              <a:solidFill>
                <a:schemeClr val="accent5">
                  <a:lumMod val="50000"/>
                </a:schemeClr>
              </a:solidFill>
            </a:ln>
          </c:spPr>
          <c:invertIfNegative val="0"/>
          <c:dPt>
            <c:idx val="0"/>
            <c:invertIfNegative val="0"/>
            <c:bubble3D val="0"/>
            <c:spPr>
              <a:solidFill>
                <a:schemeClr val="accent5">
                  <a:lumMod val="50000"/>
                </a:schemeClr>
              </a:solidFill>
              <a:ln>
                <a:solidFill>
                  <a:schemeClr val="accent5">
                    <a:lumMod val="50000"/>
                  </a:schemeClr>
                </a:solidFill>
              </a:ln>
            </c:spPr>
          </c:dPt>
          <c:dLbls>
            <c:dLbl>
              <c:idx val="2"/>
              <c:tx>
                <c:rich>
                  <a:bodyPr/>
                  <a:lstStyle/>
                  <a:p>
                    <a:r>
                      <a:rPr lang="en-US"/>
                      <a:t>199.6</a:t>
                    </a:r>
                  </a:p>
                </c:rich>
              </c:tx>
              <c:showLegendKey val="0"/>
              <c:showVal val="1"/>
              <c:showCatName val="0"/>
              <c:showSerName val="0"/>
              <c:showPercent val="0"/>
              <c:showBubbleSize val="0"/>
            </c:dLbl>
            <c:dLbl>
              <c:idx val="3"/>
              <c:tx>
                <c:rich>
                  <a:bodyPr/>
                  <a:lstStyle/>
                  <a:p>
                    <a:r>
                      <a:rPr lang="en-US"/>
                      <a:t>205.9</a:t>
                    </a:r>
                  </a:p>
                </c:rich>
              </c:tx>
              <c:showLegendKey val="0"/>
              <c:showVal val="1"/>
              <c:showCatName val="0"/>
              <c:showSerName val="0"/>
              <c:showPercent val="0"/>
              <c:showBubbleSize val="0"/>
            </c:dLbl>
            <c:numFmt formatCode="#,##0.0" sourceLinked="0"/>
            <c:txPr>
              <a:bodyPr/>
              <a:lstStyle/>
              <a:p>
                <a:pPr>
                  <a:defRPr sz="1000"/>
                </a:pPr>
                <a:endParaRPr lang="en-US"/>
              </a:p>
            </c:txPr>
            <c:showLegendKey val="0"/>
            <c:showVal val="1"/>
            <c:showCatName val="0"/>
            <c:showSerName val="0"/>
            <c:showPercent val="0"/>
            <c:showBubbleSize val="0"/>
            <c:showLeaderLines val="0"/>
          </c:dLbls>
          <c:cat>
            <c:numRef>
              <c:f>'Summary Stats'!$N$10:$N$13</c:f>
              <c:numCache>
                <c:formatCode>General</c:formatCode>
                <c:ptCount val="4"/>
                <c:pt idx="0">
                  <c:v>2009</c:v>
                </c:pt>
                <c:pt idx="1">
                  <c:v>2010</c:v>
                </c:pt>
                <c:pt idx="2">
                  <c:v>2011</c:v>
                </c:pt>
                <c:pt idx="3">
                  <c:v>2012</c:v>
                </c:pt>
              </c:numCache>
            </c:numRef>
          </c:cat>
          <c:val>
            <c:numRef>
              <c:f>'Summary Stats'!$O$10:$O$13</c:f>
              <c:numCache>
                <c:formatCode>"$"#,##0.00_);\("$"#,##0.00\)</c:formatCode>
                <c:ptCount val="4"/>
                <c:pt idx="0">
                  <c:v>195.045895</c:v>
                </c:pt>
                <c:pt idx="1">
                  <c:v>197.592341</c:v>
                </c:pt>
                <c:pt idx="2">
                  <c:v>200.16780800000001</c:v>
                </c:pt>
                <c:pt idx="3">
                  <c:v>206.53325488999999</c:v>
                </c:pt>
              </c:numCache>
            </c:numRef>
          </c:val>
        </c:ser>
        <c:dLbls>
          <c:showLegendKey val="0"/>
          <c:showVal val="0"/>
          <c:showCatName val="0"/>
          <c:showSerName val="0"/>
          <c:showPercent val="0"/>
          <c:showBubbleSize val="0"/>
        </c:dLbls>
        <c:gapWidth val="100"/>
        <c:axId val="236828544"/>
        <c:axId val="236830080"/>
      </c:barChart>
      <c:catAx>
        <c:axId val="236828544"/>
        <c:scaling>
          <c:orientation val="minMax"/>
        </c:scaling>
        <c:delete val="0"/>
        <c:axPos val="b"/>
        <c:numFmt formatCode="General" sourceLinked="1"/>
        <c:majorTickMark val="out"/>
        <c:minorTickMark val="none"/>
        <c:tickLblPos val="nextTo"/>
        <c:crossAx val="236830080"/>
        <c:crosses val="autoZero"/>
        <c:auto val="1"/>
        <c:lblAlgn val="ctr"/>
        <c:lblOffset val="100"/>
        <c:noMultiLvlLbl val="0"/>
      </c:catAx>
      <c:valAx>
        <c:axId val="236830080"/>
        <c:scaling>
          <c:orientation val="minMax"/>
        </c:scaling>
        <c:delete val="1"/>
        <c:axPos val="l"/>
        <c:numFmt formatCode="&quot;$&quot;#,##0.00_);\(&quot;$&quot;#,##0.00\)" sourceLinked="1"/>
        <c:majorTickMark val="out"/>
        <c:minorTickMark val="none"/>
        <c:tickLblPos val="nextTo"/>
        <c:crossAx val="2368285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Average Annual</a:t>
            </a:r>
            <a:r>
              <a:rPr lang="en-US" sz="1200" b="0" baseline="0"/>
              <a:t> Wage</a:t>
            </a:r>
          </a:p>
          <a:p>
            <a:pPr>
              <a:defRPr sz="1200" b="0"/>
            </a:pPr>
            <a:r>
              <a:rPr lang="en-US" sz="1200" b="0" i="1" baseline="0"/>
              <a:t>($$)</a:t>
            </a:r>
          </a:p>
        </c:rich>
      </c:tx>
      <c:overlay val="0"/>
    </c:title>
    <c:autoTitleDeleted val="0"/>
    <c:plotArea>
      <c:layout>
        <c:manualLayout>
          <c:layoutTarget val="inner"/>
          <c:xMode val="edge"/>
          <c:yMode val="edge"/>
          <c:x val="0.10934598087519762"/>
          <c:y val="0.16471073928258967"/>
          <c:w val="0.81154998899991304"/>
          <c:h val="0.69604166666666667"/>
        </c:manualLayout>
      </c:layout>
      <c:barChart>
        <c:barDir val="col"/>
        <c:grouping val="clustered"/>
        <c:varyColors val="0"/>
        <c:ser>
          <c:idx val="1"/>
          <c:order val="0"/>
          <c:tx>
            <c:v>Average Annual Wage</c:v>
          </c:tx>
          <c:spPr>
            <a:solidFill>
              <a:schemeClr val="accent5">
                <a:lumMod val="60000"/>
                <a:lumOff val="40000"/>
              </a:schemeClr>
            </a:solidFill>
            <a:ln>
              <a:solidFill>
                <a:schemeClr val="accent5">
                  <a:lumMod val="50000"/>
                </a:schemeClr>
              </a:solidFill>
            </a:ln>
          </c:spPr>
          <c:invertIfNegative val="0"/>
          <c:dPt>
            <c:idx val="0"/>
            <c:invertIfNegative val="0"/>
            <c:bubble3D val="0"/>
            <c:spPr>
              <a:solidFill>
                <a:schemeClr val="accent5">
                  <a:lumMod val="60000"/>
                  <a:lumOff val="40000"/>
                </a:schemeClr>
              </a:solidFill>
              <a:ln>
                <a:solidFill>
                  <a:schemeClr val="accent5">
                    <a:lumMod val="50000"/>
                  </a:schemeClr>
                </a:solidFill>
              </a:ln>
            </c:spPr>
          </c:dPt>
          <c:dLbls>
            <c:dLbl>
              <c:idx val="2"/>
              <c:tx>
                <c:rich>
                  <a:bodyPr/>
                  <a:lstStyle/>
                  <a:p>
                    <a:r>
                      <a:rPr lang="en-US"/>
                      <a:t>$28,860 </a:t>
                    </a:r>
                  </a:p>
                </c:rich>
              </c:tx>
              <c:dLblPos val="inEnd"/>
              <c:showLegendKey val="0"/>
              <c:showVal val="1"/>
              <c:showCatName val="0"/>
              <c:showSerName val="0"/>
              <c:showPercent val="0"/>
              <c:showBubbleSize val="0"/>
            </c:dLbl>
            <c:dLbl>
              <c:idx val="3"/>
              <c:tx>
                <c:rich>
                  <a:bodyPr/>
                  <a:lstStyle/>
                  <a:p>
                    <a:r>
                      <a:rPr lang="en-US"/>
                      <a:t>$29,839 </a:t>
                    </a:r>
                  </a:p>
                </c:rich>
              </c:tx>
              <c:dLblPos val="inEnd"/>
              <c:showLegendKey val="0"/>
              <c:showVal val="1"/>
              <c:showCatName val="0"/>
              <c:showSerName val="0"/>
              <c:showPercent val="0"/>
              <c:showBubbleSize val="0"/>
            </c:dLbl>
            <c:txPr>
              <a:bodyPr rot="-5400000" vert="horz"/>
              <a:lstStyle/>
              <a:p>
                <a:pPr>
                  <a:defRPr sz="1000" b="0"/>
                </a:pPr>
                <a:endParaRPr lang="en-US"/>
              </a:p>
            </c:txPr>
            <c:dLblPos val="inEnd"/>
            <c:showLegendKey val="0"/>
            <c:showVal val="1"/>
            <c:showCatName val="0"/>
            <c:showSerName val="0"/>
            <c:showPercent val="0"/>
            <c:showBubbleSize val="0"/>
            <c:showLeaderLines val="0"/>
          </c:dLbls>
          <c:cat>
            <c:numRef>
              <c:f>'Summary Stats'!$N$10:$N$13</c:f>
              <c:numCache>
                <c:formatCode>General</c:formatCode>
                <c:ptCount val="4"/>
                <c:pt idx="0">
                  <c:v>2009</c:v>
                </c:pt>
                <c:pt idx="1">
                  <c:v>2010</c:v>
                </c:pt>
                <c:pt idx="2">
                  <c:v>2011</c:v>
                </c:pt>
                <c:pt idx="3">
                  <c:v>2012</c:v>
                </c:pt>
              </c:numCache>
            </c:numRef>
          </c:cat>
          <c:val>
            <c:numRef>
              <c:f>'Summary Stats'!$E$3:$E$6</c:f>
              <c:numCache>
                <c:formatCode>"$"#,##0_);\("$"#,##0\)</c:formatCode>
                <c:ptCount val="4"/>
                <c:pt idx="0">
                  <c:v>27215.706279069767</c:v>
                </c:pt>
                <c:pt idx="1">
                  <c:v>28268.870989663435</c:v>
                </c:pt>
                <c:pt idx="2">
                  <c:v>28700.293883598388</c:v>
                </c:pt>
                <c:pt idx="3">
                  <c:v>29654.434989470657</c:v>
                </c:pt>
              </c:numCache>
            </c:numRef>
          </c:val>
        </c:ser>
        <c:dLbls>
          <c:showLegendKey val="0"/>
          <c:showVal val="0"/>
          <c:showCatName val="0"/>
          <c:showSerName val="0"/>
          <c:showPercent val="0"/>
          <c:showBubbleSize val="0"/>
        </c:dLbls>
        <c:gapWidth val="100"/>
        <c:axId val="236990464"/>
        <c:axId val="236992000"/>
      </c:barChart>
      <c:catAx>
        <c:axId val="236990464"/>
        <c:scaling>
          <c:orientation val="minMax"/>
        </c:scaling>
        <c:delete val="0"/>
        <c:axPos val="b"/>
        <c:numFmt formatCode="General" sourceLinked="1"/>
        <c:majorTickMark val="out"/>
        <c:minorTickMark val="none"/>
        <c:tickLblPos val="nextTo"/>
        <c:crossAx val="236992000"/>
        <c:crosses val="autoZero"/>
        <c:auto val="1"/>
        <c:lblAlgn val="ctr"/>
        <c:lblOffset val="100"/>
        <c:noMultiLvlLbl val="0"/>
      </c:catAx>
      <c:valAx>
        <c:axId val="236992000"/>
        <c:scaling>
          <c:orientation val="minMax"/>
          <c:max val="35000"/>
          <c:min val="20000"/>
        </c:scaling>
        <c:delete val="1"/>
        <c:axPos val="l"/>
        <c:numFmt formatCode="&quot;$&quot;#,##0_);\(&quot;$&quot;#,##0\)" sourceLinked="1"/>
        <c:majorTickMark val="out"/>
        <c:minorTickMark val="none"/>
        <c:tickLblPos val="nextTo"/>
        <c:crossAx val="2369904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5747040725869521"/>
          <c:y val="6.5921935196696896E-2"/>
          <c:w val="0.32882950061705868"/>
          <c:h val="0.78727106625483967"/>
        </c:manualLayout>
      </c:layout>
      <c:barChart>
        <c:barDir val="bar"/>
        <c:grouping val="clustered"/>
        <c:varyColors val="0"/>
        <c:ser>
          <c:idx val="0"/>
          <c:order val="0"/>
          <c:spPr>
            <a:solidFill>
              <a:schemeClr val="accent5">
                <a:lumMod val="50000"/>
              </a:schemeClr>
            </a:solidFill>
            <a:ln>
              <a:solidFill>
                <a:schemeClr val="accent5">
                  <a:lumMod val="50000"/>
                </a:schemeClr>
              </a:solidFill>
            </a:ln>
          </c:spPr>
          <c:invertIfNegative val="0"/>
          <c:dLbls>
            <c:dLbl>
              <c:idx val="0"/>
              <c:layout>
                <c:manualLayout>
                  <c:x val="-6.9444444444444337E-2"/>
                  <c:y val="0"/>
                </c:manualLayout>
              </c:layout>
              <c:spPr/>
              <c:txPr>
                <a:bodyPr/>
                <a:lstStyle/>
                <a:p>
                  <a:pPr>
                    <a:defRPr sz="1100" b="1">
                      <a:solidFill>
                        <a:schemeClr val="bg1"/>
                      </a:solidFill>
                    </a:defRPr>
                  </a:pPr>
                  <a:endParaRPr lang="en-US"/>
                </a:p>
              </c:txPr>
              <c:showLegendKey val="0"/>
              <c:showVal val="1"/>
              <c:showCatName val="0"/>
              <c:showSerName val="0"/>
              <c:showPercent val="0"/>
              <c:showBubbleSize val="0"/>
            </c:dLbl>
            <c:dLbl>
              <c:idx val="1"/>
              <c:layout>
                <c:manualLayout>
                  <c:x val="2.7257973738710464E-3"/>
                  <c:y val="0"/>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dLbl>
            <c:dLbl>
              <c:idx val="2"/>
              <c:layout>
                <c:manualLayout>
                  <c:x val="-6.6666666666666666E-2"/>
                  <c:y val="7.5097259973225817E-17"/>
                </c:manualLayout>
              </c:layout>
              <c:spPr/>
              <c:txPr>
                <a:bodyPr/>
                <a:lstStyle/>
                <a:p>
                  <a:pPr>
                    <a:defRPr sz="1100" b="1">
                      <a:solidFill>
                        <a:schemeClr val="bg1"/>
                      </a:solidFill>
                    </a:defRPr>
                  </a:pPr>
                  <a:endParaRPr lang="en-US"/>
                </a:p>
              </c:txPr>
              <c:showLegendKey val="0"/>
              <c:showVal val="1"/>
              <c:showCatName val="0"/>
              <c:showSerName val="0"/>
              <c:showPercent val="0"/>
              <c:showBubbleSize val="0"/>
            </c:dLbl>
            <c:dLbl>
              <c:idx val="3"/>
              <c:layout>
                <c:manualLayout>
                  <c:x val="2.7777777777777779E-3"/>
                  <c:y val="-4.6297431160228974E-3"/>
                </c:manualLayout>
              </c:layout>
              <c:showLegendKey val="0"/>
              <c:showVal val="1"/>
              <c:showCatName val="0"/>
              <c:showSerName val="0"/>
              <c:showPercent val="0"/>
              <c:showBubbleSize val="0"/>
            </c:dLbl>
            <c:dLbl>
              <c:idx val="4"/>
              <c:layout>
                <c:manualLayout>
                  <c:x val="-7.2168168430715759E-2"/>
                  <c:y val="4.0962615001735271E-3"/>
                </c:manualLayout>
              </c:layout>
              <c:spPr/>
              <c:txPr>
                <a:bodyPr/>
                <a:lstStyle/>
                <a:p>
                  <a:pPr>
                    <a:defRPr sz="1100" b="1">
                      <a:solidFill>
                        <a:schemeClr val="bg1"/>
                      </a:solidFill>
                    </a:defRPr>
                  </a:pPr>
                  <a:endParaRPr lang="en-US"/>
                </a:p>
              </c:txPr>
              <c:showLegendKey val="0"/>
              <c:showVal val="1"/>
              <c:showCatName val="0"/>
              <c:showSerName val="0"/>
              <c:showPercent val="0"/>
              <c:showBubbleSize val="0"/>
            </c:dLbl>
            <c:dLbl>
              <c:idx val="5"/>
              <c:layout>
                <c:manualLayout>
                  <c:x val="8.3333333333333332E-3"/>
                  <c:y val="-3.2254027560421472E-7"/>
                </c:manualLayout>
              </c:layout>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0"/>
          </c:dLbls>
          <c:cat>
            <c:strRef>
              <c:f>'Industry Summary'!$B$35:$B$40</c:f>
              <c:strCache>
                <c:ptCount val="6"/>
                <c:pt idx="0">
                  <c:v>Wholesale Trade</c:v>
                </c:pt>
                <c:pt idx="1">
                  <c:v>Retail Trade </c:v>
                </c:pt>
                <c:pt idx="2">
                  <c:v>Prof. &amp; Tech. Serv.  </c:v>
                </c:pt>
                <c:pt idx="3">
                  <c:v>Health &amp; Social Serv.</c:v>
                </c:pt>
                <c:pt idx="4">
                  <c:v>Admin. &amp; Waste Serv.</c:v>
                </c:pt>
                <c:pt idx="5">
                  <c:v>Accommod.&amp; Food Serv.</c:v>
                </c:pt>
              </c:strCache>
            </c:strRef>
          </c:cat>
          <c:val>
            <c:numRef>
              <c:f>'Industry Summary'!$C$35:$C$40</c:f>
              <c:numCache>
                <c:formatCode>0%</c:formatCode>
                <c:ptCount val="6"/>
                <c:pt idx="0">
                  <c:v>0.51171875</c:v>
                </c:pt>
                <c:pt idx="1">
                  <c:v>0.67816091954022983</c:v>
                </c:pt>
                <c:pt idx="2">
                  <c:v>0.50646551724137934</c:v>
                </c:pt>
                <c:pt idx="3">
                  <c:v>0.64593301435406703</c:v>
                </c:pt>
                <c:pt idx="4">
                  <c:v>0.49590163934426229</c:v>
                </c:pt>
                <c:pt idx="5">
                  <c:v>0.57868020304568524</c:v>
                </c:pt>
              </c:numCache>
            </c:numRef>
          </c:val>
        </c:ser>
        <c:dLbls>
          <c:showLegendKey val="0"/>
          <c:showVal val="0"/>
          <c:showCatName val="0"/>
          <c:showSerName val="0"/>
          <c:showPercent val="0"/>
          <c:showBubbleSize val="0"/>
        </c:dLbls>
        <c:gapWidth val="65"/>
        <c:axId val="237005824"/>
        <c:axId val="237040384"/>
      </c:barChart>
      <c:catAx>
        <c:axId val="237005824"/>
        <c:scaling>
          <c:orientation val="minMax"/>
        </c:scaling>
        <c:delete val="0"/>
        <c:axPos val="l"/>
        <c:majorTickMark val="out"/>
        <c:minorTickMark val="none"/>
        <c:tickLblPos val="nextTo"/>
        <c:txPr>
          <a:bodyPr/>
          <a:lstStyle/>
          <a:p>
            <a:pPr>
              <a:defRPr sz="1000"/>
            </a:pPr>
            <a:endParaRPr lang="en-US"/>
          </a:p>
        </c:txPr>
        <c:crossAx val="237040384"/>
        <c:crosses val="autoZero"/>
        <c:auto val="1"/>
        <c:lblAlgn val="ctr"/>
        <c:lblOffset val="100"/>
        <c:noMultiLvlLbl val="0"/>
      </c:catAx>
      <c:valAx>
        <c:axId val="237040384"/>
        <c:scaling>
          <c:orientation val="minMax"/>
        </c:scaling>
        <c:delete val="1"/>
        <c:axPos val="b"/>
        <c:numFmt formatCode="0%" sourceLinked="1"/>
        <c:majorTickMark val="out"/>
        <c:minorTickMark val="none"/>
        <c:tickLblPos val="nextTo"/>
        <c:crossAx val="237005824"/>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00831862313611"/>
          <c:y val="6.4111672392053939E-2"/>
          <c:w val="0.63319386331938632"/>
          <c:h val="0.59980739672956429"/>
        </c:manualLayout>
      </c:layout>
      <c:lineChart>
        <c:grouping val="standard"/>
        <c:varyColors val="0"/>
        <c:ser>
          <c:idx val="2"/>
          <c:order val="0"/>
          <c:tx>
            <c:strRef>
              <c:f>'Industry Summary'!$B$24</c:f>
              <c:strCache>
                <c:ptCount val="1"/>
                <c:pt idx="0">
                  <c:v>Accommod.&amp; Food Serv.    </c:v>
                </c:pt>
              </c:strCache>
            </c:strRef>
          </c:tx>
          <c:marker>
            <c:spPr>
              <a:ln>
                <a:solidFill>
                  <a:schemeClr val="tx1"/>
                </a:solidFill>
              </a:ln>
            </c:spPr>
          </c:marker>
          <c:cat>
            <c:numRef>
              <c:f>'Industry Summary'!$G$23:$K$23</c:f>
              <c:numCache>
                <c:formatCode>General</c:formatCode>
                <c:ptCount val="5"/>
                <c:pt idx="0">
                  <c:v>2008</c:v>
                </c:pt>
                <c:pt idx="1">
                  <c:v>2009</c:v>
                </c:pt>
                <c:pt idx="2">
                  <c:v>2010</c:v>
                </c:pt>
                <c:pt idx="3">
                  <c:v>2011</c:v>
                </c:pt>
                <c:pt idx="4">
                  <c:v>2012</c:v>
                </c:pt>
              </c:numCache>
            </c:numRef>
          </c:cat>
          <c:val>
            <c:numRef>
              <c:f>'Industry Summary'!$G$24:$K$24</c:f>
              <c:numCache>
                <c:formatCode>0%</c:formatCode>
                <c:ptCount val="5"/>
                <c:pt idx="0">
                  <c:v>1</c:v>
                </c:pt>
                <c:pt idx="1">
                  <c:v>0.8375634517766497</c:v>
                </c:pt>
                <c:pt idx="2">
                  <c:v>0.73604060913705582</c:v>
                </c:pt>
                <c:pt idx="3">
                  <c:v>0.67005076142131981</c:v>
                </c:pt>
                <c:pt idx="4">
                  <c:v>0.57868020304568524</c:v>
                </c:pt>
              </c:numCache>
            </c:numRef>
          </c:val>
          <c:smooth val="0"/>
        </c:ser>
        <c:ser>
          <c:idx val="5"/>
          <c:order val="1"/>
          <c:tx>
            <c:strRef>
              <c:f>'Industry Summary'!$B$25</c:f>
              <c:strCache>
                <c:ptCount val="1"/>
                <c:pt idx="0">
                  <c:v>Admin. &amp; Waste Serv. </c:v>
                </c:pt>
              </c:strCache>
            </c:strRef>
          </c:tx>
          <c:cat>
            <c:numRef>
              <c:f>'Industry Summary'!$G$23:$K$23</c:f>
              <c:numCache>
                <c:formatCode>General</c:formatCode>
                <c:ptCount val="5"/>
                <c:pt idx="0">
                  <c:v>2008</c:v>
                </c:pt>
                <c:pt idx="1">
                  <c:v>2009</c:v>
                </c:pt>
                <c:pt idx="2">
                  <c:v>2010</c:v>
                </c:pt>
                <c:pt idx="3">
                  <c:v>2011</c:v>
                </c:pt>
                <c:pt idx="4">
                  <c:v>2012</c:v>
                </c:pt>
              </c:numCache>
            </c:numRef>
          </c:cat>
          <c:val>
            <c:numRef>
              <c:f>'Industry Summary'!$G$25:$K$25</c:f>
              <c:numCache>
                <c:formatCode>0%</c:formatCode>
                <c:ptCount val="5"/>
                <c:pt idx="0">
                  <c:v>1</c:v>
                </c:pt>
                <c:pt idx="1">
                  <c:v>0.82377049180327866</c:v>
                </c:pt>
                <c:pt idx="2">
                  <c:v>0.69262295081967218</c:v>
                </c:pt>
                <c:pt idx="3">
                  <c:v>0.57786885245901642</c:v>
                </c:pt>
                <c:pt idx="4">
                  <c:v>0.49590163934426229</c:v>
                </c:pt>
              </c:numCache>
            </c:numRef>
          </c:val>
          <c:smooth val="0"/>
        </c:ser>
        <c:ser>
          <c:idx val="1"/>
          <c:order val="2"/>
          <c:tx>
            <c:strRef>
              <c:f>'Industry Summary'!$B$26</c:f>
              <c:strCache>
                <c:ptCount val="1"/>
                <c:pt idx="0">
                  <c:v>Health &amp; Social Serv.         </c:v>
                </c:pt>
              </c:strCache>
            </c:strRef>
          </c:tx>
          <c:marker>
            <c:spPr>
              <a:ln>
                <a:solidFill>
                  <a:schemeClr val="tx1"/>
                </a:solidFill>
              </a:ln>
            </c:spPr>
          </c:marker>
          <c:cat>
            <c:numRef>
              <c:f>'Industry Summary'!$G$23:$K$23</c:f>
              <c:numCache>
                <c:formatCode>General</c:formatCode>
                <c:ptCount val="5"/>
                <c:pt idx="0">
                  <c:v>2008</c:v>
                </c:pt>
                <c:pt idx="1">
                  <c:v>2009</c:v>
                </c:pt>
                <c:pt idx="2">
                  <c:v>2010</c:v>
                </c:pt>
                <c:pt idx="3">
                  <c:v>2011</c:v>
                </c:pt>
                <c:pt idx="4">
                  <c:v>2012</c:v>
                </c:pt>
              </c:numCache>
            </c:numRef>
          </c:cat>
          <c:val>
            <c:numRef>
              <c:f>'Industry Summary'!$G$26:$K$26</c:f>
              <c:numCache>
                <c:formatCode>0%</c:formatCode>
                <c:ptCount val="5"/>
                <c:pt idx="0">
                  <c:v>1</c:v>
                </c:pt>
                <c:pt idx="1">
                  <c:v>0.93301435406698563</c:v>
                </c:pt>
                <c:pt idx="2">
                  <c:v>0.79904306220095689</c:v>
                </c:pt>
                <c:pt idx="3">
                  <c:v>0.71291866028708128</c:v>
                </c:pt>
                <c:pt idx="4">
                  <c:v>0.64593301435406703</c:v>
                </c:pt>
              </c:numCache>
            </c:numRef>
          </c:val>
          <c:smooth val="0"/>
        </c:ser>
        <c:ser>
          <c:idx val="3"/>
          <c:order val="3"/>
          <c:tx>
            <c:strRef>
              <c:f>'Industry Summary'!$B$27</c:f>
              <c:strCache>
                <c:ptCount val="1"/>
                <c:pt idx="0">
                  <c:v>Prof. &amp; Tech. Serv.               </c:v>
                </c:pt>
              </c:strCache>
            </c:strRef>
          </c:tx>
          <c:cat>
            <c:numRef>
              <c:f>'Industry Summary'!$G$23:$K$23</c:f>
              <c:numCache>
                <c:formatCode>General</c:formatCode>
                <c:ptCount val="5"/>
                <c:pt idx="0">
                  <c:v>2008</c:v>
                </c:pt>
                <c:pt idx="1">
                  <c:v>2009</c:v>
                </c:pt>
                <c:pt idx="2">
                  <c:v>2010</c:v>
                </c:pt>
                <c:pt idx="3">
                  <c:v>2011</c:v>
                </c:pt>
                <c:pt idx="4">
                  <c:v>2012</c:v>
                </c:pt>
              </c:numCache>
            </c:numRef>
          </c:cat>
          <c:val>
            <c:numRef>
              <c:f>'Industry Summary'!$G$27:$K$27</c:f>
              <c:numCache>
                <c:formatCode>0%</c:formatCode>
                <c:ptCount val="5"/>
                <c:pt idx="0">
                  <c:v>1</c:v>
                </c:pt>
                <c:pt idx="1">
                  <c:v>0.88793103448275867</c:v>
                </c:pt>
                <c:pt idx="2">
                  <c:v>0.68965517241379315</c:v>
                </c:pt>
                <c:pt idx="3">
                  <c:v>0.57974137931034486</c:v>
                </c:pt>
                <c:pt idx="4">
                  <c:v>0.50646551724137934</c:v>
                </c:pt>
              </c:numCache>
            </c:numRef>
          </c:val>
          <c:smooth val="0"/>
        </c:ser>
        <c:ser>
          <c:idx val="0"/>
          <c:order val="4"/>
          <c:tx>
            <c:strRef>
              <c:f>DataSheet2_industries_OLD!$I$2660</c:f>
              <c:strCache>
                <c:ptCount val="1"/>
                <c:pt idx="0">
                  <c:v>Retail Trade</c:v>
                </c:pt>
              </c:strCache>
            </c:strRef>
          </c:tx>
          <c:marker>
            <c:spPr>
              <a:ln>
                <a:solidFill>
                  <a:schemeClr val="tx1"/>
                </a:solidFill>
              </a:ln>
            </c:spPr>
          </c:marker>
          <c:cat>
            <c:numRef>
              <c:f>'Industry Summary'!$G$23:$K$23</c:f>
              <c:numCache>
                <c:formatCode>General</c:formatCode>
                <c:ptCount val="5"/>
                <c:pt idx="0">
                  <c:v>2008</c:v>
                </c:pt>
                <c:pt idx="1">
                  <c:v>2009</c:v>
                </c:pt>
                <c:pt idx="2">
                  <c:v>2010</c:v>
                </c:pt>
                <c:pt idx="3">
                  <c:v>2011</c:v>
                </c:pt>
                <c:pt idx="4">
                  <c:v>2012</c:v>
                </c:pt>
              </c:numCache>
            </c:numRef>
          </c:cat>
          <c:val>
            <c:numRef>
              <c:f>'Industry Summary'!$G$28:$K$28</c:f>
              <c:numCache>
                <c:formatCode>0%</c:formatCode>
                <c:ptCount val="5"/>
                <c:pt idx="0">
                  <c:v>1</c:v>
                </c:pt>
                <c:pt idx="1">
                  <c:v>0.92720306513409967</c:v>
                </c:pt>
                <c:pt idx="2">
                  <c:v>0.81609195402298851</c:v>
                </c:pt>
                <c:pt idx="3">
                  <c:v>0.75095785440613028</c:v>
                </c:pt>
                <c:pt idx="4">
                  <c:v>0.67816091954022983</c:v>
                </c:pt>
              </c:numCache>
            </c:numRef>
          </c:val>
          <c:smooth val="0"/>
        </c:ser>
        <c:ser>
          <c:idx val="4"/>
          <c:order val="5"/>
          <c:tx>
            <c:strRef>
              <c:f>'Industry Summary'!$B$29</c:f>
              <c:strCache>
                <c:ptCount val="1"/>
                <c:pt idx="0">
                  <c:v>Wholesale Trade                             </c:v>
                </c:pt>
              </c:strCache>
            </c:strRef>
          </c:tx>
          <c:marker>
            <c:spPr>
              <a:ln w="12700">
                <a:solidFill>
                  <a:schemeClr val="tx1"/>
                </a:solidFill>
                <a:prstDash val="sysDot"/>
              </a:ln>
            </c:spPr>
          </c:marker>
          <c:cat>
            <c:numRef>
              <c:f>'Industry Summary'!$G$23:$K$23</c:f>
              <c:numCache>
                <c:formatCode>General</c:formatCode>
                <c:ptCount val="5"/>
                <c:pt idx="0">
                  <c:v>2008</c:v>
                </c:pt>
                <c:pt idx="1">
                  <c:v>2009</c:v>
                </c:pt>
                <c:pt idx="2">
                  <c:v>2010</c:v>
                </c:pt>
                <c:pt idx="3">
                  <c:v>2011</c:v>
                </c:pt>
                <c:pt idx="4">
                  <c:v>2012</c:v>
                </c:pt>
              </c:numCache>
            </c:numRef>
          </c:cat>
          <c:val>
            <c:numRef>
              <c:f>'Industry Summary'!$G$29:$K$29</c:f>
              <c:numCache>
                <c:formatCode>0%</c:formatCode>
                <c:ptCount val="5"/>
                <c:pt idx="0">
                  <c:v>1</c:v>
                </c:pt>
                <c:pt idx="1">
                  <c:v>0.8828125</c:v>
                </c:pt>
                <c:pt idx="2">
                  <c:v>0.71484375</c:v>
                </c:pt>
                <c:pt idx="3">
                  <c:v>0.59375</c:v>
                </c:pt>
                <c:pt idx="4">
                  <c:v>0.51171875</c:v>
                </c:pt>
              </c:numCache>
            </c:numRef>
          </c:val>
          <c:smooth val="0"/>
        </c:ser>
        <c:ser>
          <c:idx val="7"/>
          <c:order val="6"/>
          <c:tx>
            <c:strRef>
              <c:f>'Industry Summary'!$B$31</c:f>
              <c:strCache>
                <c:ptCount val="1"/>
                <c:pt idx="0">
                  <c:v>All Industries</c:v>
                </c:pt>
              </c:strCache>
            </c:strRef>
          </c:tx>
          <c:spPr>
            <a:ln>
              <a:solidFill>
                <a:schemeClr val="tx1"/>
              </a:solidFill>
              <a:prstDash val="sysDash"/>
            </a:ln>
          </c:spPr>
          <c:marker>
            <c:symbol val="circle"/>
            <c:size val="7"/>
            <c:spPr>
              <a:solidFill>
                <a:schemeClr val="tx1"/>
              </a:solidFill>
              <a:ln>
                <a:solidFill>
                  <a:schemeClr val="tx1"/>
                </a:solidFill>
              </a:ln>
            </c:spPr>
          </c:marker>
          <c:cat>
            <c:numRef>
              <c:f>'Industry Summary'!$G$23:$K$23</c:f>
              <c:numCache>
                <c:formatCode>General</c:formatCode>
                <c:ptCount val="5"/>
                <c:pt idx="0">
                  <c:v>2008</c:v>
                </c:pt>
                <c:pt idx="1">
                  <c:v>2009</c:v>
                </c:pt>
                <c:pt idx="2">
                  <c:v>2010</c:v>
                </c:pt>
                <c:pt idx="3">
                  <c:v>2011</c:v>
                </c:pt>
                <c:pt idx="4">
                  <c:v>2012</c:v>
                </c:pt>
              </c:numCache>
            </c:numRef>
          </c:cat>
          <c:val>
            <c:numRef>
              <c:f>'Industry Summary'!$G$31:$K$31</c:f>
              <c:numCache>
                <c:formatCode>0%</c:formatCode>
                <c:ptCount val="5"/>
                <c:pt idx="0">
                  <c:v>1</c:v>
                </c:pt>
                <c:pt idx="1">
                  <c:v>0.87330508474576274</c:v>
                </c:pt>
                <c:pt idx="2">
                  <c:v>0.71864406779661016</c:v>
                </c:pt>
                <c:pt idx="3">
                  <c:v>0.62457627118644066</c:v>
                </c:pt>
                <c:pt idx="4">
                  <c:v>0.55635593220338986</c:v>
                </c:pt>
              </c:numCache>
            </c:numRef>
          </c:val>
          <c:smooth val="0"/>
        </c:ser>
        <c:dLbls>
          <c:showLegendKey val="0"/>
          <c:showVal val="0"/>
          <c:showCatName val="0"/>
          <c:showSerName val="0"/>
          <c:showPercent val="0"/>
          <c:showBubbleSize val="0"/>
        </c:dLbls>
        <c:marker val="1"/>
        <c:smooth val="0"/>
        <c:axId val="237221376"/>
        <c:axId val="237223296"/>
      </c:lineChart>
      <c:catAx>
        <c:axId val="237221376"/>
        <c:scaling>
          <c:orientation val="minMax"/>
        </c:scaling>
        <c:delete val="0"/>
        <c:axPos val="b"/>
        <c:numFmt formatCode="General" sourceLinked="1"/>
        <c:majorTickMark val="out"/>
        <c:minorTickMark val="none"/>
        <c:tickLblPos val="low"/>
        <c:txPr>
          <a:bodyPr rot="-5400000" vert="horz"/>
          <a:lstStyle/>
          <a:p>
            <a:pPr>
              <a:defRPr sz="1200"/>
            </a:pPr>
            <a:endParaRPr lang="en-US"/>
          </a:p>
        </c:txPr>
        <c:crossAx val="237223296"/>
        <c:crosses val="autoZero"/>
        <c:auto val="1"/>
        <c:lblAlgn val="ctr"/>
        <c:lblOffset val="100"/>
        <c:noMultiLvlLbl val="0"/>
      </c:catAx>
      <c:valAx>
        <c:axId val="237223296"/>
        <c:scaling>
          <c:orientation val="minMax"/>
          <c:max val="1.01"/>
          <c:min val="0.4"/>
        </c:scaling>
        <c:delete val="0"/>
        <c:axPos val="l"/>
        <c:majorGridlines/>
        <c:numFmt formatCode="0%" sourceLinked="1"/>
        <c:majorTickMark val="out"/>
        <c:minorTickMark val="none"/>
        <c:tickLblPos val="nextTo"/>
        <c:crossAx val="237221376"/>
        <c:crosses val="autoZero"/>
        <c:crossBetween val="midCat"/>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Survival</a:t>
            </a:r>
            <a:r>
              <a:rPr lang="en-US" sz="1300" b="0" baseline="0"/>
              <a:t> rates were higher among new businesses located in MSAs.</a:t>
            </a:r>
            <a:endParaRPr lang="en-US" sz="1300" b="0"/>
          </a:p>
        </c:rich>
      </c:tx>
      <c:layout>
        <c:manualLayout>
          <c:xMode val="edge"/>
          <c:yMode val="edge"/>
          <c:x val="0.12799279652087284"/>
          <c:y val="4.6296296296296294E-3"/>
        </c:manualLayout>
      </c:layout>
      <c:overlay val="0"/>
    </c:title>
    <c:autoTitleDeleted val="0"/>
    <c:plotArea>
      <c:layout>
        <c:manualLayout>
          <c:layoutTarget val="inner"/>
          <c:xMode val="edge"/>
          <c:yMode val="edge"/>
          <c:x val="4.8087447834691356E-2"/>
          <c:y val="0.38937518226888307"/>
          <c:w val="0.89509895204705248"/>
          <c:h val="0.49730715952172644"/>
        </c:manualLayout>
      </c:layout>
      <c:barChart>
        <c:barDir val="col"/>
        <c:grouping val="clustered"/>
        <c:varyColors val="0"/>
        <c:ser>
          <c:idx val="0"/>
          <c:order val="0"/>
          <c:tx>
            <c:strRef>
              <c:f>'GEO2'!$B$59</c:f>
              <c:strCache>
                <c:ptCount val="1"/>
                <c:pt idx="0">
                  <c:v>ME</c:v>
                </c:pt>
              </c:strCache>
            </c:strRef>
          </c:tx>
          <c:invertIfNegative val="0"/>
          <c:dPt>
            <c:idx val="0"/>
            <c:invertIfNegative val="0"/>
            <c:bubble3D val="0"/>
            <c:spPr>
              <a:solidFill>
                <a:schemeClr val="tx1">
                  <a:lumMod val="50000"/>
                  <a:lumOff val="50000"/>
                </a:schemeClr>
              </a:solidFill>
              <a:ln>
                <a:solidFill>
                  <a:schemeClr val="tx1"/>
                </a:solidFill>
              </a:ln>
            </c:spPr>
          </c:dPt>
          <c:dLbls>
            <c:txPr>
              <a:bodyPr/>
              <a:lstStyle/>
              <a:p>
                <a:pPr>
                  <a:defRPr sz="1200"/>
                </a:pPr>
                <a:endParaRPr lang="en-US"/>
              </a:p>
            </c:txPr>
            <c:showLegendKey val="0"/>
            <c:showVal val="1"/>
            <c:showCatName val="0"/>
            <c:showSerName val="0"/>
            <c:showPercent val="0"/>
            <c:showBubbleSize val="0"/>
            <c:showLeaderLines val="0"/>
          </c:dLbls>
          <c:cat>
            <c:strRef>
              <c:f>'GEO2'!$A$59</c:f>
              <c:strCache>
                <c:ptCount val="1"/>
                <c:pt idx="0">
                  <c:v>Survival 2008-2012</c:v>
                </c:pt>
              </c:strCache>
            </c:strRef>
          </c:cat>
          <c:val>
            <c:numRef>
              <c:f>'GEO2'!$B$66</c:f>
              <c:numCache>
                <c:formatCode>0%</c:formatCode>
                <c:ptCount val="1"/>
                <c:pt idx="0">
                  <c:v>0.5567796610169492</c:v>
                </c:pt>
              </c:numCache>
            </c:numRef>
          </c:val>
        </c:ser>
        <c:ser>
          <c:idx val="1"/>
          <c:order val="1"/>
          <c:tx>
            <c:strRef>
              <c:f>'GEO2'!$C$59</c:f>
              <c:strCache>
                <c:ptCount val="1"/>
                <c:pt idx="0">
                  <c:v>MSAs</c:v>
                </c:pt>
              </c:strCache>
            </c:strRef>
          </c:tx>
          <c:spPr>
            <a:solidFill>
              <a:schemeClr val="accent5">
                <a:lumMod val="60000"/>
                <a:lumOff val="40000"/>
              </a:schemeClr>
            </a:solidFill>
            <a:ln>
              <a:solidFill>
                <a:schemeClr val="accent5">
                  <a:lumMod val="60000"/>
                  <a:lumOff val="40000"/>
                </a:schemeClr>
              </a:solidFill>
            </a:ln>
          </c:spPr>
          <c:invertIfNegative val="0"/>
          <c:dPt>
            <c:idx val="0"/>
            <c:invertIfNegative val="0"/>
            <c:bubble3D val="0"/>
            <c:spPr>
              <a:solidFill>
                <a:schemeClr val="accent5">
                  <a:lumMod val="60000"/>
                  <a:lumOff val="40000"/>
                </a:schemeClr>
              </a:solidFill>
              <a:ln>
                <a:solidFill>
                  <a:schemeClr val="accent5">
                    <a:lumMod val="50000"/>
                  </a:schemeClr>
                </a:solidFill>
              </a:ln>
            </c:spPr>
          </c:dPt>
          <c:dLbls>
            <c:txPr>
              <a:bodyPr/>
              <a:lstStyle/>
              <a:p>
                <a:pPr>
                  <a:defRPr sz="1200"/>
                </a:pPr>
                <a:endParaRPr lang="en-US"/>
              </a:p>
            </c:txPr>
            <c:showLegendKey val="0"/>
            <c:showVal val="1"/>
            <c:showCatName val="0"/>
            <c:showSerName val="0"/>
            <c:showPercent val="0"/>
            <c:showBubbleSize val="0"/>
            <c:showLeaderLines val="0"/>
          </c:dLbls>
          <c:cat>
            <c:strRef>
              <c:f>'GEO2'!$A$59</c:f>
              <c:strCache>
                <c:ptCount val="1"/>
                <c:pt idx="0">
                  <c:v>Survival 2008-2012</c:v>
                </c:pt>
              </c:strCache>
            </c:strRef>
          </c:cat>
          <c:val>
            <c:numRef>
              <c:f>'GEO2'!$C$66</c:f>
              <c:numCache>
                <c:formatCode>0%</c:formatCode>
                <c:ptCount val="1"/>
                <c:pt idx="0">
                  <c:v>0.57790368271954673</c:v>
                </c:pt>
              </c:numCache>
            </c:numRef>
          </c:val>
        </c:ser>
        <c:ser>
          <c:idx val="2"/>
          <c:order val="2"/>
          <c:tx>
            <c:strRef>
              <c:f>'GEO2'!$D$59</c:f>
              <c:strCache>
                <c:ptCount val="1"/>
                <c:pt idx="0">
                  <c:v>BOS</c:v>
                </c:pt>
              </c:strCache>
            </c:strRef>
          </c:tx>
          <c:spPr>
            <a:solidFill>
              <a:schemeClr val="accent5">
                <a:lumMod val="50000"/>
              </a:schemeClr>
            </a:solidFill>
            <a:ln>
              <a:solidFill>
                <a:schemeClr val="accent5">
                  <a:lumMod val="50000"/>
                </a:schemeClr>
              </a:solidFill>
            </a:ln>
          </c:spPr>
          <c:invertIfNegative val="0"/>
          <c:dLbls>
            <c:txPr>
              <a:bodyPr/>
              <a:lstStyle/>
              <a:p>
                <a:pPr>
                  <a:defRPr sz="1200"/>
                </a:pPr>
                <a:endParaRPr lang="en-US"/>
              </a:p>
            </c:txPr>
            <c:showLegendKey val="0"/>
            <c:showVal val="1"/>
            <c:showCatName val="0"/>
            <c:showSerName val="0"/>
            <c:showPercent val="0"/>
            <c:showBubbleSize val="0"/>
            <c:showLeaderLines val="0"/>
          </c:dLbls>
          <c:cat>
            <c:strRef>
              <c:f>'GEO2'!$A$59</c:f>
              <c:strCache>
                <c:ptCount val="1"/>
                <c:pt idx="0">
                  <c:v>Survival 2008-2012</c:v>
                </c:pt>
              </c:strCache>
            </c:strRef>
          </c:cat>
          <c:val>
            <c:numRef>
              <c:f>'GEO2'!$D$66</c:f>
              <c:numCache>
                <c:formatCode>0%</c:formatCode>
                <c:ptCount val="1"/>
                <c:pt idx="0">
                  <c:v>0.53958493466564184</c:v>
                </c:pt>
              </c:numCache>
            </c:numRef>
          </c:val>
        </c:ser>
        <c:dLbls>
          <c:showLegendKey val="0"/>
          <c:showVal val="0"/>
          <c:showCatName val="0"/>
          <c:showSerName val="0"/>
          <c:showPercent val="0"/>
          <c:showBubbleSize val="0"/>
        </c:dLbls>
        <c:gapWidth val="150"/>
        <c:axId val="237334528"/>
        <c:axId val="237336064"/>
      </c:barChart>
      <c:catAx>
        <c:axId val="237334528"/>
        <c:scaling>
          <c:orientation val="minMax"/>
        </c:scaling>
        <c:delete val="0"/>
        <c:axPos val="b"/>
        <c:majorTickMark val="out"/>
        <c:minorTickMark val="none"/>
        <c:tickLblPos val="nextTo"/>
        <c:txPr>
          <a:bodyPr/>
          <a:lstStyle/>
          <a:p>
            <a:pPr>
              <a:defRPr sz="1200"/>
            </a:pPr>
            <a:endParaRPr lang="en-US"/>
          </a:p>
        </c:txPr>
        <c:crossAx val="237336064"/>
        <c:crosses val="autoZero"/>
        <c:auto val="1"/>
        <c:lblAlgn val="ctr"/>
        <c:lblOffset val="100"/>
        <c:noMultiLvlLbl val="0"/>
      </c:catAx>
      <c:valAx>
        <c:axId val="237336064"/>
        <c:scaling>
          <c:orientation val="minMax"/>
        </c:scaling>
        <c:delete val="1"/>
        <c:axPos val="l"/>
        <c:numFmt formatCode="0%" sourceLinked="1"/>
        <c:majorTickMark val="out"/>
        <c:minorTickMark val="none"/>
        <c:tickLblPos val="nextTo"/>
        <c:crossAx val="237334528"/>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In total, new</a:t>
            </a:r>
            <a:r>
              <a:rPr lang="en-US" sz="1300" b="0" baseline="0"/>
              <a:t> b</a:t>
            </a:r>
            <a:r>
              <a:rPr lang="en-US" sz="1300" b="0"/>
              <a:t>usinesses</a:t>
            </a:r>
            <a:r>
              <a:rPr lang="en-US" sz="1300" b="0" baseline="0"/>
              <a:t> in MSAs added jobs, while those outside MSAs lost jobs.  </a:t>
            </a:r>
            <a:endParaRPr lang="en-US" sz="1300" b="0"/>
          </a:p>
        </c:rich>
      </c:tx>
      <c:layout>
        <c:manualLayout>
          <c:xMode val="edge"/>
          <c:yMode val="edge"/>
          <c:x val="0.15414832270053835"/>
          <c:y val="4.6296296296296294E-3"/>
        </c:manualLayout>
      </c:layout>
      <c:overlay val="1"/>
    </c:title>
    <c:autoTitleDeleted val="0"/>
    <c:plotArea>
      <c:layout>
        <c:manualLayout>
          <c:layoutTarget val="inner"/>
          <c:xMode val="edge"/>
          <c:yMode val="edge"/>
          <c:x val="5.2953515191333192E-2"/>
          <c:y val="0.36622703412073493"/>
          <c:w val="0.89509895204705248"/>
          <c:h val="0.52045530766987458"/>
        </c:manualLayout>
      </c:layout>
      <c:barChart>
        <c:barDir val="col"/>
        <c:grouping val="clustered"/>
        <c:varyColors val="0"/>
        <c:ser>
          <c:idx val="1"/>
          <c:order val="0"/>
          <c:tx>
            <c:v>2009</c:v>
          </c:tx>
          <c:invertIfNegative val="0"/>
          <c:dPt>
            <c:idx val="0"/>
            <c:invertIfNegative val="0"/>
            <c:bubble3D val="0"/>
            <c:spPr>
              <a:solidFill>
                <a:schemeClr val="accent5">
                  <a:lumMod val="60000"/>
                  <a:lumOff val="40000"/>
                  <a:alpha val="54000"/>
                </a:schemeClr>
              </a:solidFill>
              <a:ln>
                <a:solidFill>
                  <a:schemeClr val="accent5">
                    <a:lumMod val="50000"/>
                  </a:schemeClr>
                </a:solidFill>
              </a:ln>
            </c:spPr>
          </c:dPt>
          <c:dPt>
            <c:idx val="1"/>
            <c:invertIfNegative val="0"/>
            <c:bubble3D val="0"/>
            <c:spPr>
              <a:solidFill>
                <a:schemeClr val="accent5">
                  <a:lumMod val="50000"/>
                  <a:alpha val="61000"/>
                </a:schemeClr>
              </a:solidFill>
              <a:ln>
                <a:solidFill>
                  <a:schemeClr val="accent5">
                    <a:lumMod val="50000"/>
                  </a:schemeClr>
                </a:solidFill>
              </a:ln>
            </c:spPr>
          </c:dPt>
          <c:dLbls>
            <c:dLbl>
              <c:idx val="0"/>
              <c:layout>
                <c:manualLayout>
                  <c:x val="-4.8661800486618008E-2"/>
                  <c:y val="0"/>
                </c:manualLayout>
              </c:layout>
              <c:showLegendKey val="0"/>
              <c:showVal val="1"/>
              <c:showCatName val="0"/>
              <c:showSerName val="0"/>
              <c:showPercent val="0"/>
              <c:showBubbleSize val="0"/>
            </c:dLbl>
            <c:txPr>
              <a:bodyPr/>
              <a:lstStyle/>
              <a:p>
                <a:pPr>
                  <a:defRPr sz="1200"/>
                </a:pPr>
                <a:endParaRPr lang="en-US"/>
              </a:p>
            </c:txPr>
            <c:showLegendKey val="0"/>
            <c:showVal val="1"/>
            <c:showCatName val="0"/>
            <c:showSerName val="0"/>
            <c:showPercent val="0"/>
            <c:showBubbleSize val="0"/>
            <c:showLeaderLines val="0"/>
          </c:dLbls>
          <c:cat>
            <c:strRef>
              <c:f>'GEO2'!$C$3:$D$3</c:f>
              <c:strCache>
                <c:ptCount val="2"/>
                <c:pt idx="0">
                  <c:v>MSAs</c:v>
                </c:pt>
                <c:pt idx="1">
                  <c:v>BOS</c:v>
                </c:pt>
              </c:strCache>
            </c:strRef>
          </c:cat>
          <c:val>
            <c:numRef>
              <c:f>'GEO2'!$G$10:$H$10</c:f>
              <c:numCache>
                <c:formatCode>_(* #,##0_);_(* \(#,##0\);_(* "-"??_);_(@_)</c:formatCode>
                <c:ptCount val="2"/>
                <c:pt idx="0">
                  <c:v>3544.0833333333335</c:v>
                </c:pt>
                <c:pt idx="1">
                  <c:v>3621.5833333333335</c:v>
                </c:pt>
              </c:numCache>
            </c:numRef>
          </c:val>
        </c:ser>
        <c:ser>
          <c:idx val="0"/>
          <c:order val="1"/>
          <c:tx>
            <c:v>2010</c:v>
          </c:tx>
          <c:invertIfNegative val="0"/>
          <c:dPt>
            <c:idx val="0"/>
            <c:invertIfNegative val="0"/>
            <c:bubble3D val="0"/>
            <c:spPr>
              <a:solidFill>
                <a:schemeClr val="accent5">
                  <a:lumMod val="60000"/>
                  <a:lumOff val="40000"/>
                </a:schemeClr>
              </a:solidFill>
              <a:ln>
                <a:solidFill>
                  <a:schemeClr val="accent5">
                    <a:lumMod val="50000"/>
                  </a:schemeClr>
                </a:solidFill>
              </a:ln>
            </c:spPr>
          </c:dPt>
          <c:dPt>
            <c:idx val="1"/>
            <c:invertIfNegative val="0"/>
            <c:bubble3D val="0"/>
            <c:spPr>
              <a:solidFill>
                <a:schemeClr val="accent5">
                  <a:lumMod val="50000"/>
                </a:schemeClr>
              </a:solidFill>
              <a:ln>
                <a:solidFill>
                  <a:schemeClr val="accent5">
                    <a:lumMod val="50000"/>
                  </a:schemeClr>
                </a:solidFill>
              </a:ln>
            </c:spPr>
          </c:dPt>
          <c:dLbls>
            <c:txPr>
              <a:bodyPr/>
              <a:lstStyle/>
              <a:p>
                <a:pPr>
                  <a:defRPr sz="1200"/>
                </a:pPr>
                <a:endParaRPr lang="en-US"/>
              </a:p>
            </c:txPr>
            <c:showLegendKey val="0"/>
            <c:showVal val="1"/>
            <c:showCatName val="0"/>
            <c:showSerName val="0"/>
            <c:showPercent val="0"/>
            <c:showBubbleSize val="0"/>
            <c:showLeaderLines val="0"/>
          </c:dLbls>
          <c:cat>
            <c:strRef>
              <c:f>'GEO2'!$C$3:$D$3</c:f>
              <c:strCache>
                <c:ptCount val="2"/>
                <c:pt idx="0">
                  <c:v>MSAs</c:v>
                </c:pt>
                <c:pt idx="1">
                  <c:v>BOS</c:v>
                </c:pt>
              </c:strCache>
            </c:strRef>
          </c:cat>
          <c:val>
            <c:numRef>
              <c:f>'GEO2'!$Q$10:$R$10</c:f>
              <c:numCache>
                <c:formatCode>_(* #,##0_);_(* \(#,##0\);_(* "-"??_);_(@_)</c:formatCode>
                <c:ptCount val="2"/>
                <c:pt idx="0">
                  <c:v>3680.5000000000005</c:v>
                </c:pt>
                <c:pt idx="1">
                  <c:v>3220.9166666666665</c:v>
                </c:pt>
              </c:numCache>
            </c:numRef>
          </c:val>
        </c:ser>
        <c:dLbls>
          <c:showLegendKey val="0"/>
          <c:showVal val="0"/>
          <c:showCatName val="0"/>
          <c:showSerName val="0"/>
          <c:showPercent val="0"/>
          <c:showBubbleSize val="0"/>
        </c:dLbls>
        <c:gapWidth val="124"/>
        <c:axId val="237401600"/>
        <c:axId val="237403136"/>
      </c:barChart>
      <c:catAx>
        <c:axId val="237401600"/>
        <c:scaling>
          <c:orientation val="minMax"/>
        </c:scaling>
        <c:delete val="0"/>
        <c:axPos val="b"/>
        <c:numFmt formatCode="General" sourceLinked="1"/>
        <c:majorTickMark val="out"/>
        <c:minorTickMark val="none"/>
        <c:tickLblPos val="low"/>
        <c:txPr>
          <a:bodyPr/>
          <a:lstStyle/>
          <a:p>
            <a:pPr>
              <a:defRPr sz="1200"/>
            </a:pPr>
            <a:endParaRPr lang="en-US"/>
          </a:p>
        </c:txPr>
        <c:crossAx val="237403136"/>
        <c:crosses val="autoZero"/>
        <c:auto val="1"/>
        <c:lblAlgn val="ctr"/>
        <c:lblOffset val="100"/>
        <c:noMultiLvlLbl val="0"/>
      </c:catAx>
      <c:valAx>
        <c:axId val="237403136"/>
        <c:scaling>
          <c:orientation val="minMax"/>
        </c:scaling>
        <c:delete val="1"/>
        <c:axPos val="l"/>
        <c:numFmt formatCode="_(* #,##0_);_(* \(#,##0\);_(* &quot;-&quot;??_);_(@_)" sourceLinked="1"/>
        <c:majorTickMark val="out"/>
        <c:minorTickMark val="none"/>
        <c:tickLblPos val="nextTo"/>
        <c:crossAx val="237401600"/>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2009</a:t>
            </a:r>
            <a:r>
              <a:rPr lang="en-US" sz="1400" b="0"/>
              <a:t> </a:t>
            </a:r>
          </a:p>
        </c:rich>
      </c:tx>
      <c:layout>
        <c:manualLayout>
          <c:xMode val="edge"/>
          <c:yMode val="edge"/>
          <c:x val="2.5565497411639219E-2"/>
          <c:y val="1.6956226848228705E-4"/>
        </c:manualLayout>
      </c:layout>
      <c:overlay val="1"/>
    </c:title>
    <c:autoTitleDeleted val="0"/>
    <c:plotArea>
      <c:layout>
        <c:manualLayout>
          <c:layoutTarget val="inner"/>
          <c:xMode val="edge"/>
          <c:yMode val="edge"/>
          <c:x val="9.9198274812611953E-2"/>
          <c:y val="0.18211955522308326"/>
          <c:w val="0.78941053059295219"/>
          <c:h val="0.79213261095499887"/>
        </c:manualLayout>
      </c:layout>
      <c:pieChart>
        <c:varyColors val="1"/>
        <c:ser>
          <c:idx val="0"/>
          <c:order val="0"/>
          <c:dPt>
            <c:idx val="0"/>
            <c:bubble3D val="0"/>
            <c:spPr>
              <a:solidFill>
                <a:schemeClr val="accent5">
                  <a:lumMod val="60000"/>
                  <a:lumOff val="40000"/>
                </a:schemeClr>
              </a:solidFill>
            </c:spPr>
          </c:dPt>
          <c:dPt>
            <c:idx val="1"/>
            <c:bubble3D val="0"/>
            <c:spPr>
              <a:solidFill>
                <a:schemeClr val="accent5">
                  <a:lumMod val="50000"/>
                </a:schemeClr>
              </a:solidFill>
            </c:spPr>
          </c:dPt>
          <c:cat>
            <c:strRef>
              <c:f>'GEO2'!$C$3:$D$3</c:f>
              <c:strCache>
                <c:ptCount val="2"/>
                <c:pt idx="0">
                  <c:v>MSAs</c:v>
                </c:pt>
                <c:pt idx="1">
                  <c:v>BOS</c:v>
                </c:pt>
              </c:strCache>
            </c:strRef>
          </c:cat>
          <c:val>
            <c:numRef>
              <c:f>'GEO2'!$G$10:$H$10</c:f>
              <c:numCache>
                <c:formatCode>_(* #,##0_);_(* \(#,##0\);_(* "-"??_);_(@_)</c:formatCode>
                <c:ptCount val="2"/>
                <c:pt idx="0">
                  <c:v>3544.0833333333335</c:v>
                </c:pt>
                <c:pt idx="1">
                  <c:v>3621.5833333333335</c:v>
                </c:pt>
              </c:numCache>
            </c:numRef>
          </c:val>
        </c:ser>
        <c:dLbls>
          <c:showLegendKey val="0"/>
          <c:showVal val="0"/>
          <c:showCatName val="0"/>
          <c:showSerName val="0"/>
          <c:showPercent val="0"/>
          <c:showBubbleSize val="0"/>
          <c:showLeaderLines val="0"/>
        </c:dLbls>
        <c:firstSliceAng val="18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0.83775</cdr:x>
      <cdr:y>0.06433</cdr:y>
    </cdr:from>
    <cdr:to>
      <cdr:x>0.83786</cdr:x>
      <cdr:y>0.92626</cdr:y>
    </cdr:to>
    <cdr:cxnSp macro="">
      <cdr:nvCxnSpPr>
        <cdr:cNvPr id="3" name="Straight Connector 2"/>
        <cdr:cNvCxnSpPr/>
      </cdr:nvCxnSpPr>
      <cdr:spPr>
        <a:xfrm xmlns:a="http://schemas.openxmlformats.org/drawingml/2006/main">
          <a:off x="4819650" y="104775"/>
          <a:ext cx="654" cy="1403891"/>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0.38333</cdr:x>
      <cdr:y>0.86188</cdr:y>
    </cdr:from>
    <cdr:to>
      <cdr:x>0.66874</cdr:x>
      <cdr:y>0.97238</cdr:y>
    </cdr:to>
    <cdr:sp macro="" textlink="">
      <cdr:nvSpPr>
        <cdr:cNvPr id="4" name="Rectangular Callout 3"/>
        <cdr:cNvSpPr/>
      </cdr:nvSpPr>
      <cdr:spPr>
        <a:xfrm xmlns:a="http://schemas.openxmlformats.org/drawingml/2006/main" rot="16200000">
          <a:off x="2455086" y="889259"/>
          <a:ext cx="190500" cy="1383780"/>
        </a:xfrm>
        <a:prstGeom xmlns:a="http://schemas.openxmlformats.org/drawingml/2006/main" prst="wedgeRectCallout">
          <a:avLst>
            <a:gd name="adj1" fmla="val -80"/>
            <a:gd name="adj2" fmla="val 108911"/>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vert="vert" wrap="square" anchor="ctr">
          <a:noAutofit/>
        </a:bodyPr>
        <a:lstStyle xmlns:a="http://schemas.openxmlformats.org/drawingml/2006/main"/>
        <a:p xmlns:a="http://schemas.openxmlformats.org/drawingml/2006/main">
          <a:pPr algn="ctr"/>
          <a:r>
            <a:rPr lang="en-US" sz="1000" i="1">
              <a:solidFill>
                <a:sysClr val="windowText" lastClr="000000"/>
              </a:solidFill>
            </a:rPr>
            <a:t>56% average survival</a:t>
          </a:r>
        </a:p>
      </cdr:txBody>
    </cdr:sp>
  </cdr:relSizeAnchor>
  <cdr:relSizeAnchor xmlns:cdr="http://schemas.openxmlformats.org/drawingml/2006/chartDrawing">
    <cdr:from>
      <cdr:x>0.02152</cdr:x>
      <cdr:y>0.03509</cdr:y>
    </cdr:from>
    <cdr:to>
      <cdr:x>0.33113</cdr:x>
      <cdr:y>0.97076</cdr:y>
    </cdr:to>
    <cdr:sp macro="" textlink="">
      <cdr:nvSpPr>
        <cdr:cNvPr id="2" name="Text Box 1"/>
        <cdr:cNvSpPr txBox="1"/>
      </cdr:nvSpPr>
      <cdr:spPr>
        <a:xfrm xmlns:a="http://schemas.openxmlformats.org/drawingml/2006/main">
          <a:off x="123825" y="57150"/>
          <a:ext cx="1781175" cy="152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rtl="0">
            <a:defRPr sz="1800" b="1" i="0" u="none" strike="noStrike" kern="1200" baseline="0">
              <a:solidFill>
                <a:sysClr val="windowText" lastClr="000000"/>
              </a:solidFill>
              <a:latin typeface="+mn-lt"/>
              <a:ea typeface="+mn-ea"/>
              <a:cs typeface="+mn-cs"/>
            </a:defRPr>
          </a:pPr>
          <a:r>
            <a:rPr lang="en-US" sz="1300" b="0"/>
            <a:t>On average, new</a:t>
          </a:r>
          <a:r>
            <a:rPr lang="en-US" sz="1300" b="0" baseline="0"/>
            <a:t> businesses in </a:t>
          </a:r>
        </a:p>
        <a:p xmlns:a="http://schemas.openxmlformats.org/drawingml/2006/main">
          <a:pPr algn="l" rtl="0">
            <a:defRPr sz="1800" b="1" i="0" u="none" strike="noStrike" kern="1200" baseline="0">
              <a:solidFill>
                <a:sysClr val="windowText" lastClr="000000"/>
              </a:solidFill>
              <a:latin typeface="+mn-lt"/>
              <a:ea typeface="+mn-ea"/>
              <a:cs typeface="+mn-cs"/>
            </a:defRPr>
          </a:pPr>
          <a:r>
            <a:rPr lang="en-US" sz="1300" b="0" baseline="0"/>
            <a:t>retail and health &amp; social services </a:t>
          </a:r>
        </a:p>
        <a:p xmlns:a="http://schemas.openxmlformats.org/drawingml/2006/main">
          <a:pPr algn="l" rtl="0">
            <a:defRPr sz="1800" b="1" i="0" u="none" strike="noStrike" kern="1200" baseline="0">
              <a:solidFill>
                <a:sysClr val="windowText" lastClr="000000"/>
              </a:solidFill>
              <a:latin typeface="+mn-lt"/>
              <a:ea typeface="+mn-ea"/>
              <a:cs typeface="+mn-cs"/>
            </a:defRPr>
          </a:pPr>
          <a:r>
            <a:rPr lang="en-US" sz="1300" b="0" baseline="0"/>
            <a:t>had the highest rates of survival from 2008 to 2012.</a:t>
          </a: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0.00839</cdr:x>
      <cdr:y>0.03638</cdr:y>
    </cdr:from>
    <cdr:to>
      <cdr:x>0.33557</cdr:x>
      <cdr:y>0.62424</cdr:y>
    </cdr:to>
    <cdr:sp macro="" textlink="">
      <cdr:nvSpPr>
        <cdr:cNvPr id="3" name="TextBox 2"/>
        <cdr:cNvSpPr txBox="1"/>
      </cdr:nvSpPr>
      <cdr:spPr>
        <a:xfrm xmlns:a="http://schemas.openxmlformats.org/drawingml/2006/main">
          <a:off x="47641" y="180951"/>
          <a:ext cx="1857369" cy="29239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rtl="0"/>
          <a:r>
            <a:rPr lang="en-US" sz="1300" b="0" i="0" baseline="0">
              <a:effectLst/>
              <a:latin typeface="+mn-lt"/>
              <a:ea typeface="+mn-ea"/>
              <a:cs typeface="+mn-cs"/>
            </a:rPr>
            <a:t>The timing and rate</a:t>
          </a:r>
          <a:endParaRPr lang="en-US" sz="1300">
            <a:effectLst/>
          </a:endParaRPr>
        </a:p>
        <a:p xmlns:a="http://schemas.openxmlformats.org/drawingml/2006/main">
          <a:pPr rtl="0"/>
          <a:r>
            <a:rPr lang="en-US" sz="1300" b="0" i="0" baseline="0">
              <a:effectLst/>
              <a:latin typeface="+mn-lt"/>
              <a:ea typeface="+mn-ea"/>
              <a:cs typeface="+mn-cs"/>
            </a:rPr>
            <a:t>of business closures </a:t>
          </a:r>
          <a:endParaRPr lang="en-US" sz="1300">
            <a:effectLst/>
          </a:endParaRPr>
        </a:p>
        <a:p xmlns:a="http://schemas.openxmlformats.org/drawingml/2006/main">
          <a:pPr rtl="0"/>
          <a:r>
            <a:rPr lang="en-US" sz="1300" b="0" i="0" baseline="0">
              <a:effectLst/>
              <a:latin typeface="+mn-lt"/>
              <a:ea typeface="+mn-ea"/>
              <a:cs typeface="+mn-cs"/>
            </a:rPr>
            <a:t>by industry are  ex-</a:t>
          </a:r>
          <a:endParaRPr lang="en-US" sz="1300">
            <a:effectLst/>
          </a:endParaRPr>
        </a:p>
        <a:p xmlns:a="http://schemas.openxmlformats.org/drawingml/2006/main">
          <a:pPr rtl="0"/>
          <a:r>
            <a:rPr lang="en-US" sz="1300" b="0" i="0" baseline="0">
              <a:effectLst/>
              <a:latin typeface="+mn-lt"/>
              <a:ea typeface="+mn-ea"/>
              <a:cs typeface="+mn-cs"/>
            </a:rPr>
            <a:t>pressed by the slope </a:t>
          </a:r>
          <a:endParaRPr lang="en-US" sz="1300">
            <a:effectLst/>
          </a:endParaRPr>
        </a:p>
        <a:p xmlns:a="http://schemas.openxmlformats.org/drawingml/2006/main">
          <a:pPr rtl="0"/>
          <a:r>
            <a:rPr lang="en-US" sz="1300" b="0" i="0" baseline="0">
              <a:effectLst/>
              <a:latin typeface="+mn-lt"/>
              <a:ea typeface="+mn-ea"/>
              <a:cs typeface="+mn-cs"/>
            </a:rPr>
            <a:t>of each indexed line.</a:t>
          </a:r>
        </a:p>
        <a:p xmlns:a="http://schemas.openxmlformats.org/drawingml/2006/main">
          <a:pPr rtl="0"/>
          <a:endParaRPr lang="en-US" sz="1300">
            <a:effectLst/>
          </a:endParaRPr>
        </a:p>
        <a:p xmlns:a="http://schemas.openxmlformats.org/drawingml/2006/main">
          <a:pPr rtl="0"/>
          <a:r>
            <a:rPr lang="en-US" sz="1300" b="0" i="0" baseline="0">
              <a:effectLst/>
              <a:latin typeface="+mn-lt"/>
              <a:ea typeface="+mn-ea"/>
              <a:cs typeface="+mn-cs"/>
            </a:rPr>
            <a:t>The higher the share </a:t>
          </a:r>
          <a:endParaRPr lang="en-US" sz="1300">
            <a:effectLst/>
          </a:endParaRPr>
        </a:p>
        <a:p xmlns:a="http://schemas.openxmlformats.org/drawingml/2006/main">
          <a:pPr rtl="0"/>
          <a:r>
            <a:rPr lang="en-US" sz="1300" b="0" i="0" baseline="0">
              <a:effectLst/>
              <a:latin typeface="+mn-lt"/>
              <a:ea typeface="+mn-ea"/>
              <a:cs typeface="+mn-cs"/>
            </a:rPr>
            <a:t>of units closed, </a:t>
          </a:r>
          <a:endParaRPr lang="en-US" sz="1300">
            <a:effectLst/>
          </a:endParaRPr>
        </a:p>
        <a:p xmlns:a="http://schemas.openxmlformats.org/drawingml/2006/main">
          <a:pPr rtl="0"/>
          <a:r>
            <a:rPr lang="en-US" sz="1300" b="0" i="0" baseline="0">
              <a:effectLst/>
              <a:latin typeface="+mn-lt"/>
              <a:ea typeface="+mn-ea"/>
              <a:cs typeface="+mn-cs"/>
            </a:rPr>
            <a:t>the steeper the </a:t>
          </a:r>
          <a:endParaRPr lang="en-US" sz="1300">
            <a:effectLst/>
          </a:endParaRPr>
        </a:p>
        <a:p xmlns:a="http://schemas.openxmlformats.org/drawingml/2006/main">
          <a:pPr rtl="0"/>
          <a:r>
            <a:rPr lang="en-US" sz="1300" b="0" i="0" baseline="0">
              <a:effectLst/>
              <a:latin typeface="+mn-lt"/>
              <a:ea typeface="+mn-ea"/>
              <a:cs typeface="+mn-cs"/>
            </a:rPr>
            <a:t>downward trajectory.</a:t>
          </a:r>
        </a:p>
        <a:p xmlns:a="http://schemas.openxmlformats.org/drawingml/2006/main">
          <a:pPr rtl="0"/>
          <a:endParaRPr lang="en-US" sz="1400">
            <a:effectLst/>
          </a:endParaRPr>
        </a:p>
        <a:p xmlns:a="http://schemas.openxmlformats.org/drawingml/2006/main">
          <a:pPr rtl="0"/>
          <a:r>
            <a:rPr lang="en-US" sz="1100" b="0" i="1" baseline="0">
              <a:effectLst/>
              <a:latin typeface="+mn-lt"/>
              <a:ea typeface="+mn-ea"/>
              <a:cs typeface="+mn-cs"/>
            </a:rPr>
            <a:t>New business units, </a:t>
          </a:r>
          <a:endParaRPr lang="en-US">
            <a:effectLst/>
          </a:endParaRPr>
        </a:p>
        <a:p xmlns:a="http://schemas.openxmlformats.org/drawingml/2006/main">
          <a:r>
            <a:rPr lang="en-US" sz="1100" b="0" i="1" baseline="0">
              <a:effectLst/>
              <a:latin typeface="+mn-lt"/>
              <a:ea typeface="+mn-ea"/>
              <a:cs typeface="+mn-cs"/>
            </a:rPr>
            <a:t>2008 = 100%</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0.23114</cdr:x>
      <cdr:y>0.61227</cdr:y>
    </cdr:from>
    <cdr:to>
      <cdr:x>0.35523</cdr:x>
      <cdr:y>0.87847</cdr:y>
    </cdr:to>
    <cdr:sp macro="" textlink="">
      <cdr:nvSpPr>
        <cdr:cNvPr id="2" name="TextBox 1"/>
        <cdr:cNvSpPr txBox="1"/>
      </cdr:nvSpPr>
      <cdr:spPr>
        <a:xfrm xmlns:a="http://schemas.openxmlformats.org/drawingml/2006/main">
          <a:off x="603250" y="1679575"/>
          <a:ext cx="323850" cy="730250"/>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400"/>
            <a:t>Maine</a:t>
          </a:r>
        </a:p>
      </cdr:txBody>
    </cdr:sp>
  </cdr:relSizeAnchor>
  <cdr:relSizeAnchor xmlns:cdr="http://schemas.openxmlformats.org/drawingml/2006/chartDrawing">
    <cdr:from>
      <cdr:x>0.43552</cdr:x>
      <cdr:y>0.6088</cdr:y>
    </cdr:from>
    <cdr:to>
      <cdr:x>0.55961</cdr:x>
      <cdr:y>0.875</cdr:y>
    </cdr:to>
    <cdr:sp macro="" textlink="">
      <cdr:nvSpPr>
        <cdr:cNvPr id="3" name="TextBox 1"/>
        <cdr:cNvSpPr txBox="1"/>
      </cdr:nvSpPr>
      <cdr:spPr>
        <a:xfrm xmlns:a="http://schemas.openxmlformats.org/drawingml/2006/main">
          <a:off x="1136650" y="1670050"/>
          <a:ext cx="323850" cy="730250"/>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400"/>
            <a:t>MSAs</a:t>
          </a:r>
        </a:p>
      </cdr:txBody>
    </cdr:sp>
  </cdr:relSizeAnchor>
  <cdr:relSizeAnchor xmlns:cdr="http://schemas.openxmlformats.org/drawingml/2006/chartDrawing">
    <cdr:from>
      <cdr:x>0.63425</cdr:x>
      <cdr:y>0.62268</cdr:y>
    </cdr:from>
    <cdr:to>
      <cdr:x>0.75834</cdr:x>
      <cdr:y>0.88889</cdr:y>
    </cdr:to>
    <cdr:sp macro="" textlink="">
      <cdr:nvSpPr>
        <cdr:cNvPr id="4" name="TextBox 1"/>
        <cdr:cNvSpPr txBox="1"/>
      </cdr:nvSpPr>
      <cdr:spPr>
        <a:xfrm xmlns:a="http://schemas.openxmlformats.org/drawingml/2006/main">
          <a:off x="1503088" y="1708139"/>
          <a:ext cx="294077" cy="730267"/>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400">
              <a:solidFill>
                <a:schemeClr val="bg1"/>
              </a:solidFill>
            </a:rPr>
            <a:t>BOS</a:t>
          </a:r>
        </a:p>
      </cdr:txBody>
    </cdr:sp>
  </cdr:relSizeAnchor>
</c:userShapes>
</file>

<file path=word/drawings/drawing4.xml><?xml version="1.0" encoding="utf-8"?>
<c:userShapes xmlns:c="http://schemas.openxmlformats.org/drawingml/2006/chart">
  <cdr:relSizeAnchor xmlns:cdr="http://schemas.openxmlformats.org/drawingml/2006/chartDrawing">
    <cdr:from>
      <cdr:x>0.13869</cdr:x>
      <cdr:y>0.64236</cdr:y>
    </cdr:from>
    <cdr:to>
      <cdr:x>0.26277</cdr:x>
      <cdr:y>0.87847</cdr:y>
    </cdr:to>
    <cdr:sp macro="" textlink="">
      <cdr:nvSpPr>
        <cdr:cNvPr id="2" name="TextBox 1"/>
        <cdr:cNvSpPr txBox="1"/>
      </cdr:nvSpPr>
      <cdr:spPr>
        <a:xfrm xmlns:a="http://schemas.openxmlformats.org/drawingml/2006/main">
          <a:off x="361951" y="1762125"/>
          <a:ext cx="323850" cy="647700"/>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400"/>
            <a:t>2009</a:t>
          </a:r>
        </a:p>
      </cdr:txBody>
    </cdr:sp>
  </cdr:relSizeAnchor>
  <cdr:relSizeAnchor xmlns:cdr="http://schemas.openxmlformats.org/drawingml/2006/chartDrawing">
    <cdr:from>
      <cdr:x>0.58881</cdr:x>
      <cdr:y>0.65046</cdr:y>
    </cdr:from>
    <cdr:to>
      <cdr:x>0.7129</cdr:x>
      <cdr:y>0.88657</cdr:y>
    </cdr:to>
    <cdr:sp macro="" textlink="">
      <cdr:nvSpPr>
        <cdr:cNvPr id="3" name="TextBox 1"/>
        <cdr:cNvSpPr txBox="1"/>
      </cdr:nvSpPr>
      <cdr:spPr>
        <a:xfrm xmlns:a="http://schemas.openxmlformats.org/drawingml/2006/main">
          <a:off x="1536700" y="1784350"/>
          <a:ext cx="323850" cy="647700"/>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a:solidFill>
                <a:schemeClr val="bg1"/>
              </a:solidFill>
            </a:rPr>
            <a:t>2009</a:t>
          </a:r>
        </a:p>
      </cdr:txBody>
    </cdr:sp>
  </cdr:relSizeAnchor>
  <cdr:relSizeAnchor xmlns:cdr="http://schemas.openxmlformats.org/drawingml/2006/chartDrawing">
    <cdr:from>
      <cdr:x>0.28224</cdr:x>
      <cdr:y>0.64352</cdr:y>
    </cdr:from>
    <cdr:to>
      <cdr:x>0.40633</cdr:x>
      <cdr:y>0.87963</cdr:y>
    </cdr:to>
    <cdr:sp macro="" textlink="">
      <cdr:nvSpPr>
        <cdr:cNvPr id="4" name="TextBox 1"/>
        <cdr:cNvSpPr txBox="1"/>
      </cdr:nvSpPr>
      <cdr:spPr>
        <a:xfrm xmlns:a="http://schemas.openxmlformats.org/drawingml/2006/main">
          <a:off x="736600" y="1765300"/>
          <a:ext cx="323850" cy="647700"/>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a:t>2012</a:t>
          </a:r>
        </a:p>
      </cdr:txBody>
    </cdr:sp>
  </cdr:relSizeAnchor>
  <cdr:relSizeAnchor xmlns:cdr="http://schemas.openxmlformats.org/drawingml/2006/chartDrawing">
    <cdr:from>
      <cdr:x>0.73114</cdr:x>
      <cdr:y>0.65394</cdr:y>
    </cdr:from>
    <cdr:to>
      <cdr:x>0.85523</cdr:x>
      <cdr:y>0.89005</cdr:y>
    </cdr:to>
    <cdr:sp macro="" textlink="">
      <cdr:nvSpPr>
        <cdr:cNvPr id="5" name="TextBox 1"/>
        <cdr:cNvSpPr txBox="1"/>
      </cdr:nvSpPr>
      <cdr:spPr>
        <a:xfrm xmlns:a="http://schemas.openxmlformats.org/drawingml/2006/main">
          <a:off x="1732707" y="1793879"/>
          <a:ext cx="294078" cy="647697"/>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a:solidFill>
                <a:schemeClr val="bg1"/>
              </a:solidFill>
            </a:rPr>
            <a:t>2012</a:t>
          </a:r>
        </a:p>
      </cdr:txBody>
    </cdr:sp>
  </cdr:relSizeAnchor>
</c:userShapes>
</file>

<file path=word/drawings/drawing5.xml><?xml version="1.0" encoding="utf-8"?>
<c:userShapes xmlns:c="http://schemas.openxmlformats.org/drawingml/2006/chart">
  <cdr:relSizeAnchor xmlns:cdr="http://schemas.openxmlformats.org/drawingml/2006/chartDrawing">
    <cdr:from>
      <cdr:x>0.53711</cdr:x>
      <cdr:y>0.41663</cdr:y>
    </cdr:from>
    <cdr:to>
      <cdr:x>0.93052</cdr:x>
      <cdr:y>0.71342</cdr:y>
    </cdr:to>
    <cdr:sp macro="" textlink="">
      <cdr:nvSpPr>
        <cdr:cNvPr id="3" name="TextBox 11"/>
        <cdr:cNvSpPr txBox="1"/>
      </cdr:nvSpPr>
      <cdr:spPr>
        <a:xfrm xmlns:a="http://schemas.openxmlformats.org/drawingml/2006/main">
          <a:off x="679450" y="527050"/>
          <a:ext cx="497681" cy="37544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a:solidFill>
                <a:schemeClr val="bg1"/>
              </a:solidFill>
            </a:rPr>
            <a:t>BOS</a:t>
          </a:r>
        </a:p>
        <a:p xmlns:a="http://schemas.openxmlformats.org/drawingml/2006/main">
          <a:pPr algn="ctr"/>
          <a:r>
            <a:rPr lang="en-US" sz="1000">
              <a:solidFill>
                <a:schemeClr val="bg1"/>
              </a:solidFill>
            </a:rPr>
            <a:t>50%</a:t>
          </a:r>
        </a:p>
      </cdr:txBody>
    </cdr:sp>
  </cdr:relSizeAnchor>
  <cdr:relSizeAnchor xmlns:cdr="http://schemas.openxmlformats.org/drawingml/2006/chartDrawing">
    <cdr:from>
      <cdr:x>0.11469</cdr:x>
      <cdr:y>0.50866</cdr:y>
    </cdr:from>
    <cdr:to>
      <cdr:x>0.5081</cdr:x>
      <cdr:y>0.80545</cdr:y>
    </cdr:to>
    <cdr:sp macro="" textlink="">
      <cdr:nvSpPr>
        <cdr:cNvPr id="4" name="TextBox 11"/>
        <cdr:cNvSpPr txBox="1"/>
      </cdr:nvSpPr>
      <cdr:spPr>
        <a:xfrm xmlns:a="http://schemas.openxmlformats.org/drawingml/2006/main">
          <a:off x="146050" y="643467"/>
          <a:ext cx="500983" cy="37544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a:solidFill>
                <a:sysClr val="windowText" lastClr="000000"/>
              </a:solidFill>
            </a:rPr>
            <a:t>MSAs</a:t>
          </a:r>
        </a:p>
        <a:p xmlns:a="http://schemas.openxmlformats.org/drawingml/2006/main">
          <a:pPr algn="ctr"/>
          <a:r>
            <a:rPr lang="en-US" sz="1000">
              <a:solidFill>
                <a:sysClr val="windowText" lastClr="000000"/>
              </a:solidFill>
            </a:rPr>
            <a:t>50%</a:t>
          </a:r>
        </a:p>
      </cdr:txBody>
    </cdr:sp>
  </cdr:relSizeAnchor>
</c:userShapes>
</file>

<file path=word/drawings/drawing6.xml><?xml version="1.0" encoding="utf-8"?>
<c:userShapes xmlns:c="http://schemas.openxmlformats.org/drawingml/2006/chart">
  <cdr:relSizeAnchor xmlns:cdr="http://schemas.openxmlformats.org/drawingml/2006/chartDrawing">
    <cdr:from>
      <cdr:x>0.51995</cdr:x>
      <cdr:y>0.37501</cdr:y>
    </cdr:from>
    <cdr:to>
      <cdr:x>0.91337</cdr:x>
      <cdr:y>0.6718</cdr:y>
    </cdr:to>
    <cdr:sp macro="" textlink="">
      <cdr:nvSpPr>
        <cdr:cNvPr id="3" name="TextBox 11"/>
        <cdr:cNvSpPr txBox="1"/>
      </cdr:nvSpPr>
      <cdr:spPr>
        <a:xfrm xmlns:a="http://schemas.openxmlformats.org/drawingml/2006/main">
          <a:off x="717550" y="517525"/>
          <a:ext cx="542925" cy="4095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a:solidFill>
                <a:schemeClr val="bg1"/>
              </a:solidFill>
            </a:rPr>
            <a:t>BOS</a:t>
          </a:r>
        </a:p>
        <a:p xmlns:a="http://schemas.openxmlformats.org/drawingml/2006/main">
          <a:pPr algn="ctr"/>
          <a:r>
            <a:rPr lang="en-US" sz="1000">
              <a:solidFill>
                <a:schemeClr val="bg1"/>
              </a:solidFill>
            </a:rPr>
            <a:t>47%</a:t>
          </a:r>
        </a:p>
      </cdr:txBody>
    </cdr:sp>
  </cdr:relSizeAnchor>
  <cdr:relSizeAnchor xmlns:cdr="http://schemas.openxmlformats.org/drawingml/2006/chartDrawing">
    <cdr:from>
      <cdr:x>0.09203</cdr:x>
      <cdr:y>0.42333</cdr:y>
    </cdr:from>
    <cdr:to>
      <cdr:x>0.48544</cdr:x>
      <cdr:y>0.72011</cdr:y>
    </cdr:to>
    <cdr:sp macro="" textlink="">
      <cdr:nvSpPr>
        <cdr:cNvPr id="4" name="TextBox 10"/>
        <cdr:cNvSpPr txBox="1"/>
      </cdr:nvSpPr>
      <cdr:spPr>
        <a:xfrm xmlns:a="http://schemas.openxmlformats.org/drawingml/2006/main">
          <a:off x="127000" y="584200"/>
          <a:ext cx="542925" cy="4095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a:t>MSAs</a:t>
          </a:r>
        </a:p>
        <a:p xmlns:a="http://schemas.openxmlformats.org/drawingml/2006/main">
          <a:pPr algn="ctr"/>
          <a:r>
            <a:rPr lang="en-US" sz="1000"/>
            <a:t>53%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4AE0-E0AE-492A-A716-5CEDEF27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Template_Brief.dotx</Template>
  <TotalTime>3</TotalTime>
  <Pages>16</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Additional Data on Unemployment Insurance Claims in the</vt:lpstr>
    </vt:vector>
  </TitlesOfParts>
  <Company>Department of Labor</Company>
  <LinksUpToDate>false</LinksUpToDate>
  <CharactersWithSpaces>26979</CharactersWithSpaces>
  <SharedDoc>false</SharedDoc>
  <HLinks>
    <vt:vector size="6" baseType="variant">
      <vt:variant>
        <vt:i4>3539047</vt:i4>
      </vt:variant>
      <vt:variant>
        <vt:i4>0</vt:i4>
      </vt:variant>
      <vt:variant>
        <vt:i4>0</vt:i4>
      </vt:variant>
      <vt:variant>
        <vt:i4>5</vt:i4>
      </vt:variant>
      <vt:variant>
        <vt:lpwstr>http://www.maine.gov/labor/cwri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Businesses Started in 2008: Tracking Jobs and Wages through 2012</dc:title>
  <dc:creator>Maine Department of Labor, Center for Workforce Research and Information</dc:creator>
  <cp:keywords/>
  <cp:lastModifiedBy>State of Maine</cp:lastModifiedBy>
  <cp:revision>4</cp:revision>
  <cp:lastPrinted>2013-07-31T18:24:00Z</cp:lastPrinted>
  <dcterms:created xsi:type="dcterms:W3CDTF">2013-08-20T18:14:00Z</dcterms:created>
  <dcterms:modified xsi:type="dcterms:W3CDTF">2013-08-20T18:51:00Z</dcterms:modified>
</cp:coreProperties>
</file>