
<file path=[Content_Types].xml><?xml version="1.0" encoding="utf-8"?>
<Types xmlns="http://schemas.openxmlformats.org/package/2006/content-types">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620" w:rsidRPr="00484A3F" w:rsidRDefault="005E7975" w:rsidP="00716620">
      <w:pPr>
        <w:pStyle w:val="Title"/>
        <w:rPr>
          <w:color w:val="FFFFFF"/>
        </w:rPr>
      </w:pPr>
      <w:r>
        <w:rPr>
          <w:b w:val="0"/>
          <w:bCs w:val="0"/>
        </w:rPr>
        <w:drawing>
          <wp:anchor distT="0" distB="0" distL="114300" distR="114300" simplePos="0" relativeHeight="251657728" behindDoc="0" locked="0" layoutInCell="1" allowOverlap="0">
            <wp:simplePos x="0" y="0"/>
            <wp:positionH relativeFrom="column">
              <wp:posOffset>0</wp:posOffset>
            </wp:positionH>
            <wp:positionV relativeFrom="paragraph">
              <wp:posOffset>0</wp:posOffset>
            </wp:positionV>
            <wp:extent cx="880110" cy="709930"/>
            <wp:effectExtent l="0" t="0" r="0" b="0"/>
            <wp:wrapNone/>
            <wp:docPr id="10" name="Picture 440" descr="Maine Department of Labor, Center for Workforce Research and Infor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Maine Department of Labor, Center for Workforce Research and Informati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011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620" w:rsidRPr="00484A3F">
        <w:rPr>
          <w:color w:val="FFFFFF"/>
          <w:szCs w:val="72"/>
        </w:rPr>
        <w:t>Research</w:t>
      </w:r>
      <w:r w:rsidR="00716620" w:rsidRPr="00484A3F">
        <w:rPr>
          <w:color w:val="FFFFFF"/>
        </w:rPr>
        <w:t xml:space="preserve"> Brief</w:t>
      </w:r>
    </w:p>
    <w:p w:rsidR="00716620" w:rsidRPr="00484A3F" w:rsidRDefault="00716620" w:rsidP="00716620">
      <w:pPr>
        <w:pStyle w:val="Subtitle"/>
        <w:rPr>
          <w:color w:val="FFFFFF"/>
        </w:rPr>
      </w:pPr>
      <w:r w:rsidRPr="00484A3F">
        <w:rPr>
          <w:color w:val="FFFFFF"/>
        </w:rPr>
        <w:t xml:space="preserve">Center for </w:t>
      </w:r>
      <w:r w:rsidRPr="00484A3F">
        <w:rPr>
          <w:color w:val="FFFFFF"/>
          <w:szCs w:val="32"/>
        </w:rPr>
        <w:t>Workforce</w:t>
      </w:r>
      <w:r w:rsidRPr="00484A3F">
        <w:rPr>
          <w:color w:val="FFFFFF"/>
        </w:rPr>
        <w:t xml:space="preserve"> Research and Information</w:t>
      </w:r>
    </w:p>
    <w:p w:rsidR="00716620" w:rsidRPr="00DC0571" w:rsidRDefault="004E71A1" w:rsidP="00DC0571">
      <w:pPr>
        <w:pStyle w:val="Header"/>
      </w:pPr>
      <w:r>
        <w:t>July 2012</w:t>
      </w:r>
    </w:p>
    <w:p w:rsidR="00FC096C" w:rsidRDefault="004E71A1" w:rsidP="00FC096C">
      <w:pPr>
        <w:pStyle w:val="Heading1"/>
        <w:spacing w:before="840" w:after="360"/>
      </w:pPr>
      <w:r>
        <w:t xml:space="preserve">Manufacturing </w:t>
      </w:r>
      <w:r w:rsidR="00026388">
        <w:t>Jobs: Trends, Issues</w:t>
      </w:r>
      <w:r w:rsidR="00DE32AE">
        <w:t>,</w:t>
      </w:r>
      <w:r w:rsidR="00026388">
        <w:t xml:space="preserve"> and Outlook</w:t>
      </w:r>
    </w:p>
    <w:p w:rsidR="00045A09" w:rsidRPr="00427263" w:rsidRDefault="00045A09" w:rsidP="00045A09">
      <w:pPr>
        <w:pStyle w:val="BodyText"/>
      </w:pPr>
      <w:r w:rsidRPr="00427263">
        <w:t>The mix of jobs by industry in Maine has changed a great deal over the last few generations. Employment in</w:t>
      </w:r>
      <w:r>
        <w:t xml:space="preserve"> </w:t>
      </w:r>
      <w:r w:rsidRPr="00427263">
        <w:t xml:space="preserve">manufacturing accounted for </w:t>
      </w:r>
      <w:r>
        <w:t>43 percent of nonfarm</w:t>
      </w:r>
      <w:r w:rsidRPr="00427263">
        <w:t xml:space="preserve"> jobs 60 years ago; in 201</w:t>
      </w:r>
      <w:r>
        <w:t>1</w:t>
      </w:r>
      <w:r w:rsidRPr="00427263">
        <w:t xml:space="preserve"> </w:t>
      </w:r>
      <w:r w:rsidR="00C067A9">
        <w:t xml:space="preserve">it </w:t>
      </w:r>
      <w:r w:rsidRPr="00427263">
        <w:t xml:space="preserve">accounted for </w:t>
      </w:r>
      <w:r w:rsidR="00C067A9">
        <w:t xml:space="preserve">just </w:t>
      </w:r>
      <w:r>
        <w:t>8.5</w:t>
      </w:r>
      <w:r w:rsidRPr="00427263">
        <w:t xml:space="preserve"> percent of jobs. During the same period jobs in service-providing industries nearly quadrupled. Shifting buying patterns related to demographic trends, technological advances, international competition, and a wide </w:t>
      </w:r>
      <w:bookmarkStart w:id="0" w:name="_GoBack"/>
      <w:bookmarkEnd w:id="0"/>
      <w:r w:rsidRPr="00427263">
        <w:t>range of other factors contributed to the substantial changes in the structure of employment. The trends that have played out in Maine have largely mirrored those of the nation and many of the industrialized</w:t>
      </w:r>
      <w:r w:rsidR="00C067A9">
        <w:t xml:space="preserve"> nations.</w:t>
      </w:r>
    </w:p>
    <w:p w:rsidR="0070309D" w:rsidRDefault="0070309D" w:rsidP="005C4A9E">
      <w:pPr>
        <w:pStyle w:val="BodyText"/>
      </w:pPr>
      <w:r>
        <w:t>Now, and for the foreseeable future, manufacturers will be subje</w:t>
      </w:r>
      <w:r w:rsidR="00251030">
        <w:t>ct to foreign competition and t</w:t>
      </w:r>
      <w:r>
        <w:t>echnology-driven</w:t>
      </w:r>
      <w:r w:rsidR="00251030">
        <w:t xml:space="preserve"> job and industry restructuring. Moreover, the pace of change will likely increase.</w:t>
      </w:r>
    </w:p>
    <w:p w:rsidR="00FC096C" w:rsidRDefault="00BD72E0" w:rsidP="005C4A9E">
      <w:pPr>
        <w:pStyle w:val="BodyText"/>
      </w:pPr>
      <w:r>
        <w:t xml:space="preserve">Despite </w:t>
      </w:r>
      <w:r w:rsidR="00C067A9">
        <w:t xml:space="preserve">the current environment of relatively high unemployment and the large numbers of production workers that have been displaced in recent years, </w:t>
      </w:r>
      <w:r w:rsidR="00251030">
        <w:t>manufacturers in Maine and th</w:t>
      </w:r>
      <w:r w:rsidR="00C067A9">
        <w:t>e U.S. face some significant labor supply challenges</w:t>
      </w:r>
      <w:r w:rsidR="00AC7162">
        <w:t>. L</w:t>
      </w:r>
      <w:r w:rsidR="00C067A9">
        <w:t>arge number</w:t>
      </w:r>
      <w:r w:rsidR="00AC7162">
        <w:t>s</w:t>
      </w:r>
      <w:r w:rsidR="00C067A9">
        <w:t xml:space="preserve"> of </w:t>
      </w:r>
      <w:r w:rsidR="00AC7162">
        <w:t xml:space="preserve">production </w:t>
      </w:r>
      <w:r w:rsidR="00CE7C5B">
        <w:t xml:space="preserve">job openings </w:t>
      </w:r>
      <w:r w:rsidR="00C067A9">
        <w:t xml:space="preserve">remain </w:t>
      </w:r>
      <w:r w:rsidR="00CE7C5B">
        <w:t>unfilled</w:t>
      </w:r>
      <w:r w:rsidR="0096731D">
        <w:t>.</w:t>
      </w:r>
      <w:r w:rsidR="005C4A9E">
        <w:t xml:space="preserve"> </w:t>
      </w:r>
      <w:r w:rsidR="00C067A9">
        <w:t>The primary reason is</w:t>
      </w:r>
      <w:r w:rsidR="00AC7162">
        <w:t xml:space="preserve"> that</w:t>
      </w:r>
      <w:r w:rsidR="003A403A">
        <w:t xml:space="preserve"> </w:t>
      </w:r>
      <w:r w:rsidR="00EA7193">
        <w:t xml:space="preserve">the </w:t>
      </w:r>
      <w:r w:rsidR="00AC7162">
        <w:t>m</w:t>
      </w:r>
      <w:r w:rsidR="00C067A9">
        <w:t>anufacturers that have survived and are thriving are those that invested heavily in capital-intensive production systems that t</w:t>
      </w:r>
      <w:r w:rsidR="00AC7162">
        <w:t xml:space="preserve">end to have much higher </w:t>
      </w:r>
      <w:r w:rsidR="00C067A9">
        <w:t>pe</w:t>
      </w:r>
      <w:r w:rsidR="00AC7162">
        <w:t>rformance requirements than what many of the former production workers pos</w:t>
      </w:r>
      <w:r w:rsidR="00EA7193">
        <w:t>s</w:t>
      </w:r>
      <w:r w:rsidR="00AC7162">
        <w:t>e</w:t>
      </w:r>
      <w:r w:rsidR="00EA7193">
        <w:t>s</w:t>
      </w:r>
      <w:r w:rsidR="00AC7162">
        <w:t xml:space="preserve">s in terms of education and experience. </w:t>
      </w:r>
      <w:r w:rsidR="005C4A9E">
        <w:t>A suc</w:t>
      </w:r>
      <w:r w:rsidR="00AC7162">
        <w:t>cessful future for manufacturing</w:t>
      </w:r>
      <w:r w:rsidR="00D14928">
        <w:t xml:space="preserve"> </w:t>
      </w:r>
      <w:r w:rsidR="005C4A9E">
        <w:t xml:space="preserve">will depend, in part, on </w:t>
      </w:r>
      <w:r w:rsidR="00AC7162">
        <w:t xml:space="preserve">how well we bridge the divide </w:t>
      </w:r>
      <w:r w:rsidR="005C4A9E">
        <w:t xml:space="preserve">between the talent </w:t>
      </w:r>
      <w:r w:rsidR="00AC7162">
        <w:t xml:space="preserve">employers need </w:t>
      </w:r>
      <w:r w:rsidR="005C4A9E">
        <w:t xml:space="preserve">and </w:t>
      </w:r>
      <w:r w:rsidR="00EA7193">
        <w:t>job seekers offer</w:t>
      </w:r>
      <w:r w:rsidR="00AC7162">
        <w:t>.</w:t>
      </w:r>
    </w:p>
    <w:p w:rsidR="0096731D" w:rsidRDefault="00F51958" w:rsidP="0096731D">
      <w:pPr>
        <w:pStyle w:val="Heading2"/>
      </w:pPr>
      <w:r>
        <w:t>M</w:t>
      </w:r>
      <w:r w:rsidR="00383C93">
        <w:t xml:space="preserve">anufacturing output </w:t>
      </w:r>
      <w:r>
        <w:t>increased from recession lows</w:t>
      </w:r>
    </w:p>
    <w:p w:rsidR="00141B4D" w:rsidRDefault="00887CBA" w:rsidP="00427263">
      <w:pPr>
        <w:pStyle w:val="BodyText"/>
      </w:pPr>
      <w:r>
        <w:t xml:space="preserve">The manufacturing sector has long benefitted from the application of technical knowledge and skill. Every year, production workers, engineers, and managers find better ways to solve the technical problems of production. </w:t>
      </w:r>
      <w:r w:rsidR="0096731D">
        <w:t>While</w:t>
      </w:r>
      <w:r w:rsidR="00666F1A">
        <w:t xml:space="preserve"> </w:t>
      </w:r>
      <w:r w:rsidR="005F5FD9">
        <w:t xml:space="preserve">the </w:t>
      </w:r>
      <w:r w:rsidR="00C067A9">
        <w:t xml:space="preserve">output (measured by </w:t>
      </w:r>
      <w:r w:rsidR="00666F1A">
        <w:t>g</w:t>
      </w:r>
      <w:r w:rsidR="00031D66">
        <w:t>ross domestic product</w:t>
      </w:r>
      <w:r w:rsidR="00E97F3B">
        <w:t xml:space="preserve"> </w:t>
      </w:r>
      <w:r w:rsidR="00C067A9">
        <w:t xml:space="preserve">or </w:t>
      </w:r>
      <w:r w:rsidR="00E97F3B">
        <w:t>GDP)</w:t>
      </w:r>
      <w:r w:rsidR="00031D66">
        <w:t xml:space="preserve"> of Maine manufacturers </w:t>
      </w:r>
      <w:r w:rsidR="0096731D">
        <w:t>rose and fell with the recessions</w:t>
      </w:r>
      <w:r w:rsidR="00481A67">
        <w:t xml:space="preserve"> of the early and late 2000s</w:t>
      </w:r>
      <w:r w:rsidR="0096731D">
        <w:t xml:space="preserve">, </w:t>
      </w:r>
      <w:r w:rsidR="00C067A9">
        <w:t xml:space="preserve">their output </w:t>
      </w:r>
      <w:r w:rsidR="00AF5362">
        <w:t xml:space="preserve">changed little </w:t>
      </w:r>
      <w:r w:rsidR="00412B85">
        <w:t xml:space="preserve">between </w:t>
      </w:r>
      <w:r w:rsidR="00AF5362">
        <w:t>2000</w:t>
      </w:r>
      <w:r w:rsidR="0096731D">
        <w:t xml:space="preserve"> and 201</w:t>
      </w:r>
      <w:r w:rsidR="00481A67">
        <w:t>1</w:t>
      </w:r>
      <w:r w:rsidR="00031D66">
        <w:t xml:space="preserve">, even </w:t>
      </w:r>
      <w:r>
        <w:t>as the number of jobs declined.</w:t>
      </w:r>
    </w:p>
    <w:p w:rsidR="009C2857" w:rsidRDefault="009C2857" w:rsidP="009C2857">
      <w:pPr>
        <w:pStyle w:val="BodyText"/>
      </w:pPr>
      <w:r>
        <w:t>Between 2000 and 2010, more than half of manufacturing industries recorded declining output as the impact of two recessions and international competition took its toll. The latest detailed data available indicates manufacturing output declined in 10 of 17 industries between 2000 and 2010. The most substantial changes were a share gain of 14 percentage points in computer and electronic products and a share loss of 21 percentage points in paper.</w:t>
      </w:r>
    </w:p>
    <w:p w:rsidR="00291C45" w:rsidRDefault="005E7975" w:rsidP="00E80E76">
      <w:pPr>
        <w:pStyle w:val="BodyText"/>
        <w:jc w:val="center"/>
      </w:pPr>
      <w:r>
        <w:rPr>
          <w:noProof/>
        </w:rPr>
        <w:lastRenderedPageBreak/>
        <w:drawing>
          <wp:inline distT="0" distB="0" distL="0" distR="0">
            <wp:extent cx="5252720" cy="2328545"/>
            <wp:effectExtent l="0" t="0" r="5080" b="0"/>
            <wp:docPr id="12" name="Picture 12" descr="Manufacturing gross domestic product (adjusted for inflation) was little changed while the number of jobs fell 37 percent between 2000 and 2011 in Maine.&#10;&#10;Year   GDP(in millions)   Jobs&#10;2000   5247                   79500&#10;2001   4607                   74600&#10;2002   4515                   68000&#10;2003   4543                   64100&#10;2004   5042                   63000&#10;2005   5095                   61400&#10;2006   5146                   60000&#10;2007   5491                   59400&#10;2008   5278                   58800&#10;2009   4835                   52300&#10;2010   5072                   50800&#10;2011   4186                   5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720" cy="2328545"/>
                    </a:xfrm>
                    <a:prstGeom prst="rect">
                      <a:avLst/>
                    </a:prstGeom>
                    <a:noFill/>
                    <a:ln>
                      <a:noFill/>
                    </a:ln>
                  </pic:spPr>
                </pic:pic>
              </a:graphicData>
            </a:graphic>
          </wp:inline>
        </w:drawing>
      </w:r>
    </w:p>
    <w:p w:rsidR="00FA4843" w:rsidRDefault="005E7975" w:rsidP="004125F8">
      <w:pPr>
        <w:pStyle w:val="BodyText"/>
        <w:jc w:val="center"/>
      </w:pPr>
      <w:r>
        <w:rPr>
          <w:noProof/>
        </w:rPr>
        <w:drawing>
          <wp:inline distT="0" distB="0" distL="0" distR="0">
            <wp:extent cx="3902075" cy="5922645"/>
            <wp:effectExtent l="0" t="0" r="22225" b="20955"/>
            <wp:docPr id="15" name="Object 15" descr="While there was little change in Maine manufacturing GDP between 2000 and 2010, industry shares changed (percent share of manufacturing GDP, sorted by 2010 share).&#10;&#10;Industry                                                  2000  2010&#10;&#10;Computer &amp; electronic products                1.0    15.2&#10;Paper                                                       34.9    14.1&#10;Food &amp; beverage &amp; tobacco products      8.7     12.7&#10;Transportation equipment                       11.8    12.4&#10;Fabricated metal products                         7.7      9.6&#10;Wood products                                          7.4      8.1&#10;Chemicals                                                   2.5      5.8&#10;Petroleum &amp; coal products                         0.6      5.2&#10;Plastics &amp; rubber products                         3.7      4.1&#10;Machinery                                                  4.0      3.9&#10;Miscellaneous                                             1.5      2.9&#10;Apparel &amp; leather and allied products        5.3      2.8&#10;Textile mills &amp; textile mill products              4.9      1.5&#10;Nonmetallic mineral products                      1.7      1.5&#10;Printing &amp; related support activities            2.0     1.4&#10;Furniture &amp; related products                      1.9      1.1&#10;Electrical equipment, appliance, &amp; comp     2.4      0.6  &#10;Primary metals                                             0.7      0.4&#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34D08" w:rsidRDefault="00285CE2" w:rsidP="000548CF">
      <w:pPr>
        <w:pStyle w:val="Heading2"/>
      </w:pPr>
      <w:r>
        <w:lastRenderedPageBreak/>
        <w:t>Long-run trend of declining jobs</w:t>
      </w:r>
    </w:p>
    <w:p w:rsidR="00387473" w:rsidRDefault="00561564" w:rsidP="00387473">
      <w:pPr>
        <w:pStyle w:val="BodyText"/>
      </w:pPr>
      <w:r>
        <w:t>U.S. m</w:t>
      </w:r>
      <w:r w:rsidR="00141B4D">
        <w:t>anufacturing jobs peak</w:t>
      </w:r>
      <w:r w:rsidR="00DE0357">
        <w:t>ed</w:t>
      </w:r>
      <w:r w:rsidR="00141B4D">
        <w:t xml:space="preserve"> in 19</w:t>
      </w:r>
      <w:r w:rsidR="0017234B">
        <w:t>79</w:t>
      </w:r>
      <w:r w:rsidR="00141B4D">
        <w:t xml:space="preserve"> at 1</w:t>
      </w:r>
      <w:r w:rsidR="0017234B">
        <w:t>9.4</w:t>
      </w:r>
      <w:r w:rsidR="00141B4D">
        <w:t xml:space="preserve"> million; by </w:t>
      </w:r>
      <w:r w:rsidR="000A5439">
        <w:t>2010,</w:t>
      </w:r>
      <w:r w:rsidR="00141B4D">
        <w:t xml:space="preserve"> </w:t>
      </w:r>
      <w:r w:rsidR="0056360D">
        <w:t>the number</w:t>
      </w:r>
      <w:r w:rsidR="00BF4312">
        <w:t xml:space="preserve"> dropped to 11.</w:t>
      </w:r>
      <w:r w:rsidR="00387473">
        <w:t>5</w:t>
      </w:r>
      <w:r w:rsidR="00BF4312">
        <w:t xml:space="preserve"> million.</w:t>
      </w:r>
      <w:r w:rsidR="00CE696B">
        <w:t xml:space="preserve"> </w:t>
      </w:r>
      <w:r w:rsidR="00286A46">
        <w:t xml:space="preserve">Manufacturing employment in Maine </w:t>
      </w:r>
      <w:r w:rsidR="0017234B">
        <w:t xml:space="preserve">also </w:t>
      </w:r>
      <w:r w:rsidR="00286A46">
        <w:t>peak</w:t>
      </w:r>
      <w:r w:rsidR="00DE0357">
        <w:t>ed</w:t>
      </w:r>
      <w:r w:rsidR="00286A46">
        <w:t xml:space="preserve"> </w:t>
      </w:r>
      <w:r w:rsidR="00A94C29">
        <w:t>in 1979 at 114,600</w:t>
      </w:r>
      <w:r w:rsidR="00286A46">
        <w:t xml:space="preserve">, </w:t>
      </w:r>
      <w:r w:rsidR="00EA5EC9">
        <w:t xml:space="preserve">dropping 13,000 </w:t>
      </w:r>
      <w:r w:rsidR="00A94C29">
        <w:t xml:space="preserve">in the 1980s, </w:t>
      </w:r>
      <w:r w:rsidR="00EA5EC9">
        <w:t xml:space="preserve">13,500 </w:t>
      </w:r>
      <w:r w:rsidR="00A94C29">
        <w:t xml:space="preserve">in the 1990s, and </w:t>
      </w:r>
      <w:r w:rsidR="00EA5EC9">
        <w:t>2</w:t>
      </w:r>
      <w:r w:rsidR="00387473">
        <w:t>8</w:t>
      </w:r>
      <w:r w:rsidR="00EA5EC9">
        <w:t>,</w:t>
      </w:r>
      <w:r w:rsidR="00387473">
        <w:t>8</w:t>
      </w:r>
      <w:r w:rsidR="00EA5EC9">
        <w:t xml:space="preserve">00 </w:t>
      </w:r>
      <w:r w:rsidR="00A94C29">
        <w:t xml:space="preserve">in the </w:t>
      </w:r>
      <w:r w:rsidR="00EA5EC9">
        <w:t>2000</w:t>
      </w:r>
      <w:r w:rsidR="00A94C29">
        <w:t>s</w:t>
      </w:r>
      <w:r w:rsidR="00EA5EC9">
        <w:t>.</w:t>
      </w:r>
      <w:r w:rsidR="00D82A93" w:rsidRPr="00D82A93">
        <w:t xml:space="preserve"> </w:t>
      </w:r>
      <w:r w:rsidR="00A94C29">
        <w:t xml:space="preserve">Job losses impacted most industries, but were especially heavy in shoe shops and textile mills, industries that </w:t>
      </w:r>
      <w:r w:rsidR="00EA7193">
        <w:t xml:space="preserve">formed </w:t>
      </w:r>
      <w:r w:rsidR="00A94C29">
        <w:t xml:space="preserve">the </w:t>
      </w:r>
      <w:r w:rsidR="00BE6C46">
        <w:t xml:space="preserve">economic </w:t>
      </w:r>
      <w:r w:rsidR="00A94C29">
        <w:t xml:space="preserve">backbone of many of the largest cities in the state, and </w:t>
      </w:r>
      <w:r w:rsidR="00EA7193">
        <w:t xml:space="preserve">in </w:t>
      </w:r>
      <w:r w:rsidR="00A94C29">
        <w:t xml:space="preserve">forest products, which </w:t>
      </w:r>
      <w:r w:rsidR="00EA7193">
        <w:t xml:space="preserve">served as </w:t>
      </w:r>
      <w:r w:rsidR="00A94C29">
        <w:t xml:space="preserve">the backbone of </w:t>
      </w:r>
      <w:r w:rsidR="00BE6C46">
        <w:t>rim regions of the state bordering Quebec and New Brunswick.</w:t>
      </w:r>
    </w:p>
    <w:bookmarkStart w:id="1" w:name="_MON_1401265823"/>
    <w:bookmarkEnd w:id="1"/>
    <w:p w:rsidR="00424D83" w:rsidRDefault="00A2317F" w:rsidP="004125F8">
      <w:pPr>
        <w:pStyle w:val="BodyText"/>
        <w:jc w:val="center"/>
      </w:pPr>
      <w:r>
        <w:object w:dxaOrig="7194" w:dyaOrig="4081">
          <v:shape id="_x0000_i1025" type="#_x0000_t75" alt="Manufacturing jobs have declined substantially in the U.S. and Maine since peaking in the late 1970s (percent change from previous peak).&#10;&#10;Maine  -53 percent&#10;U.S.    -40 percen" style="width:337.4pt;height:190.9pt" o:ole="">
            <v:imagedata r:id="rId12" o:title=""/>
          </v:shape>
          <o:OLEObject Type="Embed" ProgID="Excel.Sheet.8" ShapeID="_x0000_i1025" DrawAspect="Content" ObjectID="_1406964987" r:id="rId13"/>
        </w:object>
      </w:r>
    </w:p>
    <w:p w:rsidR="00AE7BD1" w:rsidRDefault="00220755" w:rsidP="00220755">
      <w:pPr>
        <w:pStyle w:val="BodyText"/>
        <w:sectPr w:rsidR="00AE7BD1" w:rsidSect="00AC16AD">
          <w:headerReference w:type="default" r:id="rId14"/>
          <w:footerReference w:type="default" r:id="rId15"/>
          <w:footerReference w:type="first" r:id="rId16"/>
          <w:type w:val="continuous"/>
          <w:pgSz w:w="12240" w:h="15840" w:code="1"/>
          <w:pgMar w:top="720" w:right="1008" w:bottom="720" w:left="1008" w:header="720" w:footer="720" w:gutter="0"/>
          <w:cols w:space="720"/>
          <w:titlePg/>
          <w:docGrid w:linePitch="360"/>
        </w:sectPr>
      </w:pPr>
      <w:r>
        <w:t>Since 2000, most manufacturing industries lost jobs, with the largest losses in forest products (paper and other wood products), apparel and leather products, computer and electronic products</w:t>
      </w:r>
      <w:r w:rsidR="00173A9E">
        <w:t>, and textiles</w:t>
      </w:r>
      <w:r>
        <w:t>. These declines were due to many factors including continued transfer of production of labor-intensive goods such as shoes</w:t>
      </w:r>
      <w:r w:rsidR="002E5CF5">
        <w:t xml:space="preserve"> and</w:t>
      </w:r>
      <w:r>
        <w:t xml:space="preserve"> apparel to other countries, the increased use of technology, and the impact of two recessions.</w:t>
      </w:r>
    </w:p>
    <w:tbl>
      <w:tblPr>
        <w:tblW w:w="5388" w:type="dxa"/>
        <w:jc w:val="center"/>
        <w:tblLook w:val="04A0" w:firstRow="1" w:lastRow="0" w:firstColumn="1" w:lastColumn="0" w:noHBand="0" w:noVBand="1"/>
      </w:tblPr>
      <w:tblGrid>
        <w:gridCol w:w="3987"/>
        <w:gridCol w:w="1401"/>
      </w:tblGrid>
      <w:tr w:rsidR="00BA1AA8" w:rsidTr="00C03E41">
        <w:trPr>
          <w:trHeight w:val="300"/>
          <w:jc w:val="center"/>
        </w:trPr>
        <w:tc>
          <w:tcPr>
            <w:tcW w:w="5388" w:type="dxa"/>
            <w:gridSpan w:val="2"/>
            <w:tcBorders>
              <w:top w:val="single" w:sz="4" w:space="0" w:color="auto"/>
              <w:left w:val="single" w:sz="4" w:space="0" w:color="auto"/>
              <w:bottom w:val="nil"/>
              <w:right w:val="single" w:sz="4" w:space="0" w:color="000000"/>
            </w:tcBorders>
            <w:shd w:val="clear" w:color="auto" w:fill="auto"/>
            <w:noWrap/>
            <w:vAlign w:val="center"/>
            <w:hideMark/>
          </w:tcPr>
          <w:p w:rsidR="00BA1AA8" w:rsidRDefault="00BA1AA8">
            <w:pPr>
              <w:jc w:val="center"/>
              <w:rPr>
                <w:rFonts w:ascii="Calibri" w:hAnsi="Calibri" w:cs="Calibri"/>
                <w:b/>
                <w:bCs/>
                <w:color w:val="000000"/>
                <w:sz w:val="20"/>
                <w:szCs w:val="20"/>
              </w:rPr>
            </w:pPr>
            <w:r>
              <w:rPr>
                <w:rFonts w:ascii="Calibri" w:hAnsi="Calibri" w:cs="Calibri"/>
                <w:b/>
                <w:bCs/>
                <w:color w:val="000000"/>
                <w:sz w:val="20"/>
                <w:szCs w:val="20"/>
              </w:rPr>
              <w:lastRenderedPageBreak/>
              <w:t>Change in Maine Manufacturing Jobs by Industry, 2000-2011</w:t>
            </w:r>
          </w:p>
        </w:tc>
      </w:tr>
      <w:tr w:rsidR="00BA1AA8" w:rsidTr="00C03E41">
        <w:trPr>
          <w:trHeight w:val="315"/>
          <w:jc w:val="center"/>
        </w:trPr>
        <w:tc>
          <w:tcPr>
            <w:tcW w:w="5388" w:type="dxa"/>
            <w:gridSpan w:val="2"/>
            <w:tcBorders>
              <w:top w:val="nil"/>
              <w:left w:val="single" w:sz="4" w:space="0" w:color="auto"/>
              <w:bottom w:val="single" w:sz="8" w:space="0" w:color="auto"/>
              <w:right w:val="single" w:sz="4" w:space="0" w:color="000000"/>
            </w:tcBorders>
            <w:shd w:val="clear" w:color="auto" w:fill="auto"/>
            <w:noWrap/>
            <w:vAlign w:val="center"/>
            <w:hideMark/>
          </w:tcPr>
          <w:p w:rsidR="00BA1AA8" w:rsidRDefault="00BA1AA8">
            <w:pPr>
              <w:jc w:val="center"/>
              <w:rPr>
                <w:rFonts w:ascii="Calibri" w:hAnsi="Calibri" w:cs="Calibri"/>
                <w:b/>
                <w:bCs/>
                <w:color w:val="000000"/>
                <w:sz w:val="20"/>
                <w:szCs w:val="20"/>
              </w:rPr>
            </w:pPr>
            <w:r>
              <w:rPr>
                <w:rFonts w:ascii="Calibri" w:hAnsi="Calibri" w:cs="Calibri"/>
                <w:b/>
                <w:bCs/>
                <w:color w:val="000000"/>
                <w:sz w:val="20"/>
                <w:szCs w:val="20"/>
              </w:rPr>
              <w:t>(sorted by job change)</w:t>
            </w:r>
          </w:p>
        </w:tc>
      </w:tr>
      <w:tr w:rsidR="00BA1AA8" w:rsidTr="00C03E41">
        <w:trPr>
          <w:trHeight w:val="315"/>
          <w:jc w:val="center"/>
        </w:trPr>
        <w:tc>
          <w:tcPr>
            <w:tcW w:w="3987" w:type="dxa"/>
            <w:tcBorders>
              <w:top w:val="nil"/>
              <w:left w:val="single" w:sz="4" w:space="0" w:color="auto"/>
              <w:bottom w:val="single" w:sz="8" w:space="0" w:color="auto"/>
              <w:right w:val="nil"/>
            </w:tcBorders>
            <w:shd w:val="clear" w:color="auto" w:fill="auto"/>
            <w:noWrap/>
            <w:vAlign w:val="center"/>
            <w:hideMark/>
          </w:tcPr>
          <w:p w:rsidR="00BA1AA8" w:rsidRDefault="00BA1AA8">
            <w:pPr>
              <w:jc w:val="center"/>
              <w:rPr>
                <w:rFonts w:ascii="Calibri" w:hAnsi="Calibri" w:cs="Calibri"/>
                <w:b/>
                <w:bCs/>
                <w:color w:val="000000"/>
                <w:sz w:val="20"/>
                <w:szCs w:val="20"/>
              </w:rPr>
            </w:pPr>
            <w:r>
              <w:rPr>
                <w:rFonts w:ascii="Calibri" w:hAnsi="Calibri" w:cs="Calibri"/>
                <w:b/>
                <w:bCs/>
                <w:color w:val="000000"/>
                <w:sz w:val="20"/>
                <w:szCs w:val="20"/>
              </w:rPr>
              <w:t>Industry</w:t>
            </w:r>
          </w:p>
        </w:tc>
        <w:tc>
          <w:tcPr>
            <w:tcW w:w="1401" w:type="dxa"/>
            <w:tcBorders>
              <w:top w:val="nil"/>
              <w:left w:val="single" w:sz="8" w:space="0" w:color="auto"/>
              <w:bottom w:val="single" w:sz="8" w:space="0" w:color="auto"/>
              <w:right w:val="single" w:sz="4" w:space="0" w:color="auto"/>
            </w:tcBorders>
            <w:shd w:val="clear" w:color="auto" w:fill="auto"/>
            <w:noWrap/>
            <w:vAlign w:val="center"/>
            <w:hideMark/>
          </w:tcPr>
          <w:p w:rsidR="00BA1AA8" w:rsidRDefault="00BA1AA8">
            <w:pPr>
              <w:jc w:val="center"/>
              <w:rPr>
                <w:rFonts w:ascii="Calibri" w:hAnsi="Calibri" w:cs="Calibri"/>
                <w:b/>
                <w:bCs/>
                <w:color w:val="000000"/>
                <w:sz w:val="20"/>
                <w:szCs w:val="20"/>
              </w:rPr>
            </w:pPr>
            <w:r>
              <w:rPr>
                <w:rFonts w:ascii="Calibri" w:hAnsi="Calibri" w:cs="Calibri"/>
                <w:b/>
                <w:bCs/>
                <w:color w:val="000000"/>
                <w:sz w:val="20"/>
                <w:szCs w:val="20"/>
              </w:rPr>
              <w:t>Job Change</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Paper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-5,548</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Apparel and Leather and Allied Products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-4,367</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Computer and Electronic Products</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-4,094</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rsidP="00ED4A1C">
            <w:pPr>
              <w:rPr>
                <w:rFonts w:ascii="Calibri" w:hAnsi="Calibri" w:cs="Calibri"/>
                <w:color w:val="000000"/>
                <w:sz w:val="20"/>
                <w:szCs w:val="20"/>
              </w:rPr>
            </w:pPr>
            <w:r>
              <w:rPr>
                <w:rFonts w:ascii="Calibri" w:hAnsi="Calibri" w:cs="Calibri"/>
                <w:color w:val="000000"/>
                <w:sz w:val="20"/>
                <w:szCs w:val="20"/>
              </w:rPr>
              <w:t>Wood Product</w:t>
            </w:r>
            <w:r w:rsidR="00ED4A1C">
              <w:rPr>
                <w:rFonts w:ascii="Calibri" w:hAnsi="Calibri" w:cs="Calibri"/>
                <w:color w:val="000000"/>
                <w:sz w:val="20"/>
                <w:szCs w:val="20"/>
              </w:rPr>
              <w:t>s</w:t>
            </w:r>
            <w:r>
              <w:rPr>
                <w:rFonts w:ascii="Calibri" w:hAnsi="Calibri" w:cs="Calibri"/>
                <w:color w:val="000000"/>
                <w:sz w:val="20"/>
                <w:szCs w:val="20"/>
              </w:rPr>
              <w:t xml:space="preserve">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-3,738</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ED4A1C" w:rsidP="00AB698B">
            <w:pPr>
              <w:rPr>
                <w:rFonts w:ascii="Calibri" w:hAnsi="Calibri" w:cs="Calibri"/>
                <w:color w:val="000000"/>
                <w:sz w:val="20"/>
                <w:szCs w:val="20"/>
              </w:rPr>
            </w:pPr>
            <w:r>
              <w:rPr>
                <w:rFonts w:ascii="Calibri" w:hAnsi="Calibri" w:cs="Calibri"/>
                <w:color w:val="000000"/>
                <w:sz w:val="20"/>
                <w:szCs w:val="20"/>
              </w:rPr>
              <w:t>Textile Mills and T</w:t>
            </w:r>
            <w:r w:rsidR="00BA1AA8">
              <w:rPr>
                <w:rFonts w:ascii="Calibri" w:hAnsi="Calibri" w:cs="Calibri"/>
                <w:color w:val="000000"/>
                <w:sz w:val="20"/>
                <w:szCs w:val="20"/>
              </w:rPr>
              <w:t xml:space="preserve">extile </w:t>
            </w:r>
            <w:r w:rsidR="00AB698B">
              <w:rPr>
                <w:rFonts w:ascii="Calibri" w:hAnsi="Calibri" w:cs="Calibri"/>
                <w:color w:val="000000"/>
                <w:sz w:val="20"/>
                <w:szCs w:val="20"/>
              </w:rPr>
              <w:t xml:space="preserve">Product </w:t>
            </w:r>
            <w:r w:rsidR="00BA1AA8">
              <w:rPr>
                <w:rFonts w:ascii="Calibri" w:hAnsi="Calibri" w:cs="Calibri"/>
                <w:color w:val="000000"/>
                <w:sz w:val="20"/>
                <w:szCs w:val="20"/>
              </w:rPr>
              <w:t>Mill</w:t>
            </w:r>
            <w:r w:rsidR="00AB698B">
              <w:rPr>
                <w:rFonts w:ascii="Calibri" w:hAnsi="Calibri" w:cs="Calibri"/>
                <w:color w:val="000000"/>
                <w:sz w:val="20"/>
                <w:szCs w:val="20"/>
              </w:rPr>
              <w:t>s</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-2,480</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Transportation Equipment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-1,581</w:t>
            </w:r>
          </w:p>
        </w:tc>
      </w:tr>
      <w:tr w:rsidR="00BA1AA8" w:rsidTr="00C03E41">
        <w:trPr>
          <w:trHeight w:val="300"/>
          <w:jc w:val="center"/>
        </w:trPr>
        <w:tc>
          <w:tcPr>
            <w:tcW w:w="3987" w:type="dxa"/>
            <w:tcBorders>
              <w:top w:val="nil"/>
              <w:left w:val="single" w:sz="4" w:space="0" w:color="auto"/>
              <w:bottom w:val="nil"/>
              <w:right w:val="single" w:sz="8" w:space="0" w:color="auto"/>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Printing and Related Support Activities</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-1,388</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Electrical Equipment and Appliances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-1,055</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Furniture and Related Products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-1,034</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Food, Beverage, and Tobacco Products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-865</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Plastics and Rubber Products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-830</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Machinery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-768</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Nonmetallic Mineral Products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-611</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Fabricated Metal Products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-309</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Primary Metal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-145</w:t>
            </w:r>
          </w:p>
        </w:tc>
      </w:tr>
      <w:tr w:rsidR="00BA1AA8" w:rsidTr="00C03E41">
        <w:trPr>
          <w:trHeight w:val="300"/>
          <w:jc w:val="center"/>
        </w:trPr>
        <w:tc>
          <w:tcPr>
            <w:tcW w:w="3987" w:type="dxa"/>
            <w:tcBorders>
              <w:top w:val="nil"/>
              <w:left w:val="single" w:sz="4" w:space="0" w:color="auto"/>
              <w:bottom w:val="nil"/>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Miscellaneous </w:t>
            </w:r>
          </w:p>
        </w:tc>
        <w:tc>
          <w:tcPr>
            <w:tcW w:w="1401" w:type="dxa"/>
            <w:tcBorders>
              <w:top w:val="nil"/>
              <w:left w:val="nil"/>
              <w:bottom w:val="nil"/>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-59</w:t>
            </w:r>
          </w:p>
        </w:tc>
      </w:tr>
      <w:tr w:rsidR="00BA1AA8" w:rsidTr="00C03E41">
        <w:trPr>
          <w:trHeight w:val="300"/>
          <w:jc w:val="center"/>
        </w:trPr>
        <w:tc>
          <w:tcPr>
            <w:tcW w:w="3987" w:type="dxa"/>
            <w:tcBorders>
              <w:top w:val="nil"/>
              <w:left w:val="single" w:sz="4" w:space="0" w:color="auto"/>
              <w:bottom w:val="single" w:sz="4" w:space="0" w:color="auto"/>
              <w:right w:val="single" w:sz="8" w:space="0" w:color="000000"/>
            </w:tcBorders>
            <w:shd w:val="clear" w:color="auto" w:fill="auto"/>
            <w:noWrap/>
            <w:vAlign w:val="center"/>
            <w:hideMark/>
          </w:tcPr>
          <w:p w:rsidR="00BA1AA8" w:rsidRDefault="00BA1AA8">
            <w:pPr>
              <w:rPr>
                <w:rFonts w:ascii="Calibri" w:hAnsi="Calibri" w:cs="Calibri"/>
                <w:color w:val="000000"/>
                <w:sz w:val="20"/>
                <w:szCs w:val="20"/>
              </w:rPr>
            </w:pPr>
            <w:r>
              <w:rPr>
                <w:rFonts w:ascii="Calibri" w:hAnsi="Calibri" w:cs="Calibri"/>
                <w:color w:val="000000"/>
                <w:sz w:val="20"/>
                <w:szCs w:val="20"/>
              </w:rPr>
              <w:t xml:space="preserve">Chemical </w:t>
            </w:r>
          </w:p>
        </w:tc>
        <w:tc>
          <w:tcPr>
            <w:tcW w:w="1401" w:type="dxa"/>
            <w:tcBorders>
              <w:top w:val="nil"/>
              <w:left w:val="nil"/>
              <w:bottom w:val="single" w:sz="4" w:space="0" w:color="auto"/>
              <w:right w:val="single" w:sz="4" w:space="0" w:color="auto"/>
            </w:tcBorders>
            <w:shd w:val="clear" w:color="auto" w:fill="auto"/>
            <w:noWrap/>
            <w:tcMar>
              <w:left w:w="0" w:type="dxa"/>
              <w:right w:w="374" w:type="dxa"/>
            </w:tcMar>
            <w:vAlign w:val="center"/>
            <w:hideMark/>
          </w:tcPr>
          <w:p w:rsidR="00BA1AA8" w:rsidRDefault="00BA1AA8">
            <w:pPr>
              <w:jc w:val="right"/>
              <w:rPr>
                <w:rFonts w:ascii="Calibri" w:hAnsi="Calibri" w:cs="Calibri"/>
                <w:color w:val="000000"/>
                <w:sz w:val="20"/>
                <w:szCs w:val="20"/>
              </w:rPr>
            </w:pPr>
            <w:r>
              <w:rPr>
                <w:rFonts w:ascii="Calibri" w:hAnsi="Calibri" w:cs="Calibri"/>
                <w:color w:val="000000"/>
                <w:sz w:val="20"/>
                <w:szCs w:val="20"/>
              </w:rPr>
              <w:t>284</w:t>
            </w:r>
          </w:p>
        </w:tc>
      </w:tr>
    </w:tbl>
    <w:p w:rsidR="008B5CD9" w:rsidRDefault="00607C48" w:rsidP="008B5CD9">
      <w:pPr>
        <w:pStyle w:val="BodyText"/>
      </w:pPr>
      <w:r>
        <w:t xml:space="preserve">The net decline in manufacturing jobs masks the substantial churning of jobs between 2001 and 2011. </w:t>
      </w:r>
      <w:r w:rsidR="008B5CD9">
        <w:t xml:space="preserve">Through the </w:t>
      </w:r>
      <w:r w:rsidR="00BE6C46">
        <w:t>recent r</w:t>
      </w:r>
      <w:r w:rsidR="008B5CD9">
        <w:t>ecession</w:t>
      </w:r>
      <w:r w:rsidR="00EA7193">
        <w:t>,</w:t>
      </w:r>
      <w:r w:rsidR="008B5CD9">
        <w:t xml:space="preserve"> quarterly gross job losses </w:t>
      </w:r>
      <w:r w:rsidR="00230FD7">
        <w:t>averaged</w:t>
      </w:r>
      <w:r w:rsidR="008B5CD9">
        <w:t xml:space="preserve"> 3,428</w:t>
      </w:r>
      <w:r w:rsidR="00230FD7">
        <w:t xml:space="preserve"> and</w:t>
      </w:r>
      <w:r w:rsidR="008B5CD9">
        <w:t xml:space="preserve"> quarterly gross job gains </w:t>
      </w:r>
      <w:r w:rsidR="00230FD7">
        <w:t>averaged</w:t>
      </w:r>
      <w:r w:rsidR="008B5CD9">
        <w:t xml:space="preserve"> 2,277. Since the</w:t>
      </w:r>
      <w:r w:rsidR="00BE6C46">
        <w:t>n</w:t>
      </w:r>
      <w:r w:rsidR="008B5CD9">
        <w:t>, quarterly gains and losses have averaged 2,200 and 2,507, respectively. Gross job gains are the sum of increases in employment from expansions at existing businesses and the addition of new jobs at opening businesses; gross job losses are the result of contractions at existing businesses and closing businesses.</w:t>
      </w:r>
    </w:p>
    <w:p w:rsidR="00AE7BD1" w:rsidRDefault="00AE7BD1" w:rsidP="008B5CD9">
      <w:pPr>
        <w:pStyle w:val="BodyText"/>
        <w:jc w:val="center"/>
        <w:sectPr w:rsidR="00AE7BD1" w:rsidSect="00AE7BD1">
          <w:pgSz w:w="12240" w:h="15840" w:code="1"/>
          <w:pgMar w:top="720" w:right="1008" w:bottom="720" w:left="1008" w:header="720" w:footer="720" w:gutter="0"/>
          <w:cols w:space="720"/>
          <w:titlePg/>
          <w:docGrid w:linePitch="360"/>
        </w:sectPr>
      </w:pPr>
      <w:bookmarkStart w:id="2" w:name="_MON_1397380080"/>
      <w:bookmarkEnd w:id="2"/>
    </w:p>
    <w:p w:rsidR="008B5CD9" w:rsidRDefault="00AD7FCD" w:rsidP="008B5CD9">
      <w:pPr>
        <w:pStyle w:val="BodyText"/>
        <w:jc w:val="center"/>
      </w:pPr>
      <w:r>
        <w:object w:dxaOrig="7194" w:dyaOrig="4081">
          <v:shape id="_x0000_i1026" type="#_x0000_t75" alt="See companion excel file - http://www.maine.gov/labor/cwri/publications/Excel/Manufacturing_a_sector_in_transition_charts.xlsx - Table one." style="width:412.75pt;height:233.6pt" o:ole="">
            <v:imagedata r:id="rId17" o:title=""/>
          </v:shape>
          <o:OLEObject Type="Embed" ProgID="Excel.Sheet.8" ShapeID="_x0000_i1026" DrawAspect="Content" ObjectID="_1406964988" r:id="rId18"/>
        </w:object>
      </w:r>
    </w:p>
    <w:p w:rsidR="008B5CD9" w:rsidRDefault="00A80CD1" w:rsidP="008B5CD9">
      <w:pPr>
        <w:pStyle w:val="BodyText"/>
      </w:pPr>
      <w:r>
        <w:t>J</w:t>
      </w:r>
      <w:r w:rsidR="008B5CD9">
        <w:t xml:space="preserve">ob gains and losses from expanding and contracting establishments are much larger than from </w:t>
      </w:r>
      <w:r>
        <w:t xml:space="preserve">businesses </w:t>
      </w:r>
      <w:r w:rsidR="008B5CD9">
        <w:t>opening and closing. From 2001 through the second quarter of 2011, on average</w:t>
      </w:r>
      <w:r w:rsidR="00EA7193">
        <w:t>,</w:t>
      </w:r>
      <w:r w:rsidR="008B5CD9">
        <w:t xml:space="preserve"> 86 percent of quarterly job gains were from expansions and 85 percent of quarterly job losses were from contracting establishments.</w:t>
      </w:r>
    </w:p>
    <w:p w:rsidR="008B5CD9" w:rsidRDefault="00BE6C46" w:rsidP="008B5CD9">
      <w:pPr>
        <w:pStyle w:val="BodyText"/>
      </w:pPr>
      <w:r>
        <w:t>J</w:t>
      </w:r>
      <w:r w:rsidR="008B5CD9">
        <w:t>ob gains and losses have definite business cycle properties. During recessions, simultaneous sharp rises in jobs lost and drops in jobs gained occur. Most of the dynamics associated with gross job gains and losses were concentrated in the expanding and contracting establishments, as opposed to opening and closing establishments.</w:t>
      </w:r>
    </w:p>
    <w:p w:rsidR="008B5CD9" w:rsidRDefault="00AD7FCD" w:rsidP="008B5CD9">
      <w:pPr>
        <w:pStyle w:val="BodyText"/>
        <w:jc w:val="center"/>
      </w:pPr>
      <w:r>
        <w:object w:dxaOrig="7222" w:dyaOrig="4110">
          <v:shape id="_x0000_i1027" type="#_x0000_t75" alt="See companion excel file - http://www.maine.gov/labor/cwri/publications/Excel/Manufacturing_a_sector_in_transition_charts.xlsx - Table two." style="width:410.25pt;height:234.4pt" o:ole="">
            <v:imagedata r:id="rId19" o:title=""/>
          </v:shape>
          <o:OLEObject Type="Embed" ProgID="Excel.Sheet.8" ShapeID="_x0000_i1027" DrawAspect="Content" ObjectID="_1406964989" r:id="rId20"/>
        </w:object>
      </w:r>
    </w:p>
    <w:p w:rsidR="00813815" w:rsidRDefault="00813815">
      <w:pPr>
        <w:rPr>
          <w:rFonts w:ascii="Arial" w:hAnsi="Arial" w:cs="Arial"/>
          <w:b/>
          <w:bCs/>
          <w:iCs/>
          <w:noProof/>
        </w:rPr>
      </w:pPr>
      <w:r>
        <w:br w:type="page"/>
      </w:r>
    </w:p>
    <w:p w:rsidR="00051734" w:rsidRDefault="00285CE2" w:rsidP="000548CF">
      <w:pPr>
        <w:pStyle w:val="Heading2"/>
      </w:pPr>
      <w:r>
        <w:lastRenderedPageBreak/>
        <w:t>Rising worker productivity</w:t>
      </w:r>
    </w:p>
    <w:p w:rsidR="00051734" w:rsidRPr="008856A6" w:rsidRDefault="00BE6C46" w:rsidP="00051734">
      <w:pPr>
        <w:pStyle w:val="BodyText"/>
      </w:pPr>
      <w:r>
        <w:t>Manufacturing output</w:t>
      </w:r>
      <w:r w:rsidR="00051734" w:rsidRPr="008856A6">
        <w:t xml:space="preserve"> per worker rose 56 percent between 2000 and 2011</w:t>
      </w:r>
      <w:r w:rsidR="00EA7193">
        <w:t>,</w:t>
      </w:r>
      <w:r w:rsidR="00051734" w:rsidRPr="008856A6">
        <w:t xml:space="preserve"> with </w:t>
      </w:r>
      <w:r w:rsidR="00A16872">
        <w:t>the sector</w:t>
      </w:r>
      <w:r w:rsidR="00051734" w:rsidRPr="008856A6">
        <w:t xml:space="preserve"> </w:t>
      </w:r>
      <w:r w:rsidR="003C6DD8">
        <w:t xml:space="preserve">maintaining a level of </w:t>
      </w:r>
      <w:r w:rsidR="00051734" w:rsidRPr="008856A6">
        <w:t>produc</w:t>
      </w:r>
      <w:r w:rsidR="003C6DD8">
        <w:t>tion</w:t>
      </w:r>
      <w:r w:rsidR="003F5CED">
        <w:t xml:space="preserve"> (measured in dollars)</w:t>
      </w:r>
      <w:r w:rsidR="00051734" w:rsidRPr="008856A6">
        <w:t xml:space="preserve"> with fewer workers.</w:t>
      </w:r>
    </w:p>
    <w:p w:rsidR="00051734" w:rsidRDefault="00AD7FCD" w:rsidP="00051734">
      <w:pPr>
        <w:pStyle w:val="BodyText"/>
        <w:jc w:val="center"/>
      </w:pPr>
      <w:r>
        <w:object w:dxaOrig="6788" w:dyaOrig="3361">
          <v:shape id="_x0000_i1028" type="#_x0000_t75" alt="See companion excel file - http://www.maine.gov/labor/cwri/publications/Excel/Manufacturing_a_sector_in_transition_charts.xlsx - Table three." style="width:339.05pt;height:168.3pt" o:ole="">
            <v:imagedata r:id="rId21" o:title=""/>
          </v:shape>
          <o:OLEObject Type="Embed" ProgID="Excel.Sheet.8" ShapeID="_x0000_i1028" DrawAspect="Content" ObjectID="_1406964990" r:id="rId22"/>
        </w:object>
      </w:r>
    </w:p>
    <w:p w:rsidR="00051734" w:rsidRDefault="00051734" w:rsidP="00051734">
      <w:pPr>
        <w:pStyle w:val="BodyText"/>
      </w:pPr>
      <w:r>
        <w:t xml:space="preserve">Despite job losses in </w:t>
      </w:r>
      <w:r w:rsidR="00BE6C46">
        <w:t>16 manufacturing industries, output</w:t>
      </w:r>
      <w:r>
        <w:t xml:space="preserve"> per worker increased in 14 of 17 industries</w:t>
      </w:r>
      <w:r w:rsidR="00A12562">
        <w:t xml:space="preserve"> between 2000 and 2010</w:t>
      </w:r>
      <w:r>
        <w:t>. These gains</w:t>
      </w:r>
      <w:r w:rsidR="00593EE0">
        <w:t>, in part,</w:t>
      </w:r>
      <w:r>
        <w:t xml:space="preserve"> </w:t>
      </w:r>
      <w:r w:rsidR="00A16872">
        <w:t>refl</w:t>
      </w:r>
      <w:r>
        <w:t>ect rising productivity due to the increased use of technology and rising skill levels of the workers.</w:t>
      </w:r>
    </w:p>
    <w:tbl>
      <w:tblPr>
        <w:tblW w:w="7935" w:type="dxa"/>
        <w:jc w:val="center"/>
        <w:tblCellMar>
          <w:left w:w="115" w:type="dxa"/>
          <w:right w:w="288" w:type="dxa"/>
        </w:tblCellMar>
        <w:tblLook w:val="04A0" w:firstRow="1" w:lastRow="0" w:firstColumn="1" w:lastColumn="0" w:noHBand="0" w:noVBand="1"/>
      </w:tblPr>
      <w:tblGrid>
        <w:gridCol w:w="3885"/>
        <w:gridCol w:w="1133"/>
        <w:gridCol w:w="1090"/>
        <w:gridCol w:w="1827"/>
      </w:tblGrid>
      <w:tr w:rsidR="00051734" w:rsidRPr="00867F58" w:rsidTr="00587578">
        <w:trPr>
          <w:trHeight w:val="255"/>
          <w:jc w:val="center"/>
        </w:trPr>
        <w:tc>
          <w:tcPr>
            <w:tcW w:w="793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734" w:rsidRDefault="00051734" w:rsidP="00051734">
            <w:pPr>
              <w:jc w:val="center"/>
              <w:rPr>
                <w:rFonts w:ascii="Calibri" w:hAnsi="Calibri" w:cs="Arial"/>
                <w:b/>
                <w:bCs/>
                <w:sz w:val="20"/>
                <w:szCs w:val="20"/>
              </w:rPr>
            </w:pPr>
            <w:r w:rsidRPr="00867F58">
              <w:rPr>
                <w:rFonts w:ascii="Calibri" w:hAnsi="Calibri" w:cs="Arial"/>
                <w:b/>
                <w:bCs/>
                <w:sz w:val="20"/>
                <w:szCs w:val="20"/>
              </w:rPr>
              <w:t>Change in Maine Jobs, GDP, and GDP per Worker, 2000-2010</w:t>
            </w:r>
          </w:p>
          <w:p w:rsidR="00587578" w:rsidRPr="00867F58" w:rsidRDefault="00587578" w:rsidP="00051734">
            <w:pPr>
              <w:jc w:val="center"/>
              <w:rPr>
                <w:rFonts w:ascii="Calibri" w:hAnsi="Calibri" w:cs="Arial"/>
                <w:b/>
                <w:bCs/>
                <w:sz w:val="20"/>
                <w:szCs w:val="20"/>
              </w:rPr>
            </w:pPr>
            <w:r w:rsidRPr="00867F58">
              <w:rPr>
                <w:rFonts w:ascii="Calibri" w:hAnsi="Calibri" w:cs="Arial"/>
                <w:b/>
                <w:bCs/>
                <w:sz w:val="16"/>
                <w:szCs w:val="16"/>
              </w:rPr>
              <w:t>(GDP adjusted for inflation in millions of dollars, sorted by GDP)</w:t>
            </w:r>
          </w:p>
        </w:tc>
      </w:tr>
      <w:tr w:rsidR="00587578" w:rsidRPr="00867F58" w:rsidTr="00587578">
        <w:trPr>
          <w:trHeight w:val="753"/>
          <w:jc w:val="center"/>
        </w:trPr>
        <w:tc>
          <w:tcPr>
            <w:tcW w:w="3885" w:type="dxa"/>
            <w:tcBorders>
              <w:top w:val="single" w:sz="4" w:space="0" w:color="auto"/>
              <w:left w:val="single" w:sz="4" w:space="0" w:color="auto"/>
              <w:bottom w:val="single" w:sz="4" w:space="0" w:color="000000"/>
              <w:right w:val="nil"/>
            </w:tcBorders>
            <w:shd w:val="clear" w:color="auto" w:fill="auto"/>
            <w:noWrap/>
            <w:vAlign w:val="center"/>
            <w:hideMark/>
          </w:tcPr>
          <w:p w:rsidR="00587578" w:rsidRPr="00867F58" w:rsidRDefault="00587578" w:rsidP="00051734">
            <w:pPr>
              <w:jc w:val="center"/>
              <w:rPr>
                <w:rFonts w:ascii="Calibri" w:hAnsi="Calibri" w:cs="Arial"/>
                <w:b/>
                <w:bCs/>
                <w:sz w:val="20"/>
                <w:szCs w:val="20"/>
              </w:rPr>
            </w:pPr>
            <w:r w:rsidRPr="00D608F7">
              <w:rPr>
                <w:rFonts w:ascii="Calibri" w:hAnsi="Calibri" w:cs="Arial"/>
                <w:b/>
                <w:bCs/>
                <w:sz w:val="20"/>
                <w:szCs w:val="20"/>
              </w:rPr>
              <w:t xml:space="preserve">Manufacturing </w:t>
            </w:r>
            <w:r w:rsidRPr="00867F58">
              <w:rPr>
                <w:rFonts w:ascii="Calibri" w:hAnsi="Calibri" w:cs="Arial"/>
                <w:b/>
                <w:bCs/>
                <w:sz w:val="20"/>
                <w:szCs w:val="20"/>
              </w:rPr>
              <w:t>Industry</w:t>
            </w:r>
          </w:p>
        </w:tc>
        <w:tc>
          <w:tcPr>
            <w:tcW w:w="1133"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87578" w:rsidRPr="00867F58" w:rsidRDefault="00587578" w:rsidP="0067030F">
            <w:pPr>
              <w:jc w:val="center"/>
              <w:rPr>
                <w:rFonts w:ascii="Calibri" w:hAnsi="Calibri" w:cs="Arial"/>
                <w:b/>
                <w:bCs/>
                <w:sz w:val="20"/>
                <w:szCs w:val="20"/>
              </w:rPr>
            </w:pPr>
            <w:r w:rsidRPr="00867F58">
              <w:rPr>
                <w:rFonts w:ascii="Calibri" w:hAnsi="Calibri" w:cs="Arial"/>
                <w:b/>
                <w:bCs/>
                <w:sz w:val="20"/>
                <w:szCs w:val="20"/>
              </w:rPr>
              <w:t>Jobs</w:t>
            </w:r>
          </w:p>
        </w:tc>
        <w:tc>
          <w:tcPr>
            <w:tcW w:w="109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87578" w:rsidRPr="00867F58" w:rsidRDefault="00587578" w:rsidP="0067030F">
            <w:pPr>
              <w:jc w:val="center"/>
              <w:rPr>
                <w:rFonts w:ascii="Calibri" w:hAnsi="Calibri" w:cs="Arial"/>
                <w:b/>
                <w:bCs/>
                <w:sz w:val="20"/>
                <w:szCs w:val="20"/>
              </w:rPr>
            </w:pPr>
            <w:r w:rsidRPr="00867F58">
              <w:rPr>
                <w:rFonts w:ascii="Calibri" w:hAnsi="Calibri" w:cs="Arial"/>
                <w:b/>
                <w:bCs/>
                <w:sz w:val="20"/>
                <w:szCs w:val="20"/>
              </w:rPr>
              <w:t>GDP</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rsidR="00587578" w:rsidRDefault="00587578" w:rsidP="0067030F">
            <w:pPr>
              <w:jc w:val="center"/>
              <w:rPr>
                <w:rFonts w:ascii="Calibri" w:hAnsi="Calibri" w:cs="Arial"/>
                <w:b/>
                <w:bCs/>
                <w:sz w:val="20"/>
                <w:szCs w:val="20"/>
              </w:rPr>
            </w:pPr>
            <w:r w:rsidRPr="00867F58">
              <w:rPr>
                <w:rFonts w:ascii="Calibri" w:hAnsi="Calibri" w:cs="Arial"/>
                <w:b/>
                <w:bCs/>
                <w:sz w:val="20"/>
                <w:szCs w:val="20"/>
              </w:rPr>
              <w:t>GDP per Worker</w:t>
            </w:r>
          </w:p>
          <w:p w:rsidR="00587578" w:rsidRPr="00867F58" w:rsidRDefault="00587578" w:rsidP="0067030F">
            <w:pPr>
              <w:jc w:val="center"/>
              <w:rPr>
                <w:rFonts w:ascii="Calibri" w:hAnsi="Calibri" w:cs="Arial"/>
                <w:b/>
                <w:bCs/>
                <w:sz w:val="20"/>
                <w:szCs w:val="20"/>
              </w:rPr>
            </w:pPr>
            <w:r w:rsidRPr="00867F58">
              <w:rPr>
                <w:rFonts w:ascii="Calibri" w:hAnsi="Calibri" w:cs="Arial"/>
                <w:b/>
                <w:bCs/>
                <w:sz w:val="20"/>
                <w:szCs w:val="20"/>
              </w:rPr>
              <w:t>(in dollars)</w:t>
            </w:r>
          </w:p>
        </w:tc>
      </w:tr>
      <w:tr w:rsidR="00051734" w:rsidRPr="00867F58" w:rsidTr="0067030F">
        <w:trPr>
          <w:trHeight w:val="255"/>
          <w:jc w:val="center"/>
        </w:trPr>
        <w:tc>
          <w:tcPr>
            <w:tcW w:w="3885" w:type="dxa"/>
            <w:tcBorders>
              <w:top w:val="single" w:sz="4" w:space="0" w:color="auto"/>
              <w:left w:val="single" w:sz="4" w:space="0" w:color="auto"/>
              <w:bottom w:val="nil"/>
              <w:right w:val="nil"/>
            </w:tcBorders>
            <w:shd w:val="clear" w:color="auto" w:fill="auto"/>
            <w:noWrap/>
            <w:hideMark/>
          </w:tcPr>
          <w:p w:rsidR="00051734" w:rsidRPr="00867F58" w:rsidRDefault="00051734" w:rsidP="00051734">
            <w:pPr>
              <w:rPr>
                <w:rFonts w:ascii="Calibri" w:hAnsi="Calibri" w:cs="Arial"/>
                <w:sz w:val="20"/>
                <w:szCs w:val="20"/>
              </w:rPr>
            </w:pPr>
            <w:r w:rsidRPr="00867F58">
              <w:rPr>
                <w:rFonts w:ascii="Calibri" w:hAnsi="Calibri" w:cs="Arial"/>
                <w:sz w:val="20"/>
                <w:szCs w:val="20"/>
              </w:rPr>
              <w:t>Computer and Electronic Products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-4,000</w:t>
            </w:r>
          </w:p>
        </w:tc>
        <w:tc>
          <w:tcPr>
            <w:tcW w:w="1090" w:type="dxa"/>
            <w:tcBorders>
              <w:top w:val="nil"/>
              <w:left w:val="nil"/>
              <w:bottom w:val="nil"/>
              <w:right w:val="single" w:sz="4" w:space="0" w:color="auto"/>
            </w:tcBorders>
            <w:shd w:val="clear" w:color="auto" w:fill="auto"/>
            <w:noWrap/>
            <w:tcMar>
              <w:right w:w="360"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599</w:t>
            </w:r>
          </w:p>
        </w:tc>
        <w:tc>
          <w:tcPr>
            <w:tcW w:w="1827" w:type="dxa"/>
            <w:tcBorders>
              <w:top w:val="nil"/>
              <w:left w:val="nil"/>
              <w:bottom w:val="nil"/>
              <w:right w:val="single" w:sz="4" w:space="0" w:color="auto"/>
            </w:tcBorders>
            <w:shd w:val="clear" w:color="auto" w:fill="auto"/>
            <w:noWrap/>
            <w:tcMar>
              <w:right w:w="648" w:type="dxa"/>
            </w:tcMar>
            <w:vAlign w:val="center"/>
            <w:hideMark/>
          </w:tcPr>
          <w:p w:rsidR="00051734" w:rsidRPr="00867F58" w:rsidRDefault="00051734" w:rsidP="00927F4B">
            <w:pPr>
              <w:ind w:firstLineChars="200" w:firstLine="400"/>
              <w:jc w:val="right"/>
              <w:rPr>
                <w:rFonts w:ascii="Calibri" w:hAnsi="Calibri" w:cs="Arial"/>
                <w:sz w:val="20"/>
                <w:szCs w:val="20"/>
              </w:rPr>
            </w:pPr>
            <w:r w:rsidRPr="00867F58">
              <w:rPr>
                <w:rFonts w:ascii="Calibri" w:hAnsi="Calibri" w:cs="Arial"/>
                <w:sz w:val="20"/>
                <w:szCs w:val="20"/>
              </w:rPr>
              <w:t>258,447</w:t>
            </w:r>
          </w:p>
        </w:tc>
      </w:tr>
      <w:tr w:rsidR="00051734"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051734" w:rsidRPr="00867F58" w:rsidRDefault="00051734" w:rsidP="00051734">
            <w:pPr>
              <w:rPr>
                <w:rFonts w:ascii="Calibri" w:hAnsi="Calibri" w:cs="Arial"/>
                <w:sz w:val="20"/>
                <w:szCs w:val="20"/>
              </w:rPr>
            </w:pPr>
            <w:r w:rsidRPr="00867F58">
              <w:rPr>
                <w:rFonts w:ascii="Calibri" w:hAnsi="Calibri" w:cs="Arial"/>
                <w:sz w:val="20"/>
                <w:szCs w:val="20"/>
              </w:rPr>
              <w:t>Food, Beverage, and Tobacco Products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-1,045</w:t>
            </w:r>
          </w:p>
        </w:tc>
        <w:tc>
          <w:tcPr>
            <w:tcW w:w="1090" w:type="dxa"/>
            <w:tcBorders>
              <w:top w:val="nil"/>
              <w:left w:val="nil"/>
              <w:bottom w:val="nil"/>
              <w:right w:val="single" w:sz="4" w:space="0" w:color="auto"/>
            </w:tcBorders>
            <w:shd w:val="clear" w:color="auto" w:fill="auto"/>
            <w:noWrap/>
            <w:tcMar>
              <w:right w:w="360"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224</w:t>
            </w:r>
          </w:p>
        </w:tc>
        <w:tc>
          <w:tcPr>
            <w:tcW w:w="1827" w:type="dxa"/>
            <w:tcBorders>
              <w:top w:val="nil"/>
              <w:left w:val="nil"/>
              <w:bottom w:val="nil"/>
              <w:right w:val="single" w:sz="4" w:space="0" w:color="auto"/>
            </w:tcBorders>
            <w:shd w:val="clear" w:color="auto" w:fill="auto"/>
            <w:noWrap/>
            <w:tcMar>
              <w:right w:w="648" w:type="dxa"/>
            </w:tcMar>
            <w:vAlign w:val="center"/>
            <w:hideMark/>
          </w:tcPr>
          <w:p w:rsidR="00051734" w:rsidRPr="00867F58" w:rsidRDefault="00051734" w:rsidP="00927F4B">
            <w:pPr>
              <w:ind w:firstLineChars="200" w:firstLine="400"/>
              <w:jc w:val="right"/>
              <w:rPr>
                <w:rFonts w:ascii="Calibri" w:hAnsi="Calibri" w:cs="Arial"/>
                <w:sz w:val="20"/>
                <w:szCs w:val="20"/>
              </w:rPr>
            </w:pPr>
            <w:r w:rsidRPr="00867F58">
              <w:rPr>
                <w:rFonts w:ascii="Calibri" w:hAnsi="Calibri" w:cs="Arial"/>
                <w:sz w:val="20"/>
                <w:szCs w:val="20"/>
              </w:rPr>
              <w:t>42,411</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927F4B" w:rsidRPr="00867F58" w:rsidRDefault="00927F4B" w:rsidP="00051734">
            <w:pPr>
              <w:rPr>
                <w:rFonts w:ascii="Calibri" w:hAnsi="Calibri" w:cs="Arial"/>
                <w:sz w:val="20"/>
                <w:szCs w:val="20"/>
              </w:rPr>
            </w:pPr>
            <w:r w:rsidRPr="00867F58">
              <w:rPr>
                <w:rFonts w:ascii="Calibri" w:hAnsi="Calibri" w:cs="Arial"/>
                <w:sz w:val="20"/>
                <w:szCs w:val="20"/>
              </w:rPr>
              <w:t xml:space="preserve">Chemical </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335</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175</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75,805</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927F4B" w:rsidRPr="00867F58" w:rsidRDefault="00927F4B" w:rsidP="00051734">
            <w:pPr>
              <w:rPr>
                <w:rFonts w:ascii="Calibri" w:hAnsi="Calibri" w:cs="Arial"/>
                <w:sz w:val="20"/>
                <w:szCs w:val="20"/>
              </w:rPr>
            </w:pPr>
            <w:r w:rsidRPr="00867F58">
              <w:rPr>
                <w:rFonts w:ascii="Calibri" w:hAnsi="Calibri" w:cs="Arial"/>
                <w:sz w:val="20"/>
                <w:szCs w:val="20"/>
              </w:rPr>
              <w:t>Fabricated Metal Products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-354</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96</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24,532</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927F4B" w:rsidRPr="00867F58" w:rsidRDefault="00927F4B" w:rsidP="00051734">
            <w:pPr>
              <w:rPr>
                <w:rFonts w:ascii="Calibri" w:hAnsi="Calibri" w:cs="Arial"/>
                <w:sz w:val="20"/>
                <w:szCs w:val="20"/>
              </w:rPr>
            </w:pPr>
            <w:r w:rsidRPr="00867F58">
              <w:rPr>
                <w:rFonts w:ascii="Calibri" w:hAnsi="Calibri" w:cs="Arial"/>
                <w:sz w:val="20"/>
                <w:szCs w:val="20"/>
              </w:rPr>
              <w:t xml:space="preserve">Miscellaneous </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-187</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77</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46,136</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927F4B" w:rsidRPr="00867F58" w:rsidRDefault="00927F4B" w:rsidP="00051734">
            <w:pPr>
              <w:rPr>
                <w:rFonts w:ascii="Calibri" w:hAnsi="Calibri" w:cs="Arial"/>
                <w:sz w:val="20"/>
                <w:szCs w:val="20"/>
              </w:rPr>
            </w:pPr>
            <w:r w:rsidRPr="00867F58">
              <w:rPr>
                <w:rFonts w:ascii="Calibri" w:hAnsi="Calibri" w:cs="Arial"/>
                <w:sz w:val="20"/>
                <w:szCs w:val="20"/>
              </w:rPr>
              <w:t xml:space="preserve">Machinery </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-939</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25</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38,290</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vAlign w:val="bottom"/>
            <w:hideMark/>
          </w:tcPr>
          <w:p w:rsidR="00927F4B" w:rsidRPr="00867F58" w:rsidRDefault="00927F4B" w:rsidP="00051734">
            <w:pPr>
              <w:rPr>
                <w:rFonts w:ascii="Calibri" w:hAnsi="Calibri" w:cs="Arial"/>
                <w:sz w:val="20"/>
                <w:szCs w:val="20"/>
              </w:rPr>
            </w:pPr>
            <w:r w:rsidRPr="00867F58">
              <w:rPr>
                <w:rFonts w:ascii="Calibri" w:hAnsi="Calibri" w:cs="Arial"/>
                <w:sz w:val="20"/>
                <w:szCs w:val="20"/>
              </w:rPr>
              <w:t>Nonmetallic Mineral Products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-626</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3</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23,981</w:t>
            </w:r>
          </w:p>
        </w:tc>
      </w:tr>
      <w:tr w:rsidR="00051734"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051734" w:rsidRPr="00867F58" w:rsidRDefault="00051734" w:rsidP="00051734">
            <w:pPr>
              <w:rPr>
                <w:rFonts w:ascii="Calibri" w:hAnsi="Calibri" w:cs="Arial"/>
                <w:sz w:val="20"/>
                <w:szCs w:val="20"/>
              </w:rPr>
            </w:pPr>
            <w:r w:rsidRPr="00867F58">
              <w:rPr>
                <w:rFonts w:ascii="Calibri" w:hAnsi="Calibri" w:cs="Arial"/>
                <w:sz w:val="20"/>
                <w:szCs w:val="20"/>
              </w:rPr>
              <w:t>Apparel and Leather and Allied Products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-4,389</w:t>
            </w:r>
          </w:p>
        </w:tc>
        <w:tc>
          <w:tcPr>
            <w:tcW w:w="1090" w:type="dxa"/>
            <w:tcBorders>
              <w:top w:val="nil"/>
              <w:left w:val="nil"/>
              <w:bottom w:val="nil"/>
              <w:right w:val="single" w:sz="4" w:space="0" w:color="auto"/>
            </w:tcBorders>
            <w:shd w:val="clear" w:color="auto" w:fill="auto"/>
            <w:noWrap/>
            <w:tcMar>
              <w:right w:w="360"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-2</w:t>
            </w:r>
          </w:p>
        </w:tc>
        <w:tc>
          <w:tcPr>
            <w:tcW w:w="1827" w:type="dxa"/>
            <w:tcBorders>
              <w:top w:val="nil"/>
              <w:left w:val="nil"/>
              <w:bottom w:val="nil"/>
              <w:right w:val="single" w:sz="4" w:space="0" w:color="auto"/>
            </w:tcBorders>
            <w:shd w:val="clear" w:color="auto" w:fill="auto"/>
            <w:noWrap/>
            <w:tcMar>
              <w:right w:w="648" w:type="dxa"/>
            </w:tcMar>
            <w:vAlign w:val="center"/>
            <w:hideMark/>
          </w:tcPr>
          <w:p w:rsidR="00051734" w:rsidRPr="00867F58" w:rsidRDefault="00051734" w:rsidP="00927F4B">
            <w:pPr>
              <w:ind w:firstLineChars="200" w:firstLine="400"/>
              <w:jc w:val="right"/>
              <w:rPr>
                <w:rFonts w:ascii="Calibri" w:hAnsi="Calibri" w:cs="Arial"/>
                <w:sz w:val="20"/>
                <w:szCs w:val="20"/>
              </w:rPr>
            </w:pPr>
            <w:r w:rsidRPr="00867F58">
              <w:rPr>
                <w:rFonts w:ascii="Calibri" w:hAnsi="Calibri" w:cs="Arial"/>
                <w:sz w:val="20"/>
                <w:szCs w:val="20"/>
              </w:rPr>
              <w:t>49,951</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vAlign w:val="bottom"/>
            <w:hideMark/>
          </w:tcPr>
          <w:p w:rsidR="00927F4B" w:rsidRPr="00867F58" w:rsidRDefault="00927F4B" w:rsidP="00051734">
            <w:pPr>
              <w:rPr>
                <w:rFonts w:ascii="Calibri" w:hAnsi="Calibri" w:cs="Arial"/>
                <w:sz w:val="20"/>
                <w:szCs w:val="20"/>
              </w:rPr>
            </w:pPr>
            <w:r w:rsidRPr="00867F58">
              <w:rPr>
                <w:rFonts w:ascii="Calibri" w:hAnsi="Calibri" w:cs="Arial"/>
                <w:sz w:val="20"/>
                <w:szCs w:val="20"/>
              </w:rPr>
              <w:t>Wood Products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-3,764</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-6</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47,083</w:t>
            </w:r>
          </w:p>
        </w:tc>
      </w:tr>
      <w:tr w:rsidR="00051734"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051734" w:rsidRPr="00867F58" w:rsidRDefault="00051734" w:rsidP="00051734">
            <w:pPr>
              <w:rPr>
                <w:rFonts w:ascii="Calibri" w:hAnsi="Calibri" w:cs="Arial"/>
                <w:sz w:val="20"/>
                <w:szCs w:val="20"/>
              </w:rPr>
            </w:pPr>
            <w:r w:rsidRPr="00867F58">
              <w:rPr>
                <w:rFonts w:ascii="Calibri" w:hAnsi="Calibri" w:cs="Arial"/>
                <w:sz w:val="20"/>
                <w:szCs w:val="20"/>
              </w:rPr>
              <w:t>Printing and Related Support Activities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-1,331</w:t>
            </w:r>
          </w:p>
        </w:tc>
        <w:tc>
          <w:tcPr>
            <w:tcW w:w="1090" w:type="dxa"/>
            <w:tcBorders>
              <w:top w:val="nil"/>
              <w:left w:val="nil"/>
              <w:bottom w:val="nil"/>
              <w:right w:val="single" w:sz="4" w:space="0" w:color="auto"/>
            </w:tcBorders>
            <w:shd w:val="clear" w:color="auto" w:fill="auto"/>
            <w:noWrap/>
            <w:tcMar>
              <w:right w:w="360"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-12</w:t>
            </w:r>
          </w:p>
        </w:tc>
        <w:tc>
          <w:tcPr>
            <w:tcW w:w="1827" w:type="dxa"/>
            <w:tcBorders>
              <w:top w:val="nil"/>
              <w:left w:val="nil"/>
              <w:bottom w:val="nil"/>
              <w:right w:val="single" w:sz="4" w:space="0" w:color="auto"/>
            </w:tcBorders>
            <w:shd w:val="clear" w:color="auto" w:fill="auto"/>
            <w:noWrap/>
            <w:tcMar>
              <w:right w:w="648" w:type="dxa"/>
            </w:tcMar>
            <w:vAlign w:val="center"/>
            <w:hideMark/>
          </w:tcPr>
          <w:p w:rsidR="00051734" w:rsidRPr="00867F58" w:rsidRDefault="00051734" w:rsidP="00927F4B">
            <w:pPr>
              <w:ind w:firstLineChars="200" w:firstLine="400"/>
              <w:jc w:val="right"/>
              <w:rPr>
                <w:rFonts w:ascii="Calibri" w:hAnsi="Calibri" w:cs="Arial"/>
                <w:sz w:val="20"/>
                <w:szCs w:val="20"/>
              </w:rPr>
            </w:pPr>
            <w:r w:rsidRPr="00867F58">
              <w:rPr>
                <w:rFonts w:ascii="Calibri" w:hAnsi="Calibri" w:cs="Arial"/>
                <w:sz w:val="20"/>
                <w:szCs w:val="20"/>
              </w:rPr>
              <w:t>18,276</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927F4B" w:rsidRPr="00867F58" w:rsidRDefault="00927F4B" w:rsidP="00051734">
            <w:pPr>
              <w:rPr>
                <w:rFonts w:ascii="Calibri" w:hAnsi="Calibri" w:cs="Arial"/>
                <w:sz w:val="20"/>
                <w:szCs w:val="20"/>
              </w:rPr>
            </w:pPr>
            <w:r w:rsidRPr="00867F58">
              <w:rPr>
                <w:rFonts w:ascii="Calibri" w:hAnsi="Calibri" w:cs="Arial"/>
                <w:sz w:val="20"/>
                <w:szCs w:val="20"/>
              </w:rPr>
              <w:t>Primary Metal</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-142</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-14</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-12,732</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927F4B" w:rsidRPr="00867F58" w:rsidRDefault="00927F4B" w:rsidP="00051734">
            <w:pPr>
              <w:rPr>
                <w:rFonts w:ascii="Calibri" w:hAnsi="Calibri" w:cs="Arial"/>
                <w:sz w:val="20"/>
                <w:szCs w:val="20"/>
              </w:rPr>
            </w:pPr>
            <w:r w:rsidRPr="00867F58">
              <w:rPr>
                <w:rFonts w:ascii="Calibri" w:hAnsi="Calibri" w:cs="Arial"/>
                <w:sz w:val="20"/>
                <w:szCs w:val="20"/>
              </w:rPr>
              <w:t>Furniture and Related Products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-1,108</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-29</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13,599</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927F4B" w:rsidRPr="00867F58" w:rsidRDefault="00927F4B" w:rsidP="00051734">
            <w:pPr>
              <w:rPr>
                <w:rFonts w:ascii="Calibri" w:hAnsi="Calibri" w:cs="Arial"/>
                <w:sz w:val="20"/>
                <w:szCs w:val="20"/>
              </w:rPr>
            </w:pPr>
            <w:r w:rsidRPr="00867F58">
              <w:rPr>
                <w:rFonts w:ascii="Calibri" w:hAnsi="Calibri" w:cs="Arial"/>
                <w:sz w:val="20"/>
                <w:szCs w:val="20"/>
              </w:rPr>
              <w:t xml:space="preserve">Plastics and Rubber Products </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-687</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-35</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12,156</w:t>
            </w:r>
          </w:p>
        </w:tc>
      </w:tr>
      <w:tr w:rsidR="00051734"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051734" w:rsidRPr="00867F58" w:rsidRDefault="00051734" w:rsidP="00051734">
            <w:pPr>
              <w:rPr>
                <w:rFonts w:ascii="Calibri" w:hAnsi="Calibri" w:cs="Arial"/>
                <w:sz w:val="20"/>
                <w:szCs w:val="20"/>
              </w:rPr>
            </w:pPr>
            <w:r w:rsidRPr="00867F58">
              <w:rPr>
                <w:rFonts w:ascii="Calibri" w:hAnsi="Calibri" w:cs="Arial"/>
                <w:sz w:val="20"/>
                <w:szCs w:val="20"/>
              </w:rPr>
              <w:t>Electrical Equipment and Appliances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-1,018</w:t>
            </w:r>
          </w:p>
        </w:tc>
        <w:tc>
          <w:tcPr>
            <w:tcW w:w="1090" w:type="dxa"/>
            <w:tcBorders>
              <w:top w:val="nil"/>
              <w:left w:val="nil"/>
              <w:bottom w:val="nil"/>
              <w:right w:val="single" w:sz="4" w:space="0" w:color="auto"/>
            </w:tcBorders>
            <w:shd w:val="clear" w:color="auto" w:fill="auto"/>
            <w:noWrap/>
            <w:tcMar>
              <w:right w:w="360"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-70</w:t>
            </w:r>
          </w:p>
        </w:tc>
        <w:tc>
          <w:tcPr>
            <w:tcW w:w="1827" w:type="dxa"/>
            <w:tcBorders>
              <w:top w:val="nil"/>
              <w:left w:val="nil"/>
              <w:bottom w:val="nil"/>
              <w:right w:val="single" w:sz="4" w:space="0" w:color="auto"/>
            </w:tcBorders>
            <w:shd w:val="clear" w:color="auto" w:fill="auto"/>
            <w:noWrap/>
            <w:tcMar>
              <w:right w:w="648" w:type="dxa"/>
            </w:tcMar>
            <w:vAlign w:val="center"/>
            <w:hideMark/>
          </w:tcPr>
          <w:p w:rsidR="00051734" w:rsidRPr="00867F58" w:rsidRDefault="00051734" w:rsidP="00927F4B">
            <w:pPr>
              <w:ind w:firstLineChars="200" w:firstLine="400"/>
              <w:jc w:val="right"/>
              <w:rPr>
                <w:rFonts w:ascii="Calibri" w:hAnsi="Calibri" w:cs="Arial"/>
                <w:sz w:val="20"/>
                <w:szCs w:val="20"/>
              </w:rPr>
            </w:pPr>
            <w:r w:rsidRPr="00867F58">
              <w:rPr>
                <w:rFonts w:ascii="Calibri" w:hAnsi="Calibri" w:cs="Arial"/>
                <w:sz w:val="20"/>
                <w:szCs w:val="20"/>
              </w:rPr>
              <w:t>1,271</w:t>
            </w:r>
          </w:p>
        </w:tc>
      </w:tr>
      <w:tr w:rsidR="00051734"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051734" w:rsidRPr="00867F58" w:rsidRDefault="00051734" w:rsidP="00051734">
            <w:pPr>
              <w:rPr>
                <w:rFonts w:ascii="Calibri" w:hAnsi="Calibri" w:cs="Arial"/>
                <w:sz w:val="20"/>
                <w:szCs w:val="20"/>
              </w:rPr>
            </w:pPr>
            <w:r w:rsidRPr="00867F58">
              <w:rPr>
                <w:rFonts w:ascii="Calibri" w:hAnsi="Calibri" w:cs="Arial"/>
                <w:sz w:val="20"/>
                <w:szCs w:val="20"/>
              </w:rPr>
              <w:t>Textile Mills and Textile Product Mills</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-2,695</w:t>
            </w:r>
          </w:p>
        </w:tc>
        <w:tc>
          <w:tcPr>
            <w:tcW w:w="1090" w:type="dxa"/>
            <w:tcBorders>
              <w:top w:val="nil"/>
              <w:left w:val="nil"/>
              <w:bottom w:val="nil"/>
              <w:right w:val="single" w:sz="4" w:space="0" w:color="auto"/>
            </w:tcBorders>
            <w:shd w:val="clear" w:color="auto" w:fill="auto"/>
            <w:noWrap/>
            <w:tcMar>
              <w:right w:w="360" w:type="dxa"/>
            </w:tcMar>
            <w:vAlign w:val="center"/>
            <w:hideMark/>
          </w:tcPr>
          <w:p w:rsidR="00051734" w:rsidRPr="00867F58" w:rsidRDefault="00051734" w:rsidP="00927F4B">
            <w:pPr>
              <w:ind w:firstLineChars="100" w:firstLine="200"/>
              <w:jc w:val="right"/>
              <w:rPr>
                <w:rFonts w:ascii="Calibri" w:hAnsi="Calibri" w:cs="Arial"/>
                <w:sz w:val="20"/>
                <w:szCs w:val="20"/>
              </w:rPr>
            </w:pPr>
            <w:r w:rsidRPr="00867F58">
              <w:rPr>
                <w:rFonts w:ascii="Calibri" w:hAnsi="Calibri" w:cs="Arial"/>
                <w:sz w:val="20"/>
                <w:szCs w:val="20"/>
              </w:rPr>
              <w:t>-111</w:t>
            </w:r>
          </w:p>
        </w:tc>
        <w:tc>
          <w:tcPr>
            <w:tcW w:w="1827" w:type="dxa"/>
            <w:tcBorders>
              <w:top w:val="nil"/>
              <w:left w:val="nil"/>
              <w:bottom w:val="nil"/>
              <w:right w:val="single" w:sz="4" w:space="0" w:color="auto"/>
            </w:tcBorders>
            <w:shd w:val="clear" w:color="auto" w:fill="auto"/>
            <w:noWrap/>
            <w:tcMar>
              <w:right w:w="648" w:type="dxa"/>
            </w:tcMar>
            <w:vAlign w:val="center"/>
            <w:hideMark/>
          </w:tcPr>
          <w:p w:rsidR="00051734" w:rsidRPr="00867F58" w:rsidRDefault="00051734" w:rsidP="00927F4B">
            <w:pPr>
              <w:ind w:firstLineChars="200" w:firstLine="400"/>
              <w:jc w:val="right"/>
              <w:rPr>
                <w:rFonts w:ascii="Calibri" w:hAnsi="Calibri" w:cs="Arial"/>
                <w:sz w:val="20"/>
                <w:szCs w:val="20"/>
              </w:rPr>
            </w:pPr>
            <w:r w:rsidRPr="00867F58">
              <w:rPr>
                <w:rFonts w:ascii="Calibri" w:hAnsi="Calibri" w:cs="Arial"/>
                <w:sz w:val="20"/>
                <w:szCs w:val="20"/>
              </w:rPr>
              <w:t>2,011</w:t>
            </w:r>
          </w:p>
        </w:tc>
      </w:tr>
      <w:tr w:rsidR="00927F4B" w:rsidRPr="00867F58" w:rsidTr="0067030F">
        <w:trPr>
          <w:trHeight w:val="255"/>
          <w:jc w:val="center"/>
        </w:trPr>
        <w:tc>
          <w:tcPr>
            <w:tcW w:w="3885" w:type="dxa"/>
            <w:tcBorders>
              <w:top w:val="nil"/>
              <w:left w:val="single" w:sz="4" w:space="0" w:color="auto"/>
              <w:bottom w:val="nil"/>
              <w:right w:val="nil"/>
            </w:tcBorders>
            <w:shd w:val="clear" w:color="auto" w:fill="auto"/>
            <w:noWrap/>
            <w:hideMark/>
          </w:tcPr>
          <w:p w:rsidR="00927F4B" w:rsidRPr="00867F58" w:rsidRDefault="00927F4B" w:rsidP="00051734">
            <w:pPr>
              <w:rPr>
                <w:rFonts w:ascii="Calibri" w:hAnsi="Calibri" w:cs="Arial"/>
                <w:sz w:val="20"/>
                <w:szCs w:val="20"/>
              </w:rPr>
            </w:pPr>
            <w:r w:rsidRPr="00867F58">
              <w:rPr>
                <w:rFonts w:ascii="Calibri" w:hAnsi="Calibri" w:cs="Arial"/>
                <w:sz w:val="20"/>
                <w:szCs w:val="20"/>
              </w:rPr>
              <w:t>Transportation Equipment</w:t>
            </w:r>
          </w:p>
        </w:tc>
        <w:tc>
          <w:tcPr>
            <w:tcW w:w="1133" w:type="dxa"/>
            <w:tcBorders>
              <w:top w:val="nil"/>
              <w:left w:val="single" w:sz="4" w:space="0" w:color="auto"/>
              <w:bottom w:val="nil"/>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-1,486</w:t>
            </w:r>
          </w:p>
        </w:tc>
        <w:tc>
          <w:tcPr>
            <w:tcW w:w="1090" w:type="dxa"/>
            <w:tcBorders>
              <w:top w:val="nil"/>
              <w:left w:val="nil"/>
              <w:bottom w:val="nil"/>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-180</w:t>
            </w:r>
          </w:p>
        </w:tc>
        <w:tc>
          <w:tcPr>
            <w:tcW w:w="1827" w:type="dxa"/>
            <w:tcBorders>
              <w:top w:val="nil"/>
              <w:left w:val="nil"/>
              <w:bottom w:val="nil"/>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-6,658</w:t>
            </w:r>
          </w:p>
        </w:tc>
      </w:tr>
      <w:tr w:rsidR="00927F4B" w:rsidRPr="00867F58" w:rsidTr="0067030F">
        <w:trPr>
          <w:trHeight w:val="255"/>
          <w:jc w:val="center"/>
        </w:trPr>
        <w:tc>
          <w:tcPr>
            <w:tcW w:w="3885" w:type="dxa"/>
            <w:tcBorders>
              <w:top w:val="nil"/>
              <w:left w:val="single" w:sz="4" w:space="0" w:color="auto"/>
              <w:bottom w:val="single" w:sz="4" w:space="0" w:color="auto"/>
              <w:right w:val="nil"/>
            </w:tcBorders>
            <w:shd w:val="clear" w:color="auto" w:fill="auto"/>
            <w:noWrap/>
            <w:hideMark/>
          </w:tcPr>
          <w:p w:rsidR="00927F4B" w:rsidRPr="00867F58" w:rsidRDefault="00927F4B" w:rsidP="00927F4B">
            <w:pPr>
              <w:rPr>
                <w:rFonts w:ascii="Calibri" w:hAnsi="Calibri" w:cs="Arial"/>
                <w:sz w:val="20"/>
                <w:szCs w:val="20"/>
              </w:rPr>
            </w:pPr>
            <w:r w:rsidRPr="00867F58">
              <w:rPr>
                <w:rFonts w:ascii="Calibri" w:hAnsi="Calibri" w:cs="Arial"/>
                <w:sz w:val="20"/>
                <w:szCs w:val="20"/>
              </w:rPr>
              <w:t>Paper  </w:t>
            </w:r>
          </w:p>
        </w:tc>
        <w:tc>
          <w:tcPr>
            <w:tcW w:w="1133" w:type="dxa"/>
            <w:tcBorders>
              <w:top w:val="nil"/>
              <w:left w:val="single" w:sz="4" w:space="0" w:color="auto"/>
              <w:bottom w:val="single" w:sz="4" w:space="0" w:color="auto"/>
              <w:right w:val="single" w:sz="4" w:space="0" w:color="auto"/>
            </w:tcBorders>
            <w:shd w:val="clear" w:color="auto" w:fill="auto"/>
            <w:noWrap/>
            <w:tcMar>
              <w:right w:w="288"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-5,450</w:t>
            </w:r>
          </w:p>
        </w:tc>
        <w:tc>
          <w:tcPr>
            <w:tcW w:w="1090" w:type="dxa"/>
            <w:tcBorders>
              <w:top w:val="nil"/>
              <w:left w:val="nil"/>
              <w:bottom w:val="single" w:sz="4" w:space="0" w:color="auto"/>
              <w:right w:val="single" w:sz="4" w:space="0" w:color="auto"/>
            </w:tcBorders>
            <w:shd w:val="clear" w:color="auto" w:fill="auto"/>
            <w:noWrap/>
            <w:tcMar>
              <w:right w:w="360" w:type="dxa"/>
            </w:tcMar>
            <w:vAlign w:val="center"/>
            <w:hideMark/>
          </w:tcPr>
          <w:p w:rsidR="00927F4B" w:rsidRPr="00867F58" w:rsidRDefault="00927F4B" w:rsidP="00927F4B">
            <w:pPr>
              <w:ind w:firstLineChars="100" w:firstLine="200"/>
              <w:jc w:val="right"/>
              <w:rPr>
                <w:rFonts w:ascii="Calibri" w:hAnsi="Calibri" w:cs="Arial"/>
                <w:sz w:val="20"/>
                <w:szCs w:val="20"/>
              </w:rPr>
            </w:pPr>
            <w:r w:rsidRPr="00867F58">
              <w:rPr>
                <w:rFonts w:ascii="Calibri" w:hAnsi="Calibri" w:cs="Arial"/>
                <w:sz w:val="20"/>
                <w:szCs w:val="20"/>
              </w:rPr>
              <w:t>-912</w:t>
            </w:r>
          </w:p>
        </w:tc>
        <w:tc>
          <w:tcPr>
            <w:tcW w:w="1827" w:type="dxa"/>
            <w:tcBorders>
              <w:top w:val="nil"/>
              <w:left w:val="nil"/>
              <w:bottom w:val="single" w:sz="4" w:space="0" w:color="auto"/>
              <w:right w:val="single" w:sz="4" w:space="0" w:color="auto"/>
            </w:tcBorders>
            <w:shd w:val="clear" w:color="auto" w:fill="auto"/>
            <w:noWrap/>
            <w:tcMar>
              <w:right w:w="648" w:type="dxa"/>
            </w:tcMar>
            <w:vAlign w:val="center"/>
            <w:hideMark/>
          </w:tcPr>
          <w:p w:rsidR="00927F4B" w:rsidRPr="00867F58" w:rsidRDefault="00927F4B" w:rsidP="00927F4B">
            <w:pPr>
              <w:ind w:firstLineChars="200" w:firstLine="400"/>
              <w:jc w:val="right"/>
              <w:rPr>
                <w:rFonts w:ascii="Calibri" w:hAnsi="Calibri" w:cs="Arial"/>
                <w:sz w:val="20"/>
                <w:szCs w:val="20"/>
              </w:rPr>
            </w:pPr>
            <w:r w:rsidRPr="00867F58">
              <w:rPr>
                <w:rFonts w:ascii="Calibri" w:hAnsi="Calibri" w:cs="Arial"/>
                <w:sz w:val="20"/>
                <w:szCs w:val="20"/>
              </w:rPr>
              <w:t>-29,984</w:t>
            </w:r>
          </w:p>
        </w:tc>
      </w:tr>
      <w:tr w:rsidR="00051734" w:rsidRPr="00867F58" w:rsidTr="00927F4B">
        <w:trPr>
          <w:trHeight w:val="255"/>
          <w:jc w:val="center"/>
        </w:trPr>
        <w:tc>
          <w:tcPr>
            <w:tcW w:w="7935" w:type="dxa"/>
            <w:gridSpan w:val="4"/>
            <w:tcBorders>
              <w:top w:val="nil"/>
              <w:left w:val="nil"/>
              <w:bottom w:val="nil"/>
              <w:right w:val="nil"/>
            </w:tcBorders>
            <w:shd w:val="clear" w:color="auto" w:fill="auto"/>
            <w:noWrap/>
            <w:vAlign w:val="bottom"/>
            <w:hideMark/>
          </w:tcPr>
          <w:p w:rsidR="00051734" w:rsidRPr="00867F58" w:rsidRDefault="00051734" w:rsidP="00051734">
            <w:pPr>
              <w:rPr>
                <w:rFonts w:ascii="Calibri" w:hAnsi="Calibri" w:cs="Arial"/>
                <w:sz w:val="16"/>
                <w:szCs w:val="16"/>
              </w:rPr>
            </w:pPr>
            <w:r w:rsidRPr="00867F58">
              <w:rPr>
                <w:rFonts w:ascii="Calibri" w:hAnsi="Calibri" w:cs="Arial"/>
                <w:sz w:val="16"/>
                <w:szCs w:val="16"/>
              </w:rPr>
              <w:t>Source: Quarterly Census of Employment and Wages and U.S. Bureau of Economic Analysis.</w:t>
            </w:r>
          </w:p>
        </w:tc>
      </w:tr>
    </w:tbl>
    <w:p w:rsidR="00C81AF8" w:rsidRDefault="00383C93" w:rsidP="000548CF">
      <w:pPr>
        <w:pStyle w:val="Heading2"/>
      </w:pPr>
      <w:r>
        <w:t>M</w:t>
      </w:r>
      <w:r w:rsidR="002C69EA">
        <w:t xml:space="preserve">anufacturing workers </w:t>
      </w:r>
      <w:r>
        <w:t>are becoming more educated</w:t>
      </w:r>
      <w:r w:rsidR="00285CE2">
        <w:t xml:space="preserve"> and older</w:t>
      </w:r>
    </w:p>
    <w:p w:rsidR="00382F34" w:rsidRDefault="00382F34" w:rsidP="00382F34">
      <w:pPr>
        <w:pStyle w:val="BodyText"/>
      </w:pPr>
      <w:r>
        <w:t xml:space="preserve">Much of </w:t>
      </w:r>
      <w:r w:rsidR="00494452">
        <w:t>the growth in manufacturing output</w:t>
      </w:r>
      <w:r>
        <w:t xml:space="preserve"> per worker was fueled by process improvement and the introduction of new technologies. As a result, employers did not always need more workers to meet increased demand, but they did require a more skilled workforce. The evid</w:t>
      </w:r>
      <w:r w:rsidR="00494452">
        <w:t xml:space="preserve">ence indicates that </w:t>
      </w:r>
      <w:r>
        <w:lastRenderedPageBreak/>
        <w:t xml:space="preserve">manufacturing workers have been </w:t>
      </w:r>
      <w:r w:rsidR="000D5498">
        <w:t>“upskilling”</w:t>
      </w:r>
      <w:r>
        <w:t xml:space="preserve"> for many years (using educational attainment as a proxy</w:t>
      </w:r>
      <w:r w:rsidR="0099435A">
        <w:t xml:space="preserve"> for skills</w:t>
      </w:r>
      <w:r>
        <w:t>).</w:t>
      </w:r>
    </w:p>
    <w:p w:rsidR="00C81AF8" w:rsidRDefault="00C81AF8" w:rsidP="00427263">
      <w:pPr>
        <w:pStyle w:val="BodyText"/>
      </w:pPr>
      <w:r>
        <w:t>Between 1990 and 2010</w:t>
      </w:r>
      <w:r w:rsidR="00432E70">
        <w:t xml:space="preserve"> (combined 2008, 2009, and 2010 American Community Survey samples)</w:t>
      </w:r>
      <w:r>
        <w:t xml:space="preserve">, the educational attainment of Maine </w:t>
      </w:r>
      <w:r w:rsidR="009D70F9">
        <w:t xml:space="preserve">manufacturing </w:t>
      </w:r>
      <w:r>
        <w:t xml:space="preserve">workers rose. </w:t>
      </w:r>
      <w:r w:rsidR="009D70F9">
        <w:t>About</w:t>
      </w:r>
      <w:r>
        <w:t xml:space="preserve"> </w:t>
      </w:r>
      <w:r w:rsidR="009D70F9">
        <w:t>66</w:t>
      </w:r>
      <w:r>
        <w:t xml:space="preserve"> percent of the employed had a high schoo</w:t>
      </w:r>
      <w:r w:rsidR="00F11E0C">
        <w:t>l education or less in 1990,</w:t>
      </w:r>
      <w:r>
        <w:t xml:space="preserve"> by 2010 </w:t>
      </w:r>
      <w:r w:rsidR="00EA7193">
        <w:t xml:space="preserve">the number of </w:t>
      </w:r>
      <w:r>
        <w:t xml:space="preserve">workers with this level of attainment had dropped to </w:t>
      </w:r>
      <w:r w:rsidR="009D70F9">
        <w:t>51</w:t>
      </w:r>
      <w:r>
        <w:t xml:space="preserve"> percent of the total. Conversely, the percentage of employed with at least </w:t>
      </w:r>
      <w:r w:rsidR="00494452">
        <w:t>some college education increased</w:t>
      </w:r>
      <w:r>
        <w:t xml:space="preserve">, accounting for </w:t>
      </w:r>
      <w:r w:rsidR="009D70F9">
        <w:t>49</w:t>
      </w:r>
      <w:r w:rsidR="00401EF0">
        <w:t xml:space="preserve"> percent of total employment, up from </w:t>
      </w:r>
      <w:r w:rsidR="009D70F9">
        <w:t>34</w:t>
      </w:r>
      <w:r w:rsidR="00401EF0">
        <w:t xml:space="preserve"> percent for 1990.</w:t>
      </w:r>
    </w:p>
    <w:p w:rsidR="00EA10C7" w:rsidRDefault="005E7975" w:rsidP="00EA10C7">
      <w:pPr>
        <w:pStyle w:val="BodyText"/>
        <w:jc w:val="center"/>
      </w:pPr>
      <w:r>
        <w:rPr>
          <w:noProof/>
        </w:rPr>
        <w:drawing>
          <wp:inline distT="0" distB="0" distL="0" distR="0">
            <wp:extent cx="5220335" cy="2998470"/>
            <wp:effectExtent l="0" t="0" r="0" b="0"/>
            <wp:docPr id="7" name="Picture 7" descr="See companion excel file - http://www.maine.gov/labor/cwri/publications/Excel/Manufacturing_a_sector_in_transition_charts.xlsx - Table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companion excel file, table fou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0335" cy="2998470"/>
                    </a:xfrm>
                    <a:prstGeom prst="rect">
                      <a:avLst/>
                    </a:prstGeom>
                    <a:noFill/>
                    <a:ln>
                      <a:noFill/>
                    </a:ln>
                  </pic:spPr>
                </pic:pic>
              </a:graphicData>
            </a:graphic>
          </wp:inline>
        </w:drawing>
      </w:r>
    </w:p>
    <w:p w:rsidR="00D353B3" w:rsidRDefault="00432E70" w:rsidP="00DF5406">
      <w:pPr>
        <w:pStyle w:val="BodyText"/>
      </w:pPr>
      <w:r w:rsidRPr="00427263">
        <w:t>T</w:t>
      </w:r>
      <w:r w:rsidR="00D353B3" w:rsidRPr="00427263">
        <w:t xml:space="preserve">he number of manufacturing </w:t>
      </w:r>
      <w:r w:rsidR="0006024A" w:rsidRPr="00427263">
        <w:t xml:space="preserve">workers engaged </w:t>
      </w:r>
      <w:r w:rsidR="009C1CAE" w:rsidRPr="00427263">
        <w:t>as</w:t>
      </w:r>
      <w:r w:rsidR="0006024A" w:rsidRPr="00427263">
        <w:t xml:space="preserve"> </w:t>
      </w:r>
      <w:r w:rsidR="002F1C5C">
        <w:t xml:space="preserve">production workers (defined here as </w:t>
      </w:r>
      <w:r w:rsidR="0006024A" w:rsidRPr="00427263">
        <w:t>precision production, craft, repairers, operatives and laborers)</w:t>
      </w:r>
      <w:r w:rsidR="00D353B3" w:rsidRPr="00427263">
        <w:t xml:space="preserve"> fell </w:t>
      </w:r>
      <w:r w:rsidR="009C1CAE" w:rsidRPr="00427263">
        <w:t>nearly</w:t>
      </w:r>
      <w:r w:rsidR="00D353B3" w:rsidRPr="00427263">
        <w:t xml:space="preserve"> 50 percent</w:t>
      </w:r>
      <w:r w:rsidRPr="00427263">
        <w:t xml:space="preserve"> between 1990 and </w:t>
      </w:r>
      <w:r w:rsidR="009D70F9">
        <w:t>2008-</w:t>
      </w:r>
      <w:r w:rsidRPr="00427263">
        <w:t>2010</w:t>
      </w:r>
      <w:r w:rsidR="00CF7B0F" w:rsidRPr="00427263">
        <w:t xml:space="preserve">. At the same time, educational attainment of </w:t>
      </w:r>
      <w:r w:rsidR="009C1CAE" w:rsidRPr="00427263">
        <w:t>these</w:t>
      </w:r>
      <w:r w:rsidR="00CF7B0F" w:rsidRPr="00427263">
        <w:t xml:space="preserve"> workers rose, with the share of workers with some college or an associate’s degree and a bachelor’s degree or more rising by </w:t>
      </w:r>
      <w:r w:rsidR="00494452">
        <w:t>13</w:t>
      </w:r>
      <w:r w:rsidR="00CF7B0F" w:rsidRPr="00427263">
        <w:t xml:space="preserve"> percentage points and </w:t>
      </w:r>
      <w:r w:rsidR="00494452">
        <w:t>2</w:t>
      </w:r>
      <w:r w:rsidR="00CF7B0F">
        <w:t xml:space="preserve"> percentage points, respectively.</w:t>
      </w:r>
    </w:p>
    <w:tbl>
      <w:tblPr>
        <w:tblW w:w="9090" w:type="dxa"/>
        <w:jc w:val="center"/>
        <w:tblLook w:val="04A0" w:firstRow="1" w:lastRow="0" w:firstColumn="1" w:lastColumn="0" w:noHBand="0" w:noVBand="1"/>
      </w:tblPr>
      <w:tblGrid>
        <w:gridCol w:w="3393"/>
        <w:gridCol w:w="1440"/>
        <w:gridCol w:w="1260"/>
        <w:gridCol w:w="1170"/>
        <w:gridCol w:w="1827"/>
      </w:tblGrid>
      <w:tr w:rsidR="00904C03" w:rsidRPr="00904C03" w:rsidTr="00901DD9">
        <w:trPr>
          <w:trHeight w:val="300"/>
          <w:jc w:val="center"/>
        </w:trPr>
        <w:tc>
          <w:tcPr>
            <w:tcW w:w="9090" w:type="dxa"/>
            <w:gridSpan w:val="5"/>
            <w:tcBorders>
              <w:top w:val="single" w:sz="4" w:space="0" w:color="auto"/>
              <w:left w:val="single" w:sz="4" w:space="0" w:color="auto"/>
              <w:bottom w:val="nil"/>
              <w:right w:val="single" w:sz="4" w:space="0" w:color="000000"/>
            </w:tcBorders>
            <w:shd w:val="clear" w:color="auto" w:fill="auto"/>
            <w:noWrap/>
            <w:vAlign w:val="bottom"/>
            <w:hideMark/>
          </w:tcPr>
          <w:p w:rsidR="00904C03" w:rsidRPr="00303176" w:rsidRDefault="00904C03" w:rsidP="00904C03">
            <w:pPr>
              <w:jc w:val="center"/>
              <w:rPr>
                <w:rFonts w:ascii="Calibri" w:hAnsi="Calibri"/>
                <w:b/>
                <w:bCs/>
                <w:color w:val="000000"/>
                <w:sz w:val="20"/>
                <w:szCs w:val="20"/>
              </w:rPr>
            </w:pPr>
            <w:r w:rsidRPr="00303176">
              <w:rPr>
                <w:rFonts w:ascii="Calibri" w:hAnsi="Calibri"/>
                <w:b/>
                <w:bCs/>
                <w:color w:val="000000"/>
                <w:sz w:val="20"/>
                <w:szCs w:val="20"/>
              </w:rPr>
              <w:t>Educational Attainment of Manufacturing Production Workers in Maine</w:t>
            </w:r>
          </w:p>
        </w:tc>
      </w:tr>
      <w:tr w:rsidR="00904C03" w:rsidRPr="00904C03" w:rsidTr="00901DD9">
        <w:trPr>
          <w:trHeight w:val="300"/>
          <w:jc w:val="center"/>
        </w:trPr>
        <w:tc>
          <w:tcPr>
            <w:tcW w:w="9090" w:type="dxa"/>
            <w:gridSpan w:val="5"/>
            <w:tcBorders>
              <w:top w:val="nil"/>
              <w:left w:val="single" w:sz="4" w:space="0" w:color="auto"/>
              <w:bottom w:val="single" w:sz="4" w:space="0" w:color="auto"/>
              <w:right w:val="single" w:sz="4" w:space="0" w:color="000000"/>
            </w:tcBorders>
            <w:shd w:val="clear" w:color="auto" w:fill="auto"/>
            <w:noWrap/>
            <w:vAlign w:val="bottom"/>
            <w:hideMark/>
          </w:tcPr>
          <w:p w:rsidR="00904C03" w:rsidRPr="00303176" w:rsidRDefault="00904C03" w:rsidP="00904C03">
            <w:pPr>
              <w:jc w:val="center"/>
              <w:rPr>
                <w:rFonts w:ascii="Calibri" w:hAnsi="Calibri"/>
                <w:b/>
                <w:bCs/>
                <w:color w:val="000000"/>
                <w:sz w:val="20"/>
                <w:szCs w:val="20"/>
              </w:rPr>
            </w:pPr>
            <w:r w:rsidRPr="00303176">
              <w:rPr>
                <w:rFonts w:ascii="Calibri" w:hAnsi="Calibri"/>
                <w:b/>
                <w:bCs/>
                <w:color w:val="000000"/>
                <w:sz w:val="20"/>
                <w:szCs w:val="20"/>
              </w:rPr>
              <w:t>(percent distribution)</w:t>
            </w:r>
          </w:p>
        </w:tc>
      </w:tr>
      <w:tr w:rsidR="0067030F" w:rsidRPr="00904C03" w:rsidTr="0067030F">
        <w:trPr>
          <w:trHeight w:val="638"/>
          <w:jc w:val="center"/>
        </w:trPr>
        <w:tc>
          <w:tcPr>
            <w:tcW w:w="3393" w:type="dxa"/>
            <w:tcBorders>
              <w:top w:val="nil"/>
              <w:left w:val="single" w:sz="4" w:space="0" w:color="auto"/>
              <w:bottom w:val="single" w:sz="4" w:space="0" w:color="000000"/>
              <w:right w:val="nil"/>
            </w:tcBorders>
            <w:shd w:val="clear" w:color="auto" w:fill="auto"/>
            <w:noWrap/>
            <w:vAlign w:val="center"/>
            <w:hideMark/>
          </w:tcPr>
          <w:p w:rsidR="0067030F" w:rsidRPr="00303176" w:rsidRDefault="0067030F" w:rsidP="00904C03">
            <w:pPr>
              <w:jc w:val="center"/>
              <w:rPr>
                <w:rFonts w:ascii="Calibri" w:hAnsi="Calibri"/>
                <w:b/>
                <w:bCs/>
                <w:color w:val="000000"/>
                <w:sz w:val="20"/>
                <w:szCs w:val="20"/>
              </w:rPr>
            </w:pPr>
            <w:r w:rsidRPr="00303176">
              <w:rPr>
                <w:rFonts w:ascii="Calibri" w:hAnsi="Calibri"/>
                <w:b/>
                <w:bCs/>
                <w:color w:val="000000"/>
                <w:sz w:val="20"/>
                <w:szCs w:val="20"/>
              </w:rPr>
              <w:t>Educational Attainment</w:t>
            </w:r>
          </w:p>
        </w:tc>
        <w:tc>
          <w:tcPr>
            <w:tcW w:w="1440" w:type="dxa"/>
            <w:tcBorders>
              <w:top w:val="nil"/>
              <w:left w:val="single" w:sz="4" w:space="0" w:color="auto"/>
              <w:bottom w:val="single" w:sz="4" w:space="0" w:color="000000"/>
              <w:right w:val="single" w:sz="4" w:space="0" w:color="auto"/>
            </w:tcBorders>
            <w:shd w:val="clear" w:color="auto" w:fill="auto"/>
            <w:noWrap/>
            <w:vAlign w:val="center"/>
            <w:hideMark/>
          </w:tcPr>
          <w:p w:rsidR="0067030F" w:rsidRPr="00303176" w:rsidRDefault="0067030F" w:rsidP="00904C03">
            <w:pPr>
              <w:jc w:val="center"/>
              <w:rPr>
                <w:rFonts w:ascii="Calibri" w:hAnsi="Calibri"/>
                <w:b/>
                <w:bCs/>
                <w:color w:val="000000"/>
                <w:sz w:val="20"/>
                <w:szCs w:val="20"/>
              </w:rPr>
            </w:pPr>
            <w:r w:rsidRPr="00303176">
              <w:rPr>
                <w:rFonts w:ascii="Calibri" w:hAnsi="Calibri"/>
                <w:b/>
                <w:bCs/>
                <w:color w:val="000000"/>
                <w:sz w:val="20"/>
                <w:szCs w:val="20"/>
              </w:rPr>
              <w:t>1990</w:t>
            </w:r>
          </w:p>
        </w:tc>
        <w:tc>
          <w:tcPr>
            <w:tcW w:w="1260" w:type="dxa"/>
            <w:tcBorders>
              <w:top w:val="nil"/>
              <w:left w:val="nil"/>
              <w:bottom w:val="single" w:sz="4" w:space="0" w:color="000000"/>
              <w:right w:val="nil"/>
            </w:tcBorders>
            <w:shd w:val="clear" w:color="auto" w:fill="auto"/>
            <w:noWrap/>
            <w:vAlign w:val="center"/>
            <w:hideMark/>
          </w:tcPr>
          <w:p w:rsidR="0067030F" w:rsidRPr="00303176" w:rsidRDefault="0067030F" w:rsidP="00904C03">
            <w:pPr>
              <w:jc w:val="center"/>
              <w:rPr>
                <w:rFonts w:ascii="Calibri" w:hAnsi="Calibri"/>
                <w:b/>
                <w:bCs/>
                <w:color w:val="000000"/>
                <w:sz w:val="20"/>
                <w:szCs w:val="20"/>
              </w:rPr>
            </w:pPr>
            <w:r w:rsidRPr="00303176">
              <w:rPr>
                <w:rFonts w:ascii="Calibri" w:hAnsi="Calibri"/>
                <w:b/>
                <w:bCs/>
                <w:color w:val="000000"/>
                <w:sz w:val="20"/>
                <w:szCs w:val="20"/>
              </w:rPr>
              <w:t>2000</w:t>
            </w:r>
          </w:p>
        </w:tc>
        <w:tc>
          <w:tcPr>
            <w:tcW w:w="1170" w:type="dxa"/>
            <w:tcBorders>
              <w:top w:val="nil"/>
              <w:left w:val="single" w:sz="4" w:space="0" w:color="auto"/>
              <w:bottom w:val="single" w:sz="4" w:space="0" w:color="000000"/>
              <w:right w:val="single" w:sz="4" w:space="0" w:color="auto"/>
            </w:tcBorders>
            <w:shd w:val="clear" w:color="auto" w:fill="auto"/>
            <w:noWrap/>
            <w:vAlign w:val="center"/>
            <w:hideMark/>
          </w:tcPr>
          <w:p w:rsidR="0067030F" w:rsidRPr="00303176" w:rsidRDefault="0067030F" w:rsidP="00904C03">
            <w:pPr>
              <w:jc w:val="center"/>
              <w:rPr>
                <w:rFonts w:ascii="Calibri" w:hAnsi="Calibri"/>
                <w:b/>
                <w:bCs/>
                <w:color w:val="000000"/>
                <w:sz w:val="20"/>
                <w:szCs w:val="20"/>
              </w:rPr>
            </w:pPr>
            <w:r w:rsidRPr="00303176">
              <w:rPr>
                <w:rFonts w:ascii="Calibri" w:hAnsi="Calibri"/>
                <w:b/>
                <w:bCs/>
                <w:color w:val="000000"/>
                <w:sz w:val="20"/>
                <w:szCs w:val="20"/>
              </w:rPr>
              <w:t>2008-10</w:t>
            </w:r>
          </w:p>
        </w:tc>
        <w:tc>
          <w:tcPr>
            <w:tcW w:w="1827" w:type="dxa"/>
            <w:tcBorders>
              <w:top w:val="single" w:sz="4" w:space="0" w:color="auto"/>
              <w:left w:val="nil"/>
              <w:bottom w:val="single" w:sz="4" w:space="0" w:color="auto"/>
              <w:right w:val="single" w:sz="4" w:space="0" w:color="auto"/>
            </w:tcBorders>
            <w:shd w:val="clear" w:color="auto" w:fill="auto"/>
            <w:noWrap/>
            <w:vAlign w:val="bottom"/>
            <w:hideMark/>
          </w:tcPr>
          <w:p w:rsidR="0067030F" w:rsidRDefault="0067030F" w:rsidP="00904C03">
            <w:pPr>
              <w:jc w:val="center"/>
              <w:rPr>
                <w:rFonts w:ascii="Calibri" w:hAnsi="Calibri"/>
                <w:b/>
                <w:bCs/>
                <w:color w:val="000000"/>
                <w:sz w:val="20"/>
                <w:szCs w:val="20"/>
              </w:rPr>
            </w:pPr>
            <w:r w:rsidRPr="00303176">
              <w:rPr>
                <w:rFonts w:ascii="Calibri" w:hAnsi="Calibri"/>
                <w:b/>
                <w:bCs/>
                <w:color w:val="000000"/>
                <w:sz w:val="20"/>
                <w:szCs w:val="20"/>
              </w:rPr>
              <w:t>Percentage</w:t>
            </w:r>
          </w:p>
          <w:p w:rsidR="0067030F" w:rsidRDefault="0067030F" w:rsidP="00904C03">
            <w:pPr>
              <w:jc w:val="center"/>
              <w:rPr>
                <w:rFonts w:ascii="Calibri" w:hAnsi="Calibri"/>
                <w:b/>
                <w:bCs/>
                <w:color w:val="000000"/>
                <w:sz w:val="20"/>
                <w:szCs w:val="20"/>
              </w:rPr>
            </w:pPr>
            <w:r w:rsidRPr="00303176">
              <w:rPr>
                <w:rFonts w:ascii="Calibri" w:hAnsi="Calibri"/>
                <w:b/>
                <w:bCs/>
                <w:color w:val="000000"/>
                <w:sz w:val="20"/>
                <w:szCs w:val="20"/>
              </w:rPr>
              <w:t>Point Change</w:t>
            </w:r>
          </w:p>
          <w:p w:rsidR="0067030F" w:rsidRPr="00303176" w:rsidRDefault="0067030F" w:rsidP="00904C03">
            <w:pPr>
              <w:jc w:val="center"/>
              <w:rPr>
                <w:rFonts w:ascii="Calibri" w:hAnsi="Calibri"/>
                <w:b/>
                <w:bCs/>
                <w:color w:val="000000"/>
                <w:sz w:val="20"/>
                <w:szCs w:val="20"/>
              </w:rPr>
            </w:pPr>
            <w:r w:rsidRPr="00303176">
              <w:rPr>
                <w:rFonts w:ascii="Calibri" w:hAnsi="Calibri"/>
                <w:b/>
                <w:bCs/>
                <w:color w:val="000000"/>
                <w:sz w:val="20"/>
                <w:szCs w:val="20"/>
              </w:rPr>
              <w:t>1990-(2008-10)</w:t>
            </w:r>
          </w:p>
        </w:tc>
      </w:tr>
      <w:tr w:rsidR="00904C03" w:rsidRPr="00904C03" w:rsidTr="0067030F">
        <w:trPr>
          <w:trHeight w:val="300"/>
          <w:jc w:val="center"/>
        </w:trPr>
        <w:tc>
          <w:tcPr>
            <w:tcW w:w="3393" w:type="dxa"/>
            <w:tcBorders>
              <w:top w:val="nil"/>
              <w:left w:val="single" w:sz="4" w:space="0" w:color="auto"/>
              <w:bottom w:val="nil"/>
              <w:right w:val="single" w:sz="4" w:space="0" w:color="auto"/>
            </w:tcBorders>
            <w:shd w:val="clear" w:color="auto" w:fill="auto"/>
            <w:noWrap/>
            <w:vAlign w:val="center"/>
            <w:hideMark/>
          </w:tcPr>
          <w:p w:rsidR="00904C03" w:rsidRPr="00303176" w:rsidRDefault="00904C03" w:rsidP="00901DD9">
            <w:pPr>
              <w:rPr>
                <w:rFonts w:ascii="Calibri" w:hAnsi="Calibri"/>
                <w:color w:val="000000"/>
                <w:sz w:val="20"/>
                <w:szCs w:val="20"/>
              </w:rPr>
            </w:pPr>
            <w:r w:rsidRPr="00303176">
              <w:rPr>
                <w:rFonts w:ascii="Calibri" w:hAnsi="Calibri"/>
                <w:color w:val="000000"/>
                <w:sz w:val="20"/>
                <w:szCs w:val="20"/>
              </w:rPr>
              <w:t>High School or Less</w:t>
            </w:r>
          </w:p>
        </w:tc>
        <w:tc>
          <w:tcPr>
            <w:tcW w:w="1440" w:type="dxa"/>
            <w:tcBorders>
              <w:top w:val="nil"/>
              <w:left w:val="nil"/>
              <w:bottom w:val="nil"/>
              <w:right w:val="single" w:sz="4" w:space="0" w:color="auto"/>
            </w:tcBorders>
            <w:shd w:val="clear" w:color="auto" w:fill="auto"/>
            <w:noWrap/>
            <w:tcMar>
              <w:left w:w="115" w:type="dxa"/>
              <w:right w:w="504"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77.3%</w:t>
            </w:r>
          </w:p>
        </w:tc>
        <w:tc>
          <w:tcPr>
            <w:tcW w:w="1260" w:type="dxa"/>
            <w:tcBorders>
              <w:top w:val="nil"/>
              <w:left w:val="nil"/>
              <w:bottom w:val="nil"/>
              <w:right w:val="nil"/>
            </w:tcBorders>
            <w:shd w:val="clear" w:color="auto" w:fill="auto"/>
            <w:noWrap/>
            <w:tcMar>
              <w:left w:w="115" w:type="dxa"/>
              <w:right w:w="432"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70.6%</w:t>
            </w:r>
          </w:p>
        </w:tc>
        <w:tc>
          <w:tcPr>
            <w:tcW w:w="1170" w:type="dxa"/>
            <w:tcBorders>
              <w:top w:val="nil"/>
              <w:left w:val="single" w:sz="4" w:space="0" w:color="auto"/>
              <w:bottom w:val="nil"/>
              <w:right w:val="single" w:sz="4" w:space="0" w:color="auto"/>
            </w:tcBorders>
            <w:shd w:val="clear" w:color="auto" w:fill="auto"/>
            <w:noWrap/>
            <w:tcMar>
              <w:left w:w="115" w:type="dxa"/>
              <w:right w:w="288"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62.2%</w:t>
            </w:r>
          </w:p>
        </w:tc>
        <w:tc>
          <w:tcPr>
            <w:tcW w:w="1827" w:type="dxa"/>
            <w:tcBorders>
              <w:top w:val="nil"/>
              <w:left w:val="nil"/>
              <w:bottom w:val="nil"/>
              <w:right w:val="single" w:sz="4" w:space="0" w:color="auto"/>
            </w:tcBorders>
            <w:shd w:val="clear" w:color="auto" w:fill="auto"/>
            <w:noWrap/>
            <w:tcMar>
              <w:left w:w="115" w:type="dxa"/>
              <w:right w:w="576" w:type="dxa"/>
            </w:tcMar>
            <w:vAlign w:val="center"/>
            <w:hideMark/>
          </w:tcPr>
          <w:p w:rsidR="00904C03" w:rsidRPr="00303176" w:rsidRDefault="00A879EA" w:rsidP="0067030F">
            <w:pPr>
              <w:jc w:val="right"/>
              <w:rPr>
                <w:rFonts w:ascii="Calibri" w:hAnsi="Calibri"/>
                <w:color w:val="000000"/>
                <w:sz w:val="20"/>
                <w:szCs w:val="20"/>
              </w:rPr>
            </w:pPr>
            <w:r w:rsidRPr="00303176">
              <w:rPr>
                <w:rFonts w:ascii="Calibri" w:hAnsi="Calibri"/>
                <w:color w:val="000000"/>
                <w:sz w:val="20"/>
                <w:szCs w:val="20"/>
              </w:rPr>
              <w:t>-</w:t>
            </w:r>
            <w:r w:rsidR="00904C03" w:rsidRPr="00303176">
              <w:rPr>
                <w:rFonts w:ascii="Calibri" w:hAnsi="Calibri"/>
                <w:color w:val="000000"/>
                <w:sz w:val="20"/>
                <w:szCs w:val="20"/>
              </w:rPr>
              <w:t>15.1</w:t>
            </w:r>
          </w:p>
        </w:tc>
      </w:tr>
      <w:tr w:rsidR="00904C03" w:rsidRPr="00904C03" w:rsidTr="0067030F">
        <w:trPr>
          <w:trHeight w:val="300"/>
          <w:jc w:val="center"/>
        </w:trPr>
        <w:tc>
          <w:tcPr>
            <w:tcW w:w="3393" w:type="dxa"/>
            <w:tcBorders>
              <w:top w:val="nil"/>
              <w:left w:val="single" w:sz="4" w:space="0" w:color="auto"/>
              <w:bottom w:val="nil"/>
              <w:right w:val="single" w:sz="4" w:space="0" w:color="auto"/>
            </w:tcBorders>
            <w:shd w:val="clear" w:color="auto" w:fill="auto"/>
            <w:noWrap/>
            <w:vAlign w:val="center"/>
            <w:hideMark/>
          </w:tcPr>
          <w:p w:rsidR="00904C03" w:rsidRPr="00303176" w:rsidRDefault="00904C03" w:rsidP="00901DD9">
            <w:pPr>
              <w:rPr>
                <w:rFonts w:ascii="Calibri" w:hAnsi="Calibri"/>
                <w:color w:val="000000"/>
                <w:sz w:val="20"/>
                <w:szCs w:val="20"/>
              </w:rPr>
            </w:pPr>
            <w:r w:rsidRPr="00303176">
              <w:rPr>
                <w:rFonts w:ascii="Calibri" w:hAnsi="Calibri"/>
                <w:color w:val="000000"/>
                <w:sz w:val="20"/>
                <w:szCs w:val="20"/>
              </w:rPr>
              <w:t>Some College or Associate's Degree</w:t>
            </w:r>
          </w:p>
        </w:tc>
        <w:tc>
          <w:tcPr>
            <w:tcW w:w="1440" w:type="dxa"/>
            <w:tcBorders>
              <w:top w:val="nil"/>
              <w:left w:val="nil"/>
              <w:bottom w:val="nil"/>
              <w:right w:val="single" w:sz="4" w:space="0" w:color="auto"/>
            </w:tcBorders>
            <w:shd w:val="clear" w:color="auto" w:fill="auto"/>
            <w:noWrap/>
            <w:tcMar>
              <w:left w:w="115" w:type="dxa"/>
              <w:right w:w="504"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18.6%</w:t>
            </w:r>
          </w:p>
        </w:tc>
        <w:tc>
          <w:tcPr>
            <w:tcW w:w="1260" w:type="dxa"/>
            <w:tcBorders>
              <w:top w:val="nil"/>
              <w:left w:val="nil"/>
              <w:bottom w:val="nil"/>
              <w:right w:val="nil"/>
            </w:tcBorders>
            <w:shd w:val="clear" w:color="auto" w:fill="auto"/>
            <w:noWrap/>
            <w:tcMar>
              <w:left w:w="115" w:type="dxa"/>
              <w:right w:w="432"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24.7%</w:t>
            </w:r>
          </w:p>
        </w:tc>
        <w:tc>
          <w:tcPr>
            <w:tcW w:w="1170" w:type="dxa"/>
            <w:tcBorders>
              <w:top w:val="nil"/>
              <w:left w:val="single" w:sz="4" w:space="0" w:color="auto"/>
              <w:bottom w:val="nil"/>
              <w:right w:val="single" w:sz="4" w:space="0" w:color="auto"/>
            </w:tcBorders>
            <w:shd w:val="clear" w:color="auto" w:fill="auto"/>
            <w:noWrap/>
            <w:tcMar>
              <w:left w:w="115" w:type="dxa"/>
              <w:right w:w="288"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31.8%</w:t>
            </w:r>
          </w:p>
        </w:tc>
        <w:tc>
          <w:tcPr>
            <w:tcW w:w="1827" w:type="dxa"/>
            <w:tcBorders>
              <w:top w:val="nil"/>
              <w:left w:val="nil"/>
              <w:bottom w:val="nil"/>
              <w:right w:val="single" w:sz="4" w:space="0" w:color="auto"/>
            </w:tcBorders>
            <w:shd w:val="clear" w:color="auto" w:fill="auto"/>
            <w:noWrap/>
            <w:tcMar>
              <w:left w:w="115" w:type="dxa"/>
              <w:right w:w="576"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13.2</w:t>
            </w:r>
          </w:p>
        </w:tc>
      </w:tr>
      <w:tr w:rsidR="00904C03" w:rsidRPr="00904C03" w:rsidTr="0067030F">
        <w:trPr>
          <w:trHeight w:val="300"/>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rsidR="00904C03" w:rsidRPr="00303176" w:rsidRDefault="00904C03" w:rsidP="00901DD9">
            <w:pPr>
              <w:rPr>
                <w:rFonts w:ascii="Calibri" w:hAnsi="Calibri"/>
                <w:color w:val="000000"/>
                <w:sz w:val="20"/>
                <w:szCs w:val="20"/>
              </w:rPr>
            </w:pPr>
            <w:r w:rsidRPr="00303176">
              <w:rPr>
                <w:rFonts w:ascii="Calibri" w:hAnsi="Calibri"/>
                <w:color w:val="000000"/>
                <w:sz w:val="20"/>
                <w:szCs w:val="20"/>
              </w:rPr>
              <w:t>Bachelor's Degree or Higher</w:t>
            </w:r>
          </w:p>
        </w:tc>
        <w:tc>
          <w:tcPr>
            <w:tcW w:w="1440" w:type="dxa"/>
            <w:tcBorders>
              <w:top w:val="nil"/>
              <w:left w:val="nil"/>
              <w:bottom w:val="single" w:sz="4" w:space="0" w:color="auto"/>
              <w:right w:val="single" w:sz="4" w:space="0" w:color="auto"/>
            </w:tcBorders>
            <w:shd w:val="clear" w:color="auto" w:fill="auto"/>
            <w:noWrap/>
            <w:tcMar>
              <w:left w:w="115" w:type="dxa"/>
              <w:right w:w="504"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4.1%</w:t>
            </w:r>
          </w:p>
        </w:tc>
        <w:tc>
          <w:tcPr>
            <w:tcW w:w="1260" w:type="dxa"/>
            <w:tcBorders>
              <w:top w:val="nil"/>
              <w:left w:val="nil"/>
              <w:bottom w:val="single" w:sz="4" w:space="0" w:color="auto"/>
              <w:right w:val="nil"/>
            </w:tcBorders>
            <w:shd w:val="clear" w:color="auto" w:fill="auto"/>
            <w:noWrap/>
            <w:tcMar>
              <w:left w:w="115" w:type="dxa"/>
              <w:right w:w="432"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4.7%</w:t>
            </w:r>
          </w:p>
        </w:tc>
        <w:tc>
          <w:tcPr>
            <w:tcW w:w="1170" w:type="dxa"/>
            <w:tcBorders>
              <w:top w:val="nil"/>
              <w:left w:val="single" w:sz="4" w:space="0" w:color="auto"/>
              <w:bottom w:val="single" w:sz="4" w:space="0" w:color="auto"/>
              <w:right w:val="single" w:sz="4" w:space="0" w:color="auto"/>
            </w:tcBorders>
            <w:shd w:val="clear" w:color="auto" w:fill="auto"/>
            <w:noWrap/>
            <w:tcMar>
              <w:left w:w="115" w:type="dxa"/>
              <w:right w:w="288"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6.0%</w:t>
            </w:r>
          </w:p>
        </w:tc>
        <w:tc>
          <w:tcPr>
            <w:tcW w:w="1827" w:type="dxa"/>
            <w:tcBorders>
              <w:top w:val="nil"/>
              <w:left w:val="nil"/>
              <w:bottom w:val="single" w:sz="4" w:space="0" w:color="auto"/>
              <w:right w:val="single" w:sz="4" w:space="0" w:color="auto"/>
            </w:tcBorders>
            <w:shd w:val="clear" w:color="auto" w:fill="auto"/>
            <w:noWrap/>
            <w:tcMar>
              <w:left w:w="115" w:type="dxa"/>
              <w:right w:w="576" w:type="dxa"/>
            </w:tcMar>
            <w:vAlign w:val="center"/>
            <w:hideMark/>
          </w:tcPr>
          <w:p w:rsidR="00904C03" w:rsidRPr="00303176" w:rsidRDefault="00904C03" w:rsidP="0067030F">
            <w:pPr>
              <w:jc w:val="right"/>
              <w:rPr>
                <w:rFonts w:ascii="Calibri" w:hAnsi="Calibri"/>
                <w:color w:val="000000"/>
                <w:sz w:val="20"/>
                <w:szCs w:val="20"/>
              </w:rPr>
            </w:pPr>
            <w:r w:rsidRPr="00303176">
              <w:rPr>
                <w:rFonts w:ascii="Calibri" w:hAnsi="Calibri"/>
                <w:color w:val="000000"/>
                <w:sz w:val="20"/>
                <w:szCs w:val="20"/>
              </w:rPr>
              <w:t>1.9</w:t>
            </w:r>
          </w:p>
        </w:tc>
      </w:tr>
      <w:tr w:rsidR="0067030F" w:rsidRPr="00904C03" w:rsidTr="00202844">
        <w:trPr>
          <w:trHeight w:val="300"/>
          <w:jc w:val="center"/>
        </w:trPr>
        <w:tc>
          <w:tcPr>
            <w:tcW w:w="90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030F" w:rsidRPr="00303176" w:rsidRDefault="0067030F" w:rsidP="00904C03">
            <w:pPr>
              <w:rPr>
                <w:rFonts w:ascii="Calibri" w:hAnsi="Calibri"/>
                <w:color w:val="000000"/>
                <w:sz w:val="20"/>
                <w:szCs w:val="20"/>
              </w:rPr>
            </w:pPr>
            <w:r w:rsidRPr="00303176">
              <w:rPr>
                <w:rFonts w:ascii="Calibri" w:hAnsi="Calibri"/>
                <w:color w:val="000000"/>
                <w:sz w:val="16"/>
                <w:szCs w:val="16"/>
              </w:rPr>
              <w:t>Source: Integrated Public Use Microdata Series, 1990 and 2000 Census, 2008-2010 ACS</w:t>
            </w:r>
            <w:r w:rsidRPr="00303176">
              <w:rPr>
                <w:rFonts w:ascii="Calibri" w:hAnsi="Calibri"/>
                <w:color w:val="000000"/>
                <w:sz w:val="20"/>
                <w:szCs w:val="20"/>
              </w:rPr>
              <w:t>.</w:t>
            </w:r>
          </w:p>
        </w:tc>
      </w:tr>
    </w:tbl>
    <w:p w:rsidR="00254B3A" w:rsidRPr="000548CF" w:rsidRDefault="00285CE2" w:rsidP="000548CF">
      <w:pPr>
        <w:pStyle w:val="BodyText"/>
      </w:pPr>
      <w:r w:rsidRPr="000548CF">
        <w:t xml:space="preserve">While the educational </w:t>
      </w:r>
      <w:r w:rsidR="00EA7193" w:rsidRPr="000548CF">
        <w:t xml:space="preserve">attainment </w:t>
      </w:r>
      <w:r w:rsidRPr="000548CF">
        <w:t xml:space="preserve">of manufacturing workers is increasing, so is the average age. </w:t>
      </w:r>
      <w:r w:rsidR="00E61383" w:rsidRPr="000548CF">
        <w:t xml:space="preserve">For all wage and salary workers, </w:t>
      </w:r>
      <w:r w:rsidR="009B0954" w:rsidRPr="000548CF">
        <w:t>th</w:t>
      </w:r>
      <w:r w:rsidR="00C27D2B" w:rsidRPr="000548CF">
        <w:t xml:space="preserve">e influence of the aging population, </w:t>
      </w:r>
      <w:r w:rsidR="00EA7193" w:rsidRPr="000548CF">
        <w:t xml:space="preserve">the </w:t>
      </w:r>
      <w:r w:rsidR="00C27D2B" w:rsidRPr="000548CF">
        <w:t xml:space="preserve">rising labor force participation rate of the older population, and </w:t>
      </w:r>
      <w:r w:rsidR="00EA7193" w:rsidRPr="000548CF">
        <w:t xml:space="preserve">the </w:t>
      </w:r>
      <w:r w:rsidR="00C27D2B" w:rsidRPr="000548CF">
        <w:t>falling participation rate of younger workers on employment demographics during the past ten years was significant.</w:t>
      </w:r>
      <w:r w:rsidR="00EA64ED" w:rsidRPr="000548CF">
        <w:t xml:space="preserve"> </w:t>
      </w:r>
      <w:r w:rsidR="000B7C39" w:rsidRPr="000548CF">
        <w:t>W</w:t>
      </w:r>
      <w:r w:rsidR="00EA64ED" w:rsidRPr="000548CF">
        <w:t>orker</w:t>
      </w:r>
      <w:r w:rsidR="00494452" w:rsidRPr="000548CF">
        <w:t>s age 55 and over comprised 23</w:t>
      </w:r>
      <w:r w:rsidR="00EA64ED" w:rsidRPr="000548CF">
        <w:t xml:space="preserve"> percent of total employment for 2011, up from 13 percent for 2001.</w:t>
      </w:r>
      <w:r w:rsidR="00DD1D13" w:rsidRPr="000548CF">
        <w:t xml:space="preserve"> Conversely, the percentage of workers under </w:t>
      </w:r>
      <w:r w:rsidR="00F762B7" w:rsidRPr="000548CF">
        <w:t xml:space="preserve">the </w:t>
      </w:r>
      <w:r w:rsidR="00494452" w:rsidRPr="000548CF">
        <w:t>age of 45 fell from 63 to 52</w:t>
      </w:r>
      <w:r w:rsidR="00DD1D13" w:rsidRPr="000548CF">
        <w:t xml:space="preserve"> percent.</w:t>
      </w:r>
    </w:p>
    <w:p w:rsidR="00DD1D13" w:rsidRDefault="00AD7FCD" w:rsidP="004125F8">
      <w:pPr>
        <w:pStyle w:val="BodyText"/>
        <w:jc w:val="center"/>
      </w:pPr>
      <w:r>
        <w:object w:dxaOrig="7194" w:dyaOrig="4081">
          <v:shape id="_x0000_i1029" type="#_x0000_t75" alt="See companion excel file - http://www.maine.gov/labor/cwri/publications/Excel/Manufacturing_a_sector_in_transition_charts.xlsx - Table five." style="width:5in;height:204.3pt" o:ole="">
            <v:imagedata r:id="rId24" o:title=""/>
          </v:shape>
          <o:OLEObject Type="Embed" ProgID="Excel.Sheet.12" ShapeID="_x0000_i1029" DrawAspect="Content" ObjectID="_1406964991" r:id="rId25"/>
        </w:object>
      </w:r>
    </w:p>
    <w:p w:rsidR="00DD1D13" w:rsidRPr="00A9280A" w:rsidRDefault="004D4A09" w:rsidP="00A9280A">
      <w:pPr>
        <w:pStyle w:val="BodyText"/>
      </w:pPr>
      <w:r w:rsidRPr="00A9280A">
        <w:t>M</w:t>
      </w:r>
      <w:r w:rsidR="00DD1D13" w:rsidRPr="00A9280A">
        <w:t>anufacturing workers</w:t>
      </w:r>
      <w:r w:rsidRPr="00A9280A">
        <w:t>, on average,</w:t>
      </w:r>
      <w:r w:rsidR="00DD1D13" w:rsidRPr="00A9280A">
        <w:t xml:space="preserve"> are older </w:t>
      </w:r>
      <w:r w:rsidR="005F0121" w:rsidRPr="00A9280A">
        <w:t xml:space="preserve">than </w:t>
      </w:r>
      <w:r w:rsidR="00B23942" w:rsidRPr="00A9280A">
        <w:t xml:space="preserve">other </w:t>
      </w:r>
      <w:r w:rsidR="000A5439" w:rsidRPr="00A9280A">
        <w:t>workers</w:t>
      </w:r>
      <w:r w:rsidR="00DD1D13" w:rsidRPr="00A9280A">
        <w:t xml:space="preserve">. </w:t>
      </w:r>
      <w:r w:rsidR="00E61383">
        <w:t>This is due in part to the relative lack of hiring in the manufacturing sector and the resultant aging of the workforce</w:t>
      </w:r>
      <w:r w:rsidR="00D27736">
        <w:t xml:space="preserve"> in place</w:t>
      </w:r>
      <w:r w:rsidR="00E61383">
        <w:t xml:space="preserve">. </w:t>
      </w:r>
      <w:r w:rsidRPr="00A9280A">
        <w:t>Those</w:t>
      </w:r>
      <w:r w:rsidR="007F5FE8" w:rsidRPr="00A9280A">
        <w:t xml:space="preserve"> 45 years of age or older account for 58 percent of the manufacturing workforce</w:t>
      </w:r>
      <w:r w:rsidR="00DA17DB">
        <w:t>,</w:t>
      </w:r>
      <w:r w:rsidR="007F5FE8" w:rsidRPr="00A9280A">
        <w:t xml:space="preserve"> compared to 47 percent for all other industries</w:t>
      </w:r>
      <w:r w:rsidR="00B23942" w:rsidRPr="00A9280A">
        <w:t xml:space="preserve"> combined</w:t>
      </w:r>
      <w:r w:rsidR="007F5FE8" w:rsidRPr="00A9280A">
        <w:t xml:space="preserve">. </w:t>
      </w:r>
      <w:r w:rsidR="009126CD" w:rsidRPr="00A9280A">
        <w:t>With many of these workers at or nearing retirement age</w:t>
      </w:r>
      <w:r w:rsidR="004F5E53" w:rsidRPr="00A9280A">
        <w:t xml:space="preserve">, </w:t>
      </w:r>
      <w:r w:rsidR="009126CD" w:rsidRPr="00A9280A">
        <w:t>replace</w:t>
      </w:r>
      <w:r w:rsidR="004F5E53" w:rsidRPr="00A9280A">
        <w:t>ment</w:t>
      </w:r>
      <w:r w:rsidR="00494452">
        <w:t xml:space="preserve"> has become a</w:t>
      </w:r>
      <w:r w:rsidR="009126CD" w:rsidRPr="00A9280A">
        <w:t xml:space="preserve"> </w:t>
      </w:r>
      <w:r w:rsidR="00494452">
        <w:t xml:space="preserve">major </w:t>
      </w:r>
      <w:r w:rsidR="009126CD" w:rsidRPr="00A9280A">
        <w:t>issue.</w:t>
      </w:r>
    </w:p>
    <w:p w:rsidR="001A5824" w:rsidRDefault="00AD7FCD" w:rsidP="004125F8">
      <w:pPr>
        <w:pStyle w:val="BodyText"/>
        <w:jc w:val="center"/>
      </w:pPr>
      <w:r>
        <w:object w:dxaOrig="7194" w:dyaOrig="4081">
          <v:shape id="_x0000_i1030" type="#_x0000_t75" alt="See companion excel file - http://www.maine.gov/labor/cwri/publications/Excel/Manufacturing_a_sector_in_transition_charts.xlsx - See companion excel file, table six." style="width:5in;height:204.3pt" o:ole="">
            <v:imagedata r:id="rId26" o:title=""/>
          </v:shape>
          <o:OLEObject Type="Embed" ProgID="Excel.Sheet.12" ShapeID="_x0000_i1030" DrawAspect="Content" ObjectID="_1406964992" r:id="rId27"/>
        </w:object>
      </w:r>
    </w:p>
    <w:p w:rsidR="000A08FC" w:rsidRDefault="00BD72E0" w:rsidP="000A08FC">
      <w:pPr>
        <w:pStyle w:val="Heading2"/>
      </w:pPr>
      <w:r>
        <w:t>Openings for m</w:t>
      </w:r>
      <w:r w:rsidR="002C69EA">
        <w:t xml:space="preserve">anufacturing workers </w:t>
      </w:r>
      <w:r>
        <w:t>exist today</w:t>
      </w:r>
    </w:p>
    <w:p w:rsidR="00027175" w:rsidRDefault="00AA3137" w:rsidP="00027175">
      <w:pPr>
        <w:pStyle w:val="BodyText"/>
      </w:pPr>
      <w:r>
        <w:t>The changing needs of m</w:t>
      </w:r>
      <w:r w:rsidR="00027175">
        <w:t xml:space="preserve">anufacturing employers </w:t>
      </w:r>
      <w:r>
        <w:t>have resulted in the use of more highly trained workers</w:t>
      </w:r>
      <w:r w:rsidR="00AE1C42">
        <w:t>, and the current demand for them</w:t>
      </w:r>
      <w:r w:rsidR="00027175">
        <w:t xml:space="preserve"> has translated into unfilled job openings.</w:t>
      </w:r>
      <w:r w:rsidR="00D375D9">
        <w:t xml:space="preserve"> According to a </w:t>
      </w:r>
      <w:r w:rsidR="005A7C56">
        <w:t xml:space="preserve">national </w:t>
      </w:r>
      <w:r w:rsidR="00D375D9">
        <w:t>survey</w:t>
      </w:r>
      <w:r w:rsidR="00585728">
        <w:t>,</w:t>
      </w:r>
      <w:r w:rsidR="00D375D9">
        <w:t xml:space="preserve"> conducted </w:t>
      </w:r>
      <w:r w:rsidR="00585728">
        <w:t xml:space="preserve">jointly </w:t>
      </w:r>
      <w:r w:rsidR="00D375D9">
        <w:t>by the Manufacturing Institute and Deloitte</w:t>
      </w:r>
      <w:r w:rsidR="00585728">
        <w:t>,</w:t>
      </w:r>
      <w:r w:rsidR="00D375D9">
        <w:t xml:space="preserve"> published September 2011, American manufacturing companies could not fill as many as 600,000 skilled positions. Their analysis </w:t>
      </w:r>
      <w:r w:rsidR="000A5439">
        <w:t>indicated</w:t>
      </w:r>
      <w:r w:rsidR="00D375D9">
        <w:t xml:space="preserve"> “the changing nature of manufacturing work is making it harder for talent to keep up” and “the skills gap is expected to take the biggest toll on skilled production jobs</w:t>
      </w:r>
      <w:r w:rsidR="00DF1147">
        <w:t>….”</w:t>
      </w:r>
    </w:p>
    <w:p w:rsidR="008967D3" w:rsidRDefault="00AD7FCD" w:rsidP="008967D3">
      <w:pPr>
        <w:pStyle w:val="BodyText"/>
        <w:jc w:val="center"/>
      </w:pPr>
      <w:r>
        <w:object w:dxaOrig="8107" w:dyaOrig="6182">
          <v:shape id="_x0000_i1031" type="#_x0000_t75" alt="See companion excel file - http://www.maine.gov/labor/cwri/publications/Excel/Manufacturing_a_sector_in_transition_charts.xlsx - See companion excel file, table seven." style="width:405.2pt;height:308.95pt" o:ole="">
            <v:imagedata r:id="rId28" o:title=""/>
          </v:shape>
          <o:OLEObject Type="Embed" ProgID="Excel.Sheet.12" ShapeID="_x0000_i1031" DrawAspect="Content" ObjectID="_1406964993" r:id="rId29"/>
        </w:object>
      </w:r>
    </w:p>
    <w:p w:rsidR="005A7C56" w:rsidRDefault="005A7C56" w:rsidP="00027175">
      <w:pPr>
        <w:pStyle w:val="BodyText"/>
      </w:pPr>
      <w:r>
        <w:t>In Maine,</w:t>
      </w:r>
      <w:r w:rsidR="00847F77">
        <w:t xml:space="preserve"> </w:t>
      </w:r>
      <w:r w:rsidR="005635EA">
        <w:t xml:space="preserve">reflective </w:t>
      </w:r>
      <w:r w:rsidR="006C1C99">
        <w:t xml:space="preserve">in part </w:t>
      </w:r>
      <w:r w:rsidR="005635EA">
        <w:t xml:space="preserve">of the skills gap, </w:t>
      </w:r>
      <w:r w:rsidR="00020C7C">
        <w:t xml:space="preserve">there were </w:t>
      </w:r>
      <w:r w:rsidR="00917AA9">
        <w:t>615</w:t>
      </w:r>
      <w:r w:rsidR="00020C7C">
        <w:t xml:space="preserve"> job postings for </w:t>
      </w:r>
      <w:r w:rsidR="00A82A2A">
        <w:t>production</w:t>
      </w:r>
      <w:r w:rsidR="006A0D9A">
        <w:t xml:space="preserve"> </w:t>
      </w:r>
      <w:r w:rsidR="00B34889">
        <w:t>occupations</w:t>
      </w:r>
      <w:r w:rsidR="00A82A2A">
        <w:t xml:space="preserve"> (mostly in manufacturing) </w:t>
      </w:r>
      <w:r w:rsidR="00FE6341">
        <w:t xml:space="preserve">in </w:t>
      </w:r>
      <w:r w:rsidR="00B34889">
        <w:t>June 2012</w:t>
      </w:r>
      <w:r w:rsidR="005E3951">
        <w:t xml:space="preserve"> </w:t>
      </w:r>
      <w:r w:rsidR="00FE6341">
        <w:t>according to Wanted Analytics. S</w:t>
      </w:r>
      <w:r>
        <w:t>urveys by the Manufacturers Association of Maine and others have found many job openings going unfilled, particularly for machinists and other precision manufacturing occupations.</w:t>
      </w:r>
    </w:p>
    <w:p w:rsidR="0079381D" w:rsidRDefault="00461DE9" w:rsidP="0079381D">
      <w:pPr>
        <w:pStyle w:val="Heading2"/>
      </w:pPr>
      <w:r>
        <w:t>Going Forward</w:t>
      </w:r>
    </w:p>
    <w:p w:rsidR="00537DA5" w:rsidRDefault="004B11AC" w:rsidP="00537DA5">
      <w:pPr>
        <w:pStyle w:val="BodyText"/>
      </w:pPr>
      <w:r>
        <w:t xml:space="preserve">The outlook for manufacturing </w:t>
      </w:r>
      <w:r w:rsidR="00F535E4">
        <w:t>may be</w:t>
      </w:r>
      <w:r>
        <w:t xml:space="preserve"> improving. </w:t>
      </w:r>
      <w:r w:rsidRPr="00B81023">
        <w:t xml:space="preserve">Global competition has seen rising costs, particularly </w:t>
      </w:r>
      <w:r w:rsidR="00AD731F">
        <w:t xml:space="preserve">in </w:t>
      </w:r>
      <w:r w:rsidRPr="00B81023">
        <w:t>China. The Boston Consulting Group indicate</w:t>
      </w:r>
      <w:r>
        <w:t>d</w:t>
      </w:r>
      <w:r w:rsidRPr="00B81023">
        <w:t xml:space="preserve"> that conditions are ripe for </w:t>
      </w:r>
      <w:r w:rsidR="000A5439" w:rsidRPr="00B81023">
        <w:t>resurgence</w:t>
      </w:r>
      <w:r w:rsidRPr="00B81023">
        <w:t xml:space="preserve"> in manufacturing. They found that “rising wages, shipping costs, and land prices</w:t>
      </w:r>
      <w:r>
        <w:t xml:space="preserve"> … </w:t>
      </w:r>
      <w:r w:rsidRPr="00B81023">
        <w:t>are rapidly eroding China’s cost advantages.”</w:t>
      </w:r>
      <w:r w:rsidR="00537DA5">
        <w:t xml:space="preserve"> </w:t>
      </w:r>
      <w:r w:rsidR="00537DA5" w:rsidRPr="00B81023">
        <w:t>This does not necessarily mean that Chinese manufacturing will decline, but it does mean that companies will begin to look at alternatives to locating in China.</w:t>
      </w:r>
    </w:p>
    <w:p w:rsidR="002D0545" w:rsidRDefault="000A2602" w:rsidP="00537DA5">
      <w:pPr>
        <w:pStyle w:val="BodyText"/>
      </w:pPr>
      <w:r>
        <w:t>Such factors as t</w:t>
      </w:r>
      <w:r w:rsidR="004B1F5D">
        <w:t xml:space="preserve">he rising costs of </w:t>
      </w:r>
      <w:r w:rsidR="000A5439">
        <w:t>offshore</w:t>
      </w:r>
      <w:r w:rsidR="004B1F5D">
        <w:t xml:space="preserve"> competitors, </w:t>
      </w:r>
      <w:r>
        <w:t xml:space="preserve">the increasing </w:t>
      </w:r>
      <w:r w:rsidR="004B1F5D">
        <w:t>innovati</w:t>
      </w:r>
      <w:r>
        <w:t>on of</w:t>
      </w:r>
      <w:r w:rsidR="004B1F5D">
        <w:t xml:space="preserve"> employers, and </w:t>
      </w:r>
      <w:r>
        <w:t xml:space="preserve">the </w:t>
      </w:r>
      <w:r w:rsidR="004B1F5D">
        <w:t>increas</w:t>
      </w:r>
      <w:r>
        <w:t>ing</w:t>
      </w:r>
      <w:r w:rsidR="004B1F5D">
        <w:t xml:space="preserve"> use of technology are improving the competiveness of </w:t>
      </w:r>
      <w:r w:rsidR="00C25C1D">
        <w:t>many manufacturers</w:t>
      </w:r>
      <w:r w:rsidR="004B1F5D">
        <w:t xml:space="preserve">. </w:t>
      </w:r>
      <w:r w:rsidR="002E5714">
        <w:t>A prime example is the growing success of specialized, quality-focused durable goods manufacturers.</w:t>
      </w:r>
    </w:p>
    <w:p w:rsidR="002D0545" w:rsidRDefault="002D0545" w:rsidP="00537DA5">
      <w:pPr>
        <w:pStyle w:val="BodyText"/>
      </w:pPr>
      <w:r>
        <w:t>Employment growth in industries depends on output and worker productivity (how much each worker produces). Labor</w:t>
      </w:r>
      <w:r w:rsidR="000327B7">
        <w:t>-</w:t>
      </w:r>
      <w:r>
        <w:t xml:space="preserve">saving technologies and methods can increase productivity, limiting employment growth even as output increases. While technology-driven productivity growth does reduce the need for workers for a given amount of production, it also reduces the cost of goods and the market for them expands. </w:t>
      </w:r>
      <w:r w:rsidR="008018CD">
        <w:t>Increased productivity</w:t>
      </w:r>
      <w:r>
        <w:t xml:space="preserve"> is a primary reason for forecasted manufacturing employment declines between 2010 and 2020, both nationally and in Maine.</w:t>
      </w:r>
    </w:p>
    <w:p w:rsidR="00DA29B1" w:rsidRDefault="00DA29B1" w:rsidP="00537DA5">
      <w:pPr>
        <w:pStyle w:val="BodyText"/>
      </w:pPr>
      <w:r>
        <w:t xml:space="preserve">Nationally, projections developed by the U.S. Bureau of Labor Statistics indicate that output is expected to increase from nearly $4.4 trillion in 2010 to $5.7 trillion in 2020, compared to a loss of $222.1 billion </w:t>
      </w:r>
      <w:r>
        <w:lastRenderedPageBreak/>
        <w:t>between 2000 and 2010.</w:t>
      </w:r>
      <w:r w:rsidR="00A7317D">
        <w:t xml:space="preserve"> However, manufacturing employment is expected to fall 73,000, driven by increased productivity gains.</w:t>
      </w:r>
      <w:r w:rsidR="00BA6A64">
        <w:t xml:space="preserve"> This compares to 5.7 million jobs lost between 2000 and 2010.</w:t>
      </w:r>
    </w:p>
    <w:p w:rsidR="00BA6A64" w:rsidRDefault="002744EB" w:rsidP="00537DA5">
      <w:pPr>
        <w:pStyle w:val="BodyText"/>
      </w:pPr>
      <w:r>
        <w:t xml:space="preserve">The Center for Workforce </w:t>
      </w:r>
      <w:r w:rsidR="00230BA1">
        <w:t xml:space="preserve">Research and </w:t>
      </w:r>
      <w:r>
        <w:t>Information</w:t>
      </w:r>
      <w:r w:rsidR="00494452">
        <w:t xml:space="preserve"> of the </w:t>
      </w:r>
      <w:r w:rsidR="0019715B">
        <w:t>Maine Department of Labor</w:t>
      </w:r>
      <w:r>
        <w:t xml:space="preserve"> projects manufacturing employment </w:t>
      </w:r>
      <w:r w:rsidR="00757E32">
        <w:t xml:space="preserve">in Maine </w:t>
      </w:r>
      <w:r>
        <w:t>will fall 6,700 between 2010 and 2020, after dropping 2</w:t>
      </w:r>
      <w:r w:rsidR="00230BA1">
        <w:t>8</w:t>
      </w:r>
      <w:r>
        <w:t>,</w:t>
      </w:r>
      <w:r w:rsidR="00230BA1">
        <w:t>7</w:t>
      </w:r>
      <w:r>
        <w:t>00 between 2000 and 2010.</w:t>
      </w:r>
      <w:r w:rsidR="0019715B">
        <w:t xml:space="preserve"> The decrease in employment </w:t>
      </w:r>
      <w:r w:rsidR="00284887">
        <w:t>may be</w:t>
      </w:r>
      <w:r w:rsidR="00625E4D">
        <w:t xml:space="preserve"> attributed to</w:t>
      </w:r>
      <w:r w:rsidR="0019715B">
        <w:t xml:space="preserve"> a combination of productivity gains</w:t>
      </w:r>
      <w:r w:rsidR="00230BA1">
        <w:t xml:space="preserve"> and</w:t>
      </w:r>
      <w:r w:rsidR="0019715B">
        <w:t xml:space="preserve"> </w:t>
      </w:r>
      <w:r w:rsidR="00C25C1D">
        <w:t xml:space="preserve">continued </w:t>
      </w:r>
      <w:r w:rsidR="0019715B">
        <w:t>import competition.</w:t>
      </w:r>
    </w:p>
    <w:tbl>
      <w:tblPr>
        <w:tblW w:w="8115" w:type="dxa"/>
        <w:jc w:val="center"/>
        <w:tblLook w:val="04A0" w:firstRow="1" w:lastRow="0" w:firstColumn="1" w:lastColumn="0" w:noHBand="0" w:noVBand="1"/>
      </w:tblPr>
      <w:tblGrid>
        <w:gridCol w:w="3885"/>
        <w:gridCol w:w="1167"/>
        <w:gridCol w:w="993"/>
        <w:gridCol w:w="990"/>
        <w:gridCol w:w="1080"/>
      </w:tblGrid>
      <w:tr w:rsidR="00042482" w:rsidRPr="00042482" w:rsidTr="0067030F">
        <w:trPr>
          <w:trHeight w:val="255"/>
          <w:jc w:val="center"/>
        </w:trPr>
        <w:tc>
          <w:tcPr>
            <w:tcW w:w="8115" w:type="dxa"/>
            <w:gridSpan w:val="5"/>
            <w:tcBorders>
              <w:top w:val="single" w:sz="4" w:space="0" w:color="auto"/>
              <w:left w:val="single" w:sz="4" w:space="0" w:color="auto"/>
              <w:bottom w:val="nil"/>
              <w:right w:val="single" w:sz="4" w:space="0" w:color="000000"/>
            </w:tcBorders>
            <w:shd w:val="clear" w:color="auto" w:fill="auto"/>
            <w:noWrap/>
            <w:hideMark/>
          </w:tcPr>
          <w:p w:rsidR="00042482" w:rsidRPr="00042482" w:rsidRDefault="00042482" w:rsidP="00042482">
            <w:pPr>
              <w:jc w:val="center"/>
              <w:rPr>
                <w:rFonts w:ascii="Calibri" w:hAnsi="Calibri" w:cs="Arial"/>
                <w:b/>
                <w:bCs/>
                <w:sz w:val="20"/>
                <w:szCs w:val="20"/>
              </w:rPr>
            </w:pPr>
            <w:r w:rsidRPr="00042482">
              <w:rPr>
                <w:rFonts w:ascii="Calibri" w:hAnsi="Calibri" w:cs="Arial"/>
                <w:b/>
                <w:bCs/>
                <w:sz w:val="20"/>
                <w:szCs w:val="20"/>
              </w:rPr>
              <w:t>Employment Projections to 2020 for Manufacturing Industries in Maine</w:t>
            </w:r>
          </w:p>
        </w:tc>
      </w:tr>
      <w:tr w:rsidR="00042482" w:rsidRPr="00042482" w:rsidTr="0067030F">
        <w:trPr>
          <w:trHeight w:val="255"/>
          <w:jc w:val="center"/>
        </w:trPr>
        <w:tc>
          <w:tcPr>
            <w:tcW w:w="8115" w:type="dxa"/>
            <w:gridSpan w:val="5"/>
            <w:tcBorders>
              <w:top w:val="nil"/>
              <w:left w:val="single" w:sz="4" w:space="0" w:color="auto"/>
              <w:bottom w:val="single" w:sz="4" w:space="0" w:color="auto"/>
              <w:right w:val="single" w:sz="4" w:space="0" w:color="000000"/>
            </w:tcBorders>
            <w:shd w:val="clear" w:color="auto" w:fill="auto"/>
            <w:noWrap/>
            <w:hideMark/>
          </w:tcPr>
          <w:p w:rsidR="00042482" w:rsidRPr="00042482" w:rsidRDefault="00042482" w:rsidP="00042482">
            <w:pPr>
              <w:jc w:val="center"/>
              <w:rPr>
                <w:rFonts w:ascii="Calibri" w:hAnsi="Calibri" w:cs="Arial"/>
                <w:b/>
                <w:bCs/>
                <w:sz w:val="20"/>
                <w:szCs w:val="20"/>
              </w:rPr>
            </w:pPr>
            <w:r w:rsidRPr="00042482">
              <w:rPr>
                <w:rFonts w:ascii="Calibri" w:hAnsi="Calibri" w:cs="Arial"/>
                <w:b/>
                <w:bCs/>
                <w:sz w:val="20"/>
                <w:szCs w:val="20"/>
              </w:rPr>
              <w:t>(sorted by net change)</w:t>
            </w:r>
          </w:p>
        </w:tc>
      </w:tr>
      <w:tr w:rsidR="00042482" w:rsidRPr="00042482" w:rsidTr="0067030F">
        <w:trPr>
          <w:trHeight w:val="255"/>
          <w:jc w:val="center"/>
        </w:trPr>
        <w:tc>
          <w:tcPr>
            <w:tcW w:w="38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2482" w:rsidRPr="00042482" w:rsidRDefault="00042482" w:rsidP="00042482">
            <w:pPr>
              <w:jc w:val="center"/>
              <w:rPr>
                <w:rFonts w:ascii="Calibri" w:hAnsi="Calibri" w:cs="Arial"/>
                <w:b/>
                <w:bCs/>
                <w:sz w:val="20"/>
                <w:szCs w:val="20"/>
              </w:rPr>
            </w:pPr>
            <w:r w:rsidRPr="00042482">
              <w:rPr>
                <w:rFonts w:ascii="Calibri" w:hAnsi="Calibri" w:cs="Arial"/>
                <w:b/>
                <w:bCs/>
                <w:sz w:val="20"/>
                <w:szCs w:val="20"/>
              </w:rPr>
              <w:t>Industry</w:t>
            </w:r>
          </w:p>
        </w:tc>
        <w:tc>
          <w:tcPr>
            <w:tcW w:w="1167" w:type="dxa"/>
            <w:vMerge w:val="restart"/>
            <w:tcBorders>
              <w:top w:val="nil"/>
              <w:left w:val="single" w:sz="4" w:space="0" w:color="auto"/>
              <w:bottom w:val="single" w:sz="4" w:space="0" w:color="000000"/>
              <w:right w:val="nil"/>
            </w:tcBorders>
            <w:shd w:val="clear" w:color="auto" w:fill="auto"/>
            <w:noWrap/>
            <w:vAlign w:val="center"/>
            <w:hideMark/>
          </w:tcPr>
          <w:p w:rsidR="00042482" w:rsidRPr="00042482" w:rsidRDefault="00042482" w:rsidP="00042482">
            <w:pPr>
              <w:jc w:val="center"/>
              <w:rPr>
                <w:rFonts w:ascii="Calibri" w:hAnsi="Calibri" w:cs="Arial"/>
                <w:b/>
                <w:bCs/>
                <w:sz w:val="20"/>
                <w:szCs w:val="20"/>
              </w:rPr>
            </w:pPr>
            <w:r w:rsidRPr="00042482">
              <w:rPr>
                <w:rFonts w:ascii="Calibri" w:hAnsi="Calibri" w:cs="Arial"/>
                <w:b/>
                <w:bCs/>
                <w:sz w:val="20"/>
                <w:szCs w:val="20"/>
              </w:rPr>
              <w:t>2010</w:t>
            </w:r>
          </w:p>
        </w:tc>
        <w:tc>
          <w:tcPr>
            <w:tcW w:w="9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42482" w:rsidRPr="00042482" w:rsidRDefault="00042482" w:rsidP="00042482">
            <w:pPr>
              <w:jc w:val="center"/>
              <w:rPr>
                <w:rFonts w:ascii="Calibri" w:hAnsi="Calibri" w:cs="Arial"/>
                <w:b/>
                <w:bCs/>
                <w:sz w:val="20"/>
                <w:szCs w:val="20"/>
              </w:rPr>
            </w:pPr>
            <w:r w:rsidRPr="00042482">
              <w:rPr>
                <w:rFonts w:ascii="Calibri" w:hAnsi="Calibri" w:cs="Arial"/>
                <w:b/>
                <w:bCs/>
                <w:sz w:val="20"/>
                <w:szCs w:val="20"/>
              </w:rPr>
              <w:t>2020</w:t>
            </w:r>
          </w:p>
        </w:tc>
        <w:tc>
          <w:tcPr>
            <w:tcW w:w="207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42482" w:rsidRPr="00042482" w:rsidRDefault="00042482" w:rsidP="00042482">
            <w:pPr>
              <w:jc w:val="center"/>
              <w:rPr>
                <w:rFonts w:ascii="Calibri" w:hAnsi="Calibri" w:cs="Arial"/>
                <w:b/>
                <w:bCs/>
                <w:sz w:val="20"/>
                <w:szCs w:val="20"/>
              </w:rPr>
            </w:pPr>
            <w:r w:rsidRPr="00042482">
              <w:rPr>
                <w:rFonts w:ascii="Calibri" w:hAnsi="Calibri" w:cs="Arial"/>
                <w:b/>
                <w:bCs/>
                <w:sz w:val="20"/>
                <w:szCs w:val="20"/>
              </w:rPr>
              <w:t>Change</w:t>
            </w:r>
          </w:p>
        </w:tc>
      </w:tr>
      <w:tr w:rsidR="00042482" w:rsidRPr="00042482" w:rsidTr="0067030F">
        <w:trPr>
          <w:trHeight w:val="255"/>
          <w:jc w:val="center"/>
        </w:trPr>
        <w:tc>
          <w:tcPr>
            <w:tcW w:w="3885" w:type="dxa"/>
            <w:vMerge/>
            <w:tcBorders>
              <w:top w:val="nil"/>
              <w:left w:val="single" w:sz="4" w:space="0" w:color="auto"/>
              <w:bottom w:val="single" w:sz="4" w:space="0" w:color="000000"/>
              <w:right w:val="single" w:sz="4" w:space="0" w:color="auto"/>
            </w:tcBorders>
            <w:vAlign w:val="center"/>
            <w:hideMark/>
          </w:tcPr>
          <w:p w:rsidR="00042482" w:rsidRPr="00042482" w:rsidRDefault="00042482" w:rsidP="00042482">
            <w:pPr>
              <w:rPr>
                <w:rFonts w:ascii="Calibri" w:hAnsi="Calibri" w:cs="Arial"/>
                <w:b/>
                <w:bCs/>
                <w:sz w:val="20"/>
                <w:szCs w:val="20"/>
              </w:rPr>
            </w:pPr>
          </w:p>
        </w:tc>
        <w:tc>
          <w:tcPr>
            <w:tcW w:w="1167" w:type="dxa"/>
            <w:vMerge/>
            <w:tcBorders>
              <w:top w:val="nil"/>
              <w:left w:val="single" w:sz="4" w:space="0" w:color="auto"/>
              <w:bottom w:val="single" w:sz="4" w:space="0" w:color="000000"/>
              <w:right w:val="nil"/>
            </w:tcBorders>
            <w:vAlign w:val="center"/>
            <w:hideMark/>
          </w:tcPr>
          <w:p w:rsidR="00042482" w:rsidRPr="00042482" w:rsidRDefault="00042482" w:rsidP="00042482">
            <w:pPr>
              <w:rPr>
                <w:rFonts w:ascii="Calibri" w:hAnsi="Calibri" w:cs="Arial"/>
                <w:b/>
                <w:bCs/>
                <w:sz w:val="20"/>
                <w:szCs w:val="20"/>
              </w:rPr>
            </w:pPr>
          </w:p>
        </w:tc>
        <w:tc>
          <w:tcPr>
            <w:tcW w:w="993" w:type="dxa"/>
            <w:vMerge/>
            <w:tcBorders>
              <w:top w:val="nil"/>
              <w:left w:val="single" w:sz="4" w:space="0" w:color="auto"/>
              <w:bottom w:val="single" w:sz="4" w:space="0" w:color="000000"/>
              <w:right w:val="single" w:sz="4" w:space="0" w:color="auto"/>
            </w:tcBorders>
            <w:vAlign w:val="center"/>
            <w:hideMark/>
          </w:tcPr>
          <w:p w:rsidR="00042482" w:rsidRPr="00042482" w:rsidRDefault="00042482" w:rsidP="00042482">
            <w:pPr>
              <w:rPr>
                <w:rFonts w:ascii="Calibri" w:hAnsi="Calibri" w:cs="Arial"/>
                <w:b/>
                <w:bCs/>
                <w:sz w:val="20"/>
                <w:szCs w:val="20"/>
              </w:rPr>
            </w:pPr>
          </w:p>
        </w:tc>
        <w:tc>
          <w:tcPr>
            <w:tcW w:w="990" w:type="dxa"/>
            <w:tcBorders>
              <w:top w:val="nil"/>
              <w:left w:val="nil"/>
              <w:bottom w:val="single" w:sz="4" w:space="0" w:color="auto"/>
              <w:right w:val="single" w:sz="4" w:space="0" w:color="auto"/>
            </w:tcBorders>
            <w:shd w:val="clear" w:color="auto" w:fill="auto"/>
            <w:noWrap/>
            <w:vAlign w:val="bottom"/>
            <w:hideMark/>
          </w:tcPr>
          <w:p w:rsidR="00042482" w:rsidRPr="00042482" w:rsidRDefault="00042482" w:rsidP="00042482">
            <w:pPr>
              <w:jc w:val="center"/>
              <w:rPr>
                <w:rFonts w:ascii="Calibri" w:hAnsi="Calibri" w:cs="Arial"/>
                <w:b/>
                <w:bCs/>
                <w:sz w:val="20"/>
                <w:szCs w:val="20"/>
              </w:rPr>
            </w:pPr>
            <w:r w:rsidRPr="00042482">
              <w:rPr>
                <w:rFonts w:ascii="Calibri" w:hAnsi="Calibri" w:cs="Arial"/>
                <w:b/>
                <w:bCs/>
                <w:sz w:val="20"/>
                <w:szCs w:val="20"/>
              </w:rPr>
              <w:t>Net</w:t>
            </w:r>
          </w:p>
        </w:tc>
        <w:tc>
          <w:tcPr>
            <w:tcW w:w="1080" w:type="dxa"/>
            <w:tcBorders>
              <w:top w:val="nil"/>
              <w:left w:val="nil"/>
              <w:bottom w:val="single" w:sz="4" w:space="0" w:color="auto"/>
              <w:right w:val="single" w:sz="4" w:space="0" w:color="auto"/>
            </w:tcBorders>
            <w:shd w:val="clear" w:color="auto" w:fill="auto"/>
            <w:noWrap/>
            <w:vAlign w:val="bottom"/>
            <w:hideMark/>
          </w:tcPr>
          <w:p w:rsidR="00042482" w:rsidRPr="00042482" w:rsidRDefault="00042482" w:rsidP="00042482">
            <w:pPr>
              <w:jc w:val="center"/>
              <w:rPr>
                <w:rFonts w:ascii="Calibri" w:hAnsi="Calibri" w:cs="Arial"/>
                <w:b/>
                <w:bCs/>
                <w:sz w:val="20"/>
                <w:szCs w:val="20"/>
              </w:rPr>
            </w:pPr>
            <w:r w:rsidRPr="00042482">
              <w:rPr>
                <w:rFonts w:ascii="Calibri" w:hAnsi="Calibri" w:cs="Arial"/>
                <w:b/>
                <w:bCs/>
                <w:sz w:val="20"/>
                <w:szCs w:val="20"/>
              </w:rPr>
              <w:t>Percent</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 xml:space="preserve">Chemicals </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1,991</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2,200</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209</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10.5%</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Fabricated Metal Products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4,969</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5,060</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91</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1.8%</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Primary Metals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310</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285</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-25</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-8.1%</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Apparel and Leather and Allied Products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1,945</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1,875</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-70</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-3.6%</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 xml:space="preserve">Plastics and Rubber Products </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2,096</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2,000</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-96</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-4.6%</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Electrical Equipment and Appliances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398</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300</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-98</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-24.6%</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 xml:space="preserve">Machinery </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2,054</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1,950</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-104</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-5.1%</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vAlign w:val="bottom"/>
            <w:hideMark/>
          </w:tcPr>
          <w:p w:rsidR="00042482" w:rsidRPr="00042482" w:rsidRDefault="00042482" w:rsidP="00042482">
            <w:pPr>
              <w:rPr>
                <w:rFonts w:ascii="Calibri" w:hAnsi="Calibri" w:cs="Arial"/>
                <w:sz w:val="20"/>
                <w:szCs w:val="20"/>
              </w:rPr>
            </w:pPr>
            <w:r w:rsidRPr="00042482">
              <w:rPr>
                <w:rFonts w:ascii="Calibri" w:hAnsi="Calibri" w:cs="Arial"/>
                <w:sz w:val="20"/>
                <w:szCs w:val="20"/>
              </w:rPr>
              <w:t>Nonmetallic Mineral Products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1,172</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1,052</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-120</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-10.2%</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 xml:space="preserve">Miscellaneous </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1,811</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1,659</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-152</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-8.4%</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Furniture and Related Products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1,090</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800</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-290</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-26.6%</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Printing and Related Support Activities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1,516</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1,100</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-416</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-27.4%</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Transportation Equipment</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8,314</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7,877</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-437</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-5.3%</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Food, Beverage, and Tobacco Products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6,659</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6,058</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-601</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-9.0%</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Textile Mills and Textile Product Mills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1,686</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1,064</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-622</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-36.9%</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Computer and Electronic Products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2,712</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2,086</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-626</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-23.1%</w:t>
            </w:r>
          </w:p>
        </w:tc>
      </w:tr>
      <w:tr w:rsidR="00042482" w:rsidRPr="00042482" w:rsidTr="0067030F">
        <w:trPr>
          <w:trHeight w:val="255"/>
          <w:jc w:val="center"/>
        </w:trPr>
        <w:tc>
          <w:tcPr>
            <w:tcW w:w="3885" w:type="dxa"/>
            <w:tcBorders>
              <w:top w:val="nil"/>
              <w:left w:val="single" w:sz="4" w:space="0" w:color="auto"/>
              <w:bottom w:val="nil"/>
              <w:right w:val="single" w:sz="4" w:space="0" w:color="auto"/>
            </w:tcBorders>
            <w:shd w:val="clear" w:color="auto" w:fill="auto"/>
            <w:noWrap/>
            <w:vAlign w:val="bottom"/>
            <w:hideMark/>
          </w:tcPr>
          <w:p w:rsidR="00042482" w:rsidRPr="00042482" w:rsidRDefault="00042482" w:rsidP="00042482">
            <w:pPr>
              <w:rPr>
                <w:rFonts w:ascii="Calibri" w:hAnsi="Calibri" w:cs="Arial"/>
                <w:sz w:val="20"/>
                <w:szCs w:val="20"/>
              </w:rPr>
            </w:pPr>
            <w:r w:rsidRPr="00042482">
              <w:rPr>
                <w:rFonts w:ascii="Calibri" w:hAnsi="Calibri" w:cs="Arial"/>
                <w:sz w:val="20"/>
                <w:szCs w:val="20"/>
              </w:rPr>
              <w:t>Wood Products</w:t>
            </w:r>
          </w:p>
        </w:tc>
        <w:tc>
          <w:tcPr>
            <w:tcW w:w="1167" w:type="dxa"/>
            <w:tcBorders>
              <w:top w:val="nil"/>
              <w:left w:val="nil"/>
              <w:bottom w:val="nil"/>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4,105</w:t>
            </w:r>
          </w:p>
        </w:tc>
        <w:tc>
          <w:tcPr>
            <w:tcW w:w="993" w:type="dxa"/>
            <w:tcBorders>
              <w:top w:val="nil"/>
              <w:left w:val="single" w:sz="4" w:space="0" w:color="auto"/>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2,947</w:t>
            </w:r>
          </w:p>
        </w:tc>
        <w:tc>
          <w:tcPr>
            <w:tcW w:w="99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-1,158</w:t>
            </w:r>
          </w:p>
        </w:tc>
        <w:tc>
          <w:tcPr>
            <w:tcW w:w="1080" w:type="dxa"/>
            <w:tcBorders>
              <w:top w:val="nil"/>
              <w:left w:val="nil"/>
              <w:bottom w:val="nil"/>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-28.2%</w:t>
            </w:r>
          </w:p>
        </w:tc>
      </w:tr>
      <w:tr w:rsidR="00042482" w:rsidRPr="00042482" w:rsidTr="0067030F">
        <w:trPr>
          <w:trHeight w:val="255"/>
          <w:jc w:val="center"/>
        </w:trPr>
        <w:tc>
          <w:tcPr>
            <w:tcW w:w="3885" w:type="dxa"/>
            <w:tcBorders>
              <w:top w:val="nil"/>
              <w:left w:val="single" w:sz="4" w:space="0" w:color="auto"/>
              <w:bottom w:val="single" w:sz="4" w:space="0" w:color="auto"/>
              <w:right w:val="single" w:sz="4" w:space="0" w:color="auto"/>
            </w:tcBorders>
            <w:shd w:val="clear" w:color="auto" w:fill="auto"/>
            <w:noWrap/>
            <w:hideMark/>
          </w:tcPr>
          <w:p w:rsidR="00042482" w:rsidRPr="00042482" w:rsidRDefault="00042482" w:rsidP="00042482">
            <w:pPr>
              <w:rPr>
                <w:rFonts w:ascii="Calibri" w:hAnsi="Calibri" w:cs="Arial"/>
                <w:sz w:val="20"/>
                <w:szCs w:val="20"/>
              </w:rPr>
            </w:pPr>
            <w:r w:rsidRPr="00042482">
              <w:rPr>
                <w:rFonts w:ascii="Calibri" w:hAnsi="Calibri" w:cs="Arial"/>
                <w:sz w:val="20"/>
                <w:szCs w:val="20"/>
              </w:rPr>
              <w:t xml:space="preserve">Paper </w:t>
            </w:r>
          </w:p>
        </w:tc>
        <w:tc>
          <w:tcPr>
            <w:tcW w:w="1167" w:type="dxa"/>
            <w:tcBorders>
              <w:top w:val="nil"/>
              <w:left w:val="nil"/>
              <w:bottom w:val="single" w:sz="4" w:space="0" w:color="auto"/>
              <w:right w:val="nil"/>
            </w:tcBorders>
            <w:shd w:val="clear" w:color="auto" w:fill="auto"/>
            <w:noWrap/>
            <w:tcMar>
              <w:left w:w="43" w:type="dxa"/>
              <w:right w:w="288"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7,397</w:t>
            </w:r>
          </w:p>
        </w:tc>
        <w:tc>
          <w:tcPr>
            <w:tcW w:w="993" w:type="dxa"/>
            <w:tcBorders>
              <w:top w:val="nil"/>
              <w:left w:val="single" w:sz="4" w:space="0" w:color="auto"/>
              <w:bottom w:val="single" w:sz="4" w:space="0" w:color="auto"/>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5,214</w:t>
            </w:r>
          </w:p>
        </w:tc>
        <w:tc>
          <w:tcPr>
            <w:tcW w:w="990" w:type="dxa"/>
            <w:tcBorders>
              <w:top w:val="nil"/>
              <w:left w:val="nil"/>
              <w:bottom w:val="single" w:sz="4" w:space="0" w:color="auto"/>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-2,183</w:t>
            </w:r>
          </w:p>
        </w:tc>
        <w:tc>
          <w:tcPr>
            <w:tcW w:w="1080" w:type="dxa"/>
            <w:tcBorders>
              <w:top w:val="nil"/>
              <w:left w:val="nil"/>
              <w:bottom w:val="single" w:sz="4" w:space="0" w:color="auto"/>
              <w:right w:val="single" w:sz="4" w:space="0" w:color="auto"/>
            </w:tcBorders>
            <w:shd w:val="clear" w:color="auto" w:fill="auto"/>
            <w:noWrap/>
            <w:tcMar>
              <w:left w:w="43" w:type="dxa"/>
              <w:right w:w="216" w:type="dxa"/>
            </w:tcMar>
            <w:vAlign w:val="bottom"/>
            <w:hideMark/>
          </w:tcPr>
          <w:p w:rsidR="00042482" w:rsidRPr="00042482" w:rsidRDefault="00042482" w:rsidP="00042482">
            <w:pPr>
              <w:ind w:firstLineChars="100" w:firstLine="200"/>
              <w:jc w:val="right"/>
              <w:rPr>
                <w:rFonts w:ascii="Calibri" w:hAnsi="Calibri" w:cs="Arial"/>
                <w:sz w:val="20"/>
                <w:szCs w:val="20"/>
              </w:rPr>
            </w:pPr>
            <w:r w:rsidRPr="00042482">
              <w:rPr>
                <w:rFonts w:ascii="Calibri" w:hAnsi="Calibri" w:cs="Arial"/>
                <w:sz w:val="20"/>
                <w:szCs w:val="20"/>
              </w:rPr>
              <w:t>-29.5%</w:t>
            </w:r>
          </w:p>
        </w:tc>
      </w:tr>
    </w:tbl>
    <w:p w:rsidR="00DF1147" w:rsidRDefault="004442A2" w:rsidP="00042482">
      <w:pPr>
        <w:pStyle w:val="BodyText"/>
        <w:spacing w:before="120"/>
      </w:pPr>
      <w:r>
        <w:t>T</w:t>
      </w:r>
      <w:r w:rsidR="00DF1147">
        <w:t>h</w:t>
      </w:r>
      <w:r w:rsidR="00D51307">
        <w:t>e projections</w:t>
      </w:r>
      <w:r w:rsidR="00DF1147">
        <w:t xml:space="preserve"> do not mean there will be no job openings in manufacturing. Attrition in the coming years from baby boomer retirements bode</w:t>
      </w:r>
      <w:r w:rsidR="008D2A6C">
        <w:t>s</w:t>
      </w:r>
      <w:r w:rsidR="00DF1147">
        <w:t xml:space="preserve"> well for hiring opportunities. In addition, the analysis by the Manufacturing Institute and Deloitte indicated that the skills gap “…will likely widen as times passes”</w:t>
      </w:r>
      <w:r>
        <w:t xml:space="preserve"> in the U</w:t>
      </w:r>
      <w:r w:rsidR="00DA17DB">
        <w:t xml:space="preserve">nited </w:t>
      </w:r>
      <w:r>
        <w:t>S</w:t>
      </w:r>
      <w:r w:rsidR="00DA17DB">
        <w:t>tates</w:t>
      </w:r>
      <w:r>
        <w:t>.</w:t>
      </w:r>
      <w:r w:rsidR="00DF1147">
        <w:t xml:space="preserve"> </w:t>
      </w:r>
      <w:r w:rsidR="009820D7">
        <w:t xml:space="preserve">The implication of this statement is </w:t>
      </w:r>
      <w:r w:rsidR="00DA17DB">
        <w:t xml:space="preserve">such that </w:t>
      </w:r>
      <w:r w:rsidR="009820D7">
        <w:t xml:space="preserve">if </w:t>
      </w:r>
      <w:r w:rsidR="00995EF3">
        <w:t xml:space="preserve">a </w:t>
      </w:r>
      <w:r w:rsidR="009820D7">
        <w:t xml:space="preserve">worker has the advanced skills employers are looking for, jobs will be available. </w:t>
      </w:r>
      <w:r w:rsidR="00DF1147">
        <w:t xml:space="preserve">For both of these reasons, it is likely job openings will exist even </w:t>
      </w:r>
      <w:r>
        <w:t>if</w:t>
      </w:r>
      <w:r w:rsidR="00DF1147">
        <w:t xml:space="preserve"> total manufacturing employment declines</w:t>
      </w:r>
      <w:r>
        <w:t xml:space="preserve"> as projected</w:t>
      </w:r>
      <w:r w:rsidR="00DF1147">
        <w:t>.</w:t>
      </w:r>
    </w:p>
    <w:p w:rsidR="00CC4B1E" w:rsidRDefault="00CC4B1E" w:rsidP="00CC4B1E">
      <w:pPr>
        <w:pStyle w:val="Heading2"/>
      </w:pPr>
      <w:r>
        <w:t>Summary</w:t>
      </w:r>
    </w:p>
    <w:p w:rsidR="00461DE9" w:rsidRPr="00461DE9" w:rsidRDefault="003A31EF" w:rsidP="00A4064A">
      <w:pPr>
        <w:pStyle w:val="BodyText"/>
      </w:pPr>
      <w:r>
        <w:t>Manufacturing is and will be an important part of Maine’s economy. However, t</w:t>
      </w:r>
      <w:r w:rsidR="00A4064A" w:rsidRPr="00B81023">
        <w:t>he nature of work is changing and employers need workers</w:t>
      </w:r>
      <w:r w:rsidR="00A4064A">
        <w:t xml:space="preserve"> </w:t>
      </w:r>
      <w:r>
        <w:t>with</w:t>
      </w:r>
      <w:r w:rsidR="00A4064A" w:rsidRPr="00B81023">
        <w:t xml:space="preserve"> higher skill levels.</w:t>
      </w:r>
      <w:r>
        <w:t xml:space="preserve"> </w:t>
      </w:r>
      <w:r w:rsidR="00FA486D">
        <w:t>P</w:t>
      </w:r>
      <w:r w:rsidR="00537DA5">
        <w:t xml:space="preserve">ublished in </w:t>
      </w:r>
      <w:r w:rsidR="00537DA5" w:rsidRPr="00B42DD1">
        <w:rPr>
          <w:i/>
        </w:rPr>
        <w:t xml:space="preserve">The Future of Manufacturing, Opportunities to </w:t>
      </w:r>
      <w:r w:rsidR="004A0E84">
        <w:rPr>
          <w:i/>
        </w:rPr>
        <w:t>Drive Economic G</w:t>
      </w:r>
      <w:r w:rsidR="00537DA5" w:rsidRPr="00B42DD1">
        <w:rPr>
          <w:i/>
        </w:rPr>
        <w:t>rowth</w:t>
      </w:r>
      <w:r w:rsidR="00537DA5">
        <w:t xml:space="preserve"> (April 2012)</w:t>
      </w:r>
      <w:r w:rsidR="00A4064A">
        <w:t xml:space="preserve">, </w:t>
      </w:r>
      <w:r w:rsidR="00FA486D">
        <w:t xml:space="preserve">the World Economic Forum </w:t>
      </w:r>
      <w:r w:rsidR="000A5439">
        <w:t>concluded,</w:t>
      </w:r>
      <w:r w:rsidR="00A4064A">
        <w:t xml:space="preserve"> </w:t>
      </w:r>
      <w:r w:rsidR="00461DE9">
        <w:t>“</w:t>
      </w:r>
      <w:r w:rsidR="00461DE9" w:rsidRPr="00461DE9">
        <w:t>Talented human capital will be the most critical resource differentiating the prosperity of count</w:t>
      </w:r>
      <w:r w:rsidR="00682345">
        <w:t>r</w:t>
      </w:r>
      <w:r w:rsidR="00461DE9" w:rsidRPr="00461DE9">
        <w:t>ies and companies.”</w:t>
      </w:r>
    </w:p>
    <w:sectPr w:rsidR="00461DE9" w:rsidRPr="00461DE9" w:rsidSect="00AE7BD1">
      <w:pgSz w:w="12240" w:h="15840" w:code="1"/>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6DD" w:rsidRDefault="002E16DD">
      <w:r>
        <w:separator/>
      </w:r>
    </w:p>
  </w:endnote>
  <w:endnote w:type="continuationSeparator" w:id="0">
    <w:p w:rsidR="002E16DD" w:rsidRDefault="002E1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Novarese Bk B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7F" w:rsidRDefault="00A2317F">
    <w:pPr>
      <w:pStyle w:val="Footer"/>
      <w:jc w:val="center"/>
    </w:pPr>
    <w:r>
      <w:t xml:space="preserve">Page </w:t>
    </w:r>
    <w:r>
      <w:rPr>
        <w:b/>
      </w:rPr>
      <w:fldChar w:fldCharType="begin"/>
    </w:r>
    <w:r>
      <w:rPr>
        <w:b/>
      </w:rPr>
      <w:instrText xml:space="preserve"> PAGE </w:instrText>
    </w:r>
    <w:r>
      <w:rPr>
        <w:b/>
      </w:rPr>
      <w:fldChar w:fldCharType="separate"/>
    </w:r>
    <w:r w:rsidR="00EA3B6C">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EA3B6C">
      <w:rPr>
        <w:b/>
        <w:noProof/>
      </w:rPr>
      <w:t>10</w:t>
    </w:r>
    <w:r>
      <w:rPr>
        <w:b/>
      </w:rPr>
      <w:fldChar w:fldCharType="end"/>
    </w:r>
  </w:p>
  <w:p w:rsidR="00A2317F" w:rsidRPr="00716620" w:rsidRDefault="00A2317F" w:rsidP="007166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7F" w:rsidRPr="00CD5816" w:rsidRDefault="00A2317F">
    <w:pPr>
      <w:pStyle w:val="Footer"/>
      <w:jc w:val="center"/>
      <w:rPr>
        <w:sz w:val="20"/>
        <w:szCs w:val="20"/>
      </w:rPr>
    </w:pPr>
    <w:r w:rsidRPr="00CD5816">
      <w:rPr>
        <w:sz w:val="20"/>
        <w:szCs w:val="20"/>
      </w:rPr>
      <w:t xml:space="preserve">Page </w:t>
    </w:r>
    <w:r w:rsidRPr="00CD5816">
      <w:rPr>
        <w:b/>
        <w:sz w:val="20"/>
        <w:szCs w:val="20"/>
      </w:rPr>
      <w:fldChar w:fldCharType="begin"/>
    </w:r>
    <w:r w:rsidRPr="00CD5816">
      <w:rPr>
        <w:b/>
        <w:sz w:val="20"/>
        <w:szCs w:val="20"/>
      </w:rPr>
      <w:instrText xml:space="preserve"> PAGE </w:instrText>
    </w:r>
    <w:r w:rsidRPr="00CD5816">
      <w:rPr>
        <w:b/>
        <w:sz w:val="20"/>
        <w:szCs w:val="20"/>
      </w:rPr>
      <w:fldChar w:fldCharType="separate"/>
    </w:r>
    <w:r w:rsidR="001A6C93">
      <w:rPr>
        <w:b/>
        <w:noProof/>
        <w:sz w:val="20"/>
        <w:szCs w:val="20"/>
      </w:rPr>
      <w:t>1</w:t>
    </w:r>
    <w:r w:rsidRPr="00CD5816">
      <w:rPr>
        <w:b/>
        <w:sz w:val="20"/>
        <w:szCs w:val="20"/>
      </w:rPr>
      <w:fldChar w:fldCharType="end"/>
    </w:r>
    <w:r w:rsidRPr="00CD5816">
      <w:rPr>
        <w:sz w:val="20"/>
        <w:szCs w:val="20"/>
      </w:rPr>
      <w:t xml:space="preserve"> of </w:t>
    </w:r>
    <w:r w:rsidRPr="00CD5816">
      <w:rPr>
        <w:b/>
        <w:sz w:val="20"/>
        <w:szCs w:val="20"/>
      </w:rPr>
      <w:fldChar w:fldCharType="begin"/>
    </w:r>
    <w:r w:rsidRPr="00CD5816">
      <w:rPr>
        <w:b/>
        <w:sz w:val="20"/>
        <w:szCs w:val="20"/>
      </w:rPr>
      <w:instrText xml:space="preserve"> NUMPAGES  </w:instrText>
    </w:r>
    <w:r w:rsidRPr="00CD5816">
      <w:rPr>
        <w:b/>
        <w:sz w:val="20"/>
        <w:szCs w:val="20"/>
      </w:rPr>
      <w:fldChar w:fldCharType="separate"/>
    </w:r>
    <w:r w:rsidR="001A6C93">
      <w:rPr>
        <w:b/>
        <w:noProof/>
        <w:sz w:val="20"/>
        <w:szCs w:val="20"/>
      </w:rPr>
      <w:t>6</w:t>
    </w:r>
    <w:r w:rsidRPr="00CD5816">
      <w:rPr>
        <w:b/>
        <w:sz w:val="20"/>
        <w:szCs w:val="20"/>
      </w:rPr>
      <w:fldChar w:fldCharType="end"/>
    </w:r>
  </w:p>
  <w:p w:rsidR="00A2317F" w:rsidRDefault="00A231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6DD" w:rsidRDefault="002E16DD">
      <w:r>
        <w:separator/>
      </w:r>
    </w:p>
  </w:footnote>
  <w:footnote w:type="continuationSeparator" w:id="0">
    <w:p w:rsidR="002E16DD" w:rsidRDefault="002E16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17F" w:rsidRDefault="00A2317F" w:rsidP="00D10ED0">
    <w:pPr>
      <w:pStyle w:val="Footer"/>
      <w:tabs>
        <w:tab w:val="clear" w:pos="4320"/>
        <w:tab w:val="clear" w:pos="8640"/>
        <w:tab w:val="left" w:pos="2880"/>
        <w:tab w:val="left" w:pos="5760"/>
        <w:tab w:val="right" w:pos="10260"/>
      </w:tabs>
      <w:rPr>
        <w:rFonts w:ascii="Novarese Bk BT" w:hAnsi="Novarese Bk BT"/>
        <w:sz w:val="20"/>
        <w:szCs w:val="20"/>
      </w:rPr>
    </w:pPr>
    <w:r w:rsidRPr="00797E78">
      <w:rPr>
        <w:rFonts w:ascii="Novarese Bk BT" w:hAnsi="Novarese Bk BT"/>
        <w:sz w:val="20"/>
        <w:szCs w:val="20"/>
      </w:rPr>
      <w:t>Phone (207) 623-7900</w:t>
    </w:r>
    <w:r w:rsidRPr="00797E78">
      <w:rPr>
        <w:rFonts w:ascii="Novarese Bk BT" w:hAnsi="Novarese Bk BT"/>
        <w:sz w:val="20"/>
        <w:szCs w:val="20"/>
      </w:rPr>
      <w:tab/>
      <w:t>TTY 1-800-794-1110</w:t>
    </w:r>
    <w:r w:rsidRPr="00797E78">
      <w:rPr>
        <w:rFonts w:ascii="Novarese Bk BT" w:hAnsi="Novarese Bk BT"/>
        <w:sz w:val="20"/>
        <w:szCs w:val="20"/>
      </w:rPr>
      <w:tab/>
      <w:t>FAX (207) 287-2947</w:t>
    </w:r>
    <w:r>
      <w:rPr>
        <w:rFonts w:ascii="Novarese Bk BT" w:hAnsi="Novarese Bk BT"/>
        <w:sz w:val="20"/>
        <w:szCs w:val="20"/>
      </w:rPr>
      <w:tab/>
    </w:r>
    <w:hyperlink r:id="rId1" w:history="1">
      <w:r w:rsidRPr="00C42C4F">
        <w:rPr>
          <w:rStyle w:val="Hyperlink"/>
          <w:rFonts w:ascii="Novarese Bk BT" w:hAnsi="Novarese Bk BT"/>
          <w:sz w:val="20"/>
          <w:szCs w:val="20"/>
        </w:rPr>
        <w:t>www.maine.gov/labor/cwri</w:t>
      </w:r>
    </w:hyperlink>
  </w:p>
  <w:p w:rsidR="00A2317F" w:rsidRDefault="00A2317F" w:rsidP="00AC16AD">
    <w:pPr>
      <w:pStyle w:val="Footer"/>
      <w:pBdr>
        <w:top w:val="single" w:sz="4" w:space="1" w:color="auto"/>
      </w:pBdr>
      <w:tabs>
        <w:tab w:val="clear" w:pos="4320"/>
        <w:tab w:val="clear" w:pos="8640"/>
        <w:tab w:val="left" w:pos="2880"/>
        <w:tab w:val="left" w:pos="5760"/>
        <w:tab w:val="right" w:pos="108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FFFFFF7C"/>
    <w:multiLevelType w:val="singleLevel"/>
    <w:tmpl w:val="54D4D43E"/>
    <w:lvl w:ilvl="0">
      <w:start w:val="1"/>
      <w:numFmt w:val="decimal"/>
      <w:lvlText w:val="%1."/>
      <w:lvlJc w:val="left"/>
      <w:pPr>
        <w:tabs>
          <w:tab w:val="num" w:pos="1800"/>
        </w:tabs>
        <w:ind w:left="1800" w:hanging="360"/>
      </w:pPr>
    </w:lvl>
  </w:abstractNum>
  <w:abstractNum w:abstractNumId="1">
    <w:nsid w:val="FFFFFF7D"/>
    <w:multiLevelType w:val="singleLevel"/>
    <w:tmpl w:val="F00CAEB2"/>
    <w:lvl w:ilvl="0">
      <w:start w:val="1"/>
      <w:numFmt w:val="decimal"/>
      <w:lvlText w:val="%1."/>
      <w:lvlJc w:val="left"/>
      <w:pPr>
        <w:tabs>
          <w:tab w:val="num" w:pos="1440"/>
        </w:tabs>
        <w:ind w:left="1440" w:hanging="360"/>
      </w:pPr>
    </w:lvl>
  </w:abstractNum>
  <w:abstractNum w:abstractNumId="2">
    <w:nsid w:val="FFFFFF7E"/>
    <w:multiLevelType w:val="singleLevel"/>
    <w:tmpl w:val="724413CC"/>
    <w:lvl w:ilvl="0">
      <w:start w:val="1"/>
      <w:numFmt w:val="decimal"/>
      <w:lvlText w:val="%1."/>
      <w:lvlJc w:val="left"/>
      <w:pPr>
        <w:tabs>
          <w:tab w:val="num" w:pos="1080"/>
        </w:tabs>
        <w:ind w:left="1080" w:hanging="360"/>
      </w:pPr>
    </w:lvl>
  </w:abstractNum>
  <w:abstractNum w:abstractNumId="3">
    <w:nsid w:val="FFFFFF7F"/>
    <w:multiLevelType w:val="singleLevel"/>
    <w:tmpl w:val="BAF26CD4"/>
    <w:lvl w:ilvl="0">
      <w:start w:val="1"/>
      <w:numFmt w:val="decimal"/>
      <w:lvlText w:val="%1."/>
      <w:lvlJc w:val="left"/>
      <w:pPr>
        <w:tabs>
          <w:tab w:val="num" w:pos="720"/>
        </w:tabs>
        <w:ind w:left="720" w:hanging="360"/>
      </w:pPr>
    </w:lvl>
  </w:abstractNum>
  <w:abstractNum w:abstractNumId="4">
    <w:nsid w:val="FFFFFF80"/>
    <w:multiLevelType w:val="singleLevel"/>
    <w:tmpl w:val="C6B0D0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578128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65C2C3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43408A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A9081E2"/>
    <w:lvl w:ilvl="0">
      <w:start w:val="1"/>
      <w:numFmt w:val="decimal"/>
      <w:lvlText w:val="%1."/>
      <w:lvlJc w:val="left"/>
      <w:pPr>
        <w:tabs>
          <w:tab w:val="num" w:pos="360"/>
        </w:tabs>
        <w:ind w:left="360" w:hanging="360"/>
      </w:pPr>
    </w:lvl>
  </w:abstractNum>
  <w:abstractNum w:abstractNumId="9">
    <w:nsid w:val="FFFFFF89"/>
    <w:multiLevelType w:val="singleLevel"/>
    <w:tmpl w:val="0596B4E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F037D2"/>
    <w:multiLevelType w:val="hybridMultilevel"/>
    <w:tmpl w:val="89D4F1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660B30"/>
    <w:multiLevelType w:val="hybridMultilevel"/>
    <w:tmpl w:val="CE369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3356BD6"/>
    <w:multiLevelType w:val="hybridMultilevel"/>
    <w:tmpl w:val="2EA6F6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E65E7C"/>
    <w:multiLevelType w:val="hybridMultilevel"/>
    <w:tmpl w:val="67D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AC1DD4"/>
    <w:multiLevelType w:val="hybridMultilevel"/>
    <w:tmpl w:val="3202BDF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74B1BE8"/>
    <w:multiLevelType w:val="hybridMultilevel"/>
    <w:tmpl w:val="7C9A9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9D4A89"/>
    <w:multiLevelType w:val="hybridMultilevel"/>
    <w:tmpl w:val="56625C98"/>
    <w:lvl w:ilvl="0" w:tplc="868C4904">
      <w:start w:val="1"/>
      <w:numFmt w:val="bullet"/>
      <w:lvlText w:val=""/>
      <w:lvlPicBulletId w:val="0"/>
      <w:lvlJc w:val="left"/>
      <w:pPr>
        <w:tabs>
          <w:tab w:val="num" w:pos="720"/>
        </w:tabs>
        <w:ind w:left="720" w:hanging="360"/>
      </w:pPr>
      <w:rPr>
        <w:rFonts w:ascii="Symbol" w:hAnsi="Symbol" w:hint="default"/>
      </w:rPr>
    </w:lvl>
    <w:lvl w:ilvl="1" w:tplc="7D1ADFC6" w:tentative="1">
      <w:start w:val="1"/>
      <w:numFmt w:val="bullet"/>
      <w:lvlText w:val=""/>
      <w:lvlJc w:val="left"/>
      <w:pPr>
        <w:tabs>
          <w:tab w:val="num" w:pos="1440"/>
        </w:tabs>
        <w:ind w:left="1440" w:hanging="360"/>
      </w:pPr>
      <w:rPr>
        <w:rFonts w:ascii="Symbol" w:hAnsi="Symbol" w:hint="default"/>
      </w:rPr>
    </w:lvl>
    <w:lvl w:ilvl="2" w:tplc="6338DA76" w:tentative="1">
      <w:start w:val="1"/>
      <w:numFmt w:val="bullet"/>
      <w:lvlText w:val=""/>
      <w:lvlJc w:val="left"/>
      <w:pPr>
        <w:tabs>
          <w:tab w:val="num" w:pos="2160"/>
        </w:tabs>
        <w:ind w:left="2160" w:hanging="360"/>
      </w:pPr>
      <w:rPr>
        <w:rFonts w:ascii="Symbol" w:hAnsi="Symbol" w:hint="default"/>
      </w:rPr>
    </w:lvl>
    <w:lvl w:ilvl="3" w:tplc="85C2F70A" w:tentative="1">
      <w:start w:val="1"/>
      <w:numFmt w:val="bullet"/>
      <w:lvlText w:val=""/>
      <w:lvlJc w:val="left"/>
      <w:pPr>
        <w:tabs>
          <w:tab w:val="num" w:pos="2880"/>
        </w:tabs>
        <w:ind w:left="2880" w:hanging="360"/>
      </w:pPr>
      <w:rPr>
        <w:rFonts w:ascii="Symbol" w:hAnsi="Symbol" w:hint="default"/>
      </w:rPr>
    </w:lvl>
    <w:lvl w:ilvl="4" w:tplc="C0F40B2C" w:tentative="1">
      <w:start w:val="1"/>
      <w:numFmt w:val="bullet"/>
      <w:lvlText w:val=""/>
      <w:lvlJc w:val="left"/>
      <w:pPr>
        <w:tabs>
          <w:tab w:val="num" w:pos="3600"/>
        </w:tabs>
        <w:ind w:left="3600" w:hanging="360"/>
      </w:pPr>
      <w:rPr>
        <w:rFonts w:ascii="Symbol" w:hAnsi="Symbol" w:hint="default"/>
      </w:rPr>
    </w:lvl>
    <w:lvl w:ilvl="5" w:tplc="05D05844" w:tentative="1">
      <w:start w:val="1"/>
      <w:numFmt w:val="bullet"/>
      <w:lvlText w:val=""/>
      <w:lvlJc w:val="left"/>
      <w:pPr>
        <w:tabs>
          <w:tab w:val="num" w:pos="4320"/>
        </w:tabs>
        <w:ind w:left="4320" w:hanging="360"/>
      </w:pPr>
      <w:rPr>
        <w:rFonts w:ascii="Symbol" w:hAnsi="Symbol" w:hint="default"/>
      </w:rPr>
    </w:lvl>
    <w:lvl w:ilvl="6" w:tplc="808E41D2" w:tentative="1">
      <w:start w:val="1"/>
      <w:numFmt w:val="bullet"/>
      <w:lvlText w:val=""/>
      <w:lvlJc w:val="left"/>
      <w:pPr>
        <w:tabs>
          <w:tab w:val="num" w:pos="5040"/>
        </w:tabs>
        <w:ind w:left="5040" w:hanging="360"/>
      </w:pPr>
      <w:rPr>
        <w:rFonts w:ascii="Symbol" w:hAnsi="Symbol" w:hint="default"/>
      </w:rPr>
    </w:lvl>
    <w:lvl w:ilvl="7" w:tplc="8490E856" w:tentative="1">
      <w:start w:val="1"/>
      <w:numFmt w:val="bullet"/>
      <w:lvlText w:val=""/>
      <w:lvlJc w:val="left"/>
      <w:pPr>
        <w:tabs>
          <w:tab w:val="num" w:pos="5760"/>
        </w:tabs>
        <w:ind w:left="5760" w:hanging="360"/>
      </w:pPr>
      <w:rPr>
        <w:rFonts w:ascii="Symbol" w:hAnsi="Symbol" w:hint="default"/>
      </w:rPr>
    </w:lvl>
    <w:lvl w:ilvl="8" w:tplc="DB028980" w:tentative="1">
      <w:start w:val="1"/>
      <w:numFmt w:val="bullet"/>
      <w:lvlText w:val=""/>
      <w:lvlJc w:val="left"/>
      <w:pPr>
        <w:tabs>
          <w:tab w:val="num" w:pos="6480"/>
        </w:tabs>
        <w:ind w:left="6480" w:hanging="360"/>
      </w:pPr>
      <w:rPr>
        <w:rFonts w:ascii="Symbol" w:hAnsi="Symbol" w:hint="default"/>
      </w:rPr>
    </w:lvl>
  </w:abstractNum>
  <w:abstractNum w:abstractNumId="17">
    <w:nsid w:val="58E04880"/>
    <w:multiLevelType w:val="hybridMultilevel"/>
    <w:tmpl w:val="5AE454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AB92D4F"/>
    <w:multiLevelType w:val="hybridMultilevel"/>
    <w:tmpl w:val="E9C6CF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0B54084"/>
    <w:multiLevelType w:val="hybridMultilevel"/>
    <w:tmpl w:val="6D52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35508F"/>
    <w:multiLevelType w:val="hybridMultilevel"/>
    <w:tmpl w:val="6E288C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2"/>
  </w:num>
  <w:num w:numId="15">
    <w:abstractNumId w:val="10"/>
  </w:num>
  <w:num w:numId="16">
    <w:abstractNumId w:val="14"/>
  </w:num>
  <w:num w:numId="17">
    <w:abstractNumId w:val="15"/>
  </w:num>
  <w:num w:numId="18">
    <w:abstractNumId w:val="17"/>
  </w:num>
  <w:num w:numId="19">
    <w:abstractNumId w:val="16"/>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C7C"/>
    <w:rsid w:val="0000092C"/>
    <w:rsid w:val="000016A0"/>
    <w:rsid w:val="000066F7"/>
    <w:rsid w:val="00007DBD"/>
    <w:rsid w:val="000115A9"/>
    <w:rsid w:val="00012277"/>
    <w:rsid w:val="00012CDD"/>
    <w:rsid w:val="00013D60"/>
    <w:rsid w:val="00014133"/>
    <w:rsid w:val="00016E4F"/>
    <w:rsid w:val="00017350"/>
    <w:rsid w:val="00017490"/>
    <w:rsid w:val="000200CC"/>
    <w:rsid w:val="0002039F"/>
    <w:rsid w:val="00020C7C"/>
    <w:rsid w:val="00025F38"/>
    <w:rsid w:val="00026388"/>
    <w:rsid w:val="000266F3"/>
    <w:rsid w:val="000269F5"/>
    <w:rsid w:val="00026F92"/>
    <w:rsid w:val="00027066"/>
    <w:rsid w:val="00027175"/>
    <w:rsid w:val="000273E1"/>
    <w:rsid w:val="000319DA"/>
    <w:rsid w:val="00031C2A"/>
    <w:rsid w:val="00031D66"/>
    <w:rsid w:val="000327B7"/>
    <w:rsid w:val="000329DD"/>
    <w:rsid w:val="00035634"/>
    <w:rsid w:val="00037A81"/>
    <w:rsid w:val="00041317"/>
    <w:rsid w:val="00042482"/>
    <w:rsid w:val="000426A3"/>
    <w:rsid w:val="00042D36"/>
    <w:rsid w:val="000434D6"/>
    <w:rsid w:val="00044244"/>
    <w:rsid w:val="00045A09"/>
    <w:rsid w:val="00045BB2"/>
    <w:rsid w:val="00050120"/>
    <w:rsid w:val="0005012A"/>
    <w:rsid w:val="000502BA"/>
    <w:rsid w:val="000508D2"/>
    <w:rsid w:val="00051726"/>
    <w:rsid w:val="00051734"/>
    <w:rsid w:val="00051D59"/>
    <w:rsid w:val="00053CB5"/>
    <w:rsid w:val="00054369"/>
    <w:rsid w:val="000548CF"/>
    <w:rsid w:val="00054A31"/>
    <w:rsid w:val="00054E11"/>
    <w:rsid w:val="00055DBB"/>
    <w:rsid w:val="0006024A"/>
    <w:rsid w:val="00062BE5"/>
    <w:rsid w:val="00062E30"/>
    <w:rsid w:val="000630BB"/>
    <w:rsid w:val="0006427C"/>
    <w:rsid w:val="000647CC"/>
    <w:rsid w:val="000648C0"/>
    <w:rsid w:val="00064DBB"/>
    <w:rsid w:val="000652B2"/>
    <w:rsid w:val="00066DAD"/>
    <w:rsid w:val="000679C3"/>
    <w:rsid w:val="00067EC1"/>
    <w:rsid w:val="00070EB3"/>
    <w:rsid w:val="0007122F"/>
    <w:rsid w:val="0007129F"/>
    <w:rsid w:val="00072A73"/>
    <w:rsid w:val="000744A5"/>
    <w:rsid w:val="0007456B"/>
    <w:rsid w:val="000760AE"/>
    <w:rsid w:val="00077F06"/>
    <w:rsid w:val="000811A4"/>
    <w:rsid w:val="00081303"/>
    <w:rsid w:val="00082975"/>
    <w:rsid w:val="00082A64"/>
    <w:rsid w:val="00082BD3"/>
    <w:rsid w:val="00083E72"/>
    <w:rsid w:val="00086FD1"/>
    <w:rsid w:val="00090005"/>
    <w:rsid w:val="0009222D"/>
    <w:rsid w:val="000940FB"/>
    <w:rsid w:val="000947F4"/>
    <w:rsid w:val="00094E9D"/>
    <w:rsid w:val="000958D3"/>
    <w:rsid w:val="00096A8F"/>
    <w:rsid w:val="00097BA8"/>
    <w:rsid w:val="000A08FC"/>
    <w:rsid w:val="000A1AFB"/>
    <w:rsid w:val="000A2602"/>
    <w:rsid w:val="000A359F"/>
    <w:rsid w:val="000A3CAB"/>
    <w:rsid w:val="000A5439"/>
    <w:rsid w:val="000A79E3"/>
    <w:rsid w:val="000B054F"/>
    <w:rsid w:val="000B12D9"/>
    <w:rsid w:val="000B2522"/>
    <w:rsid w:val="000B2670"/>
    <w:rsid w:val="000B283D"/>
    <w:rsid w:val="000B4BBA"/>
    <w:rsid w:val="000B5B73"/>
    <w:rsid w:val="000B5CB0"/>
    <w:rsid w:val="000B7C39"/>
    <w:rsid w:val="000B7E4A"/>
    <w:rsid w:val="000C013D"/>
    <w:rsid w:val="000C0735"/>
    <w:rsid w:val="000C0D32"/>
    <w:rsid w:val="000C1838"/>
    <w:rsid w:val="000C2D4D"/>
    <w:rsid w:val="000C3660"/>
    <w:rsid w:val="000C537F"/>
    <w:rsid w:val="000C7D2F"/>
    <w:rsid w:val="000D1420"/>
    <w:rsid w:val="000D32D0"/>
    <w:rsid w:val="000D35B8"/>
    <w:rsid w:val="000D3CA2"/>
    <w:rsid w:val="000D47B6"/>
    <w:rsid w:val="000D5498"/>
    <w:rsid w:val="000D554E"/>
    <w:rsid w:val="000D666B"/>
    <w:rsid w:val="000D6EAF"/>
    <w:rsid w:val="000E0C61"/>
    <w:rsid w:val="000E1A5C"/>
    <w:rsid w:val="000E5BB3"/>
    <w:rsid w:val="000E6641"/>
    <w:rsid w:val="000E6FF9"/>
    <w:rsid w:val="000F07F9"/>
    <w:rsid w:val="000F0CFF"/>
    <w:rsid w:val="000F2774"/>
    <w:rsid w:val="000F2DAE"/>
    <w:rsid w:val="000F3D23"/>
    <w:rsid w:val="000F76E1"/>
    <w:rsid w:val="00100286"/>
    <w:rsid w:val="001003A1"/>
    <w:rsid w:val="00100463"/>
    <w:rsid w:val="0010253B"/>
    <w:rsid w:val="00105E5B"/>
    <w:rsid w:val="00106AC3"/>
    <w:rsid w:val="00107153"/>
    <w:rsid w:val="001079A8"/>
    <w:rsid w:val="00107FE3"/>
    <w:rsid w:val="00112759"/>
    <w:rsid w:val="00114381"/>
    <w:rsid w:val="00115614"/>
    <w:rsid w:val="00116ABE"/>
    <w:rsid w:val="001208C3"/>
    <w:rsid w:val="0012181C"/>
    <w:rsid w:val="00124019"/>
    <w:rsid w:val="00124B72"/>
    <w:rsid w:val="00124C20"/>
    <w:rsid w:val="0012589F"/>
    <w:rsid w:val="0012654A"/>
    <w:rsid w:val="00127443"/>
    <w:rsid w:val="00127447"/>
    <w:rsid w:val="00127877"/>
    <w:rsid w:val="001347AB"/>
    <w:rsid w:val="00134E1D"/>
    <w:rsid w:val="00134EAF"/>
    <w:rsid w:val="00135333"/>
    <w:rsid w:val="001373BE"/>
    <w:rsid w:val="001376D2"/>
    <w:rsid w:val="001378A4"/>
    <w:rsid w:val="00140118"/>
    <w:rsid w:val="00141B4D"/>
    <w:rsid w:val="00142584"/>
    <w:rsid w:val="00143BF1"/>
    <w:rsid w:val="00144040"/>
    <w:rsid w:val="001468DF"/>
    <w:rsid w:val="001472D3"/>
    <w:rsid w:val="001509AE"/>
    <w:rsid w:val="00154905"/>
    <w:rsid w:val="00155068"/>
    <w:rsid w:val="00155123"/>
    <w:rsid w:val="001558E9"/>
    <w:rsid w:val="00155F39"/>
    <w:rsid w:val="00156AA3"/>
    <w:rsid w:val="001609C5"/>
    <w:rsid w:val="001617E6"/>
    <w:rsid w:val="001618FF"/>
    <w:rsid w:val="001626A3"/>
    <w:rsid w:val="00162EB1"/>
    <w:rsid w:val="001651A3"/>
    <w:rsid w:val="0016693A"/>
    <w:rsid w:val="001716D9"/>
    <w:rsid w:val="0017234B"/>
    <w:rsid w:val="00173430"/>
    <w:rsid w:val="00173A9E"/>
    <w:rsid w:val="00174BC2"/>
    <w:rsid w:val="00174D27"/>
    <w:rsid w:val="001757C0"/>
    <w:rsid w:val="00175E7D"/>
    <w:rsid w:val="001778EA"/>
    <w:rsid w:val="001825F1"/>
    <w:rsid w:val="00184B52"/>
    <w:rsid w:val="0018579A"/>
    <w:rsid w:val="00186DCB"/>
    <w:rsid w:val="001879DC"/>
    <w:rsid w:val="00187AE3"/>
    <w:rsid w:val="00187C48"/>
    <w:rsid w:val="001906B8"/>
    <w:rsid w:val="00190E77"/>
    <w:rsid w:val="0019477E"/>
    <w:rsid w:val="00196387"/>
    <w:rsid w:val="0019715B"/>
    <w:rsid w:val="00197C4F"/>
    <w:rsid w:val="001A0829"/>
    <w:rsid w:val="001A08D4"/>
    <w:rsid w:val="001A1A41"/>
    <w:rsid w:val="001A28DD"/>
    <w:rsid w:val="001A47C8"/>
    <w:rsid w:val="001A53CB"/>
    <w:rsid w:val="001A5824"/>
    <w:rsid w:val="001A5895"/>
    <w:rsid w:val="001A6C93"/>
    <w:rsid w:val="001B2E1C"/>
    <w:rsid w:val="001B388F"/>
    <w:rsid w:val="001B44F3"/>
    <w:rsid w:val="001B47FF"/>
    <w:rsid w:val="001B5A1E"/>
    <w:rsid w:val="001B697C"/>
    <w:rsid w:val="001C031A"/>
    <w:rsid w:val="001C0B8A"/>
    <w:rsid w:val="001C0BF1"/>
    <w:rsid w:val="001C14B5"/>
    <w:rsid w:val="001C213D"/>
    <w:rsid w:val="001C4225"/>
    <w:rsid w:val="001D01A8"/>
    <w:rsid w:val="001D236D"/>
    <w:rsid w:val="001D32F4"/>
    <w:rsid w:val="001D4C3A"/>
    <w:rsid w:val="001D5ECE"/>
    <w:rsid w:val="001D6FE0"/>
    <w:rsid w:val="001D762C"/>
    <w:rsid w:val="001E0AE9"/>
    <w:rsid w:val="001E0F1C"/>
    <w:rsid w:val="001E1B01"/>
    <w:rsid w:val="001E2595"/>
    <w:rsid w:val="001E2656"/>
    <w:rsid w:val="001E274A"/>
    <w:rsid w:val="001E28B3"/>
    <w:rsid w:val="001E33F6"/>
    <w:rsid w:val="001E34D2"/>
    <w:rsid w:val="001E4CE8"/>
    <w:rsid w:val="001E6B31"/>
    <w:rsid w:val="001E7CA6"/>
    <w:rsid w:val="001F23C6"/>
    <w:rsid w:val="001F2BFC"/>
    <w:rsid w:val="001F4A6A"/>
    <w:rsid w:val="001F5291"/>
    <w:rsid w:val="002014E0"/>
    <w:rsid w:val="00202844"/>
    <w:rsid w:val="002069E2"/>
    <w:rsid w:val="002075E2"/>
    <w:rsid w:val="0020765A"/>
    <w:rsid w:val="0021063F"/>
    <w:rsid w:val="00211BDD"/>
    <w:rsid w:val="002121AF"/>
    <w:rsid w:val="00212532"/>
    <w:rsid w:val="00213825"/>
    <w:rsid w:val="0021418F"/>
    <w:rsid w:val="0021508B"/>
    <w:rsid w:val="002150FD"/>
    <w:rsid w:val="00215C12"/>
    <w:rsid w:val="00217D72"/>
    <w:rsid w:val="0022042C"/>
    <w:rsid w:val="00220755"/>
    <w:rsid w:val="00220971"/>
    <w:rsid w:val="00220FBC"/>
    <w:rsid w:val="00222DE6"/>
    <w:rsid w:val="002233D7"/>
    <w:rsid w:val="002262C8"/>
    <w:rsid w:val="00227CA5"/>
    <w:rsid w:val="0023000F"/>
    <w:rsid w:val="0023090D"/>
    <w:rsid w:val="00230964"/>
    <w:rsid w:val="00230BA1"/>
    <w:rsid w:val="00230FD4"/>
    <w:rsid w:val="00230FD7"/>
    <w:rsid w:val="00231920"/>
    <w:rsid w:val="00232D93"/>
    <w:rsid w:val="002368DD"/>
    <w:rsid w:val="00237436"/>
    <w:rsid w:val="00240372"/>
    <w:rsid w:val="00241349"/>
    <w:rsid w:val="0024163D"/>
    <w:rsid w:val="00241676"/>
    <w:rsid w:val="0024215B"/>
    <w:rsid w:val="00242A7A"/>
    <w:rsid w:val="00242D14"/>
    <w:rsid w:val="00244019"/>
    <w:rsid w:val="00247CB2"/>
    <w:rsid w:val="00250470"/>
    <w:rsid w:val="00251030"/>
    <w:rsid w:val="002523BD"/>
    <w:rsid w:val="00254B3A"/>
    <w:rsid w:val="00255B1B"/>
    <w:rsid w:val="00255EBF"/>
    <w:rsid w:val="0025685C"/>
    <w:rsid w:val="002575D3"/>
    <w:rsid w:val="0026010B"/>
    <w:rsid w:val="002604F8"/>
    <w:rsid w:val="00261839"/>
    <w:rsid w:val="002629D7"/>
    <w:rsid w:val="00262F65"/>
    <w:rsid w:val="00263F6E"/>
    <w:rsid w:val="002644EA"/>
    <w:rsid w:val="00264AA1"/>
    <w:rsid w:val="00264C03"/>
    <w:rsid w:val="00264FEE"/>
    <w:rsid w:val="00265178"/>
    <w:rsid w:val="00266CC8"/>
    <w:rsid w:val="002673D0"/>
    <w:rsid w:val="00271D0D"/>
    <w:rsid w:val="002729FE"/>
    <w:rsid w:val="00273216"/>
    <w:rsid w:val="00273CF5"/>
    <w:rsid w:val="002744EB"/>
    <w:rsid w:val="002752B2"/>
    <w:rsid w:val="00276306"/>
    <w:rsid w:val="00276905"/>
    <w:rsid w:val="00277AAC"/>
    <w:rsid w:val="00282F24"/>
    <w:rsid w:val="002833F9"/>
    <w:rsid w:val="00283EB3"/>
    <w:rsid w:val="0028487D"/>
    <w:rsid w:val="00284887"/>
    <w:rsid w:val="00285CE2"/>
    <w:rsid w:val="002860BD"/>
    <w:rsid w:val="00286A46"/>
    <w:rsid w:val="0028723D"/>
    <w:rsid w:val="002874E8"/>
    <w:rsid w:val="00287C52"/>
    <w:rsid w:val="002909E7"/>
    <w:rsid w:val="00291454"/>
    <w:rsid w:val="002915EA"/>
    <w:rsid w:val="00291C45"/>
    <w:rsid w:val="00292222"/>
    <w:rsid w:val="00293DB9"/>
    <w:rsid w:val="00294430"/>
    <w:rsid w:val="00295878"/>
    <w:rsid w:val="00296BB2"/>
    <w:rsid w:val="00296DA4"/>
    <w:rsid w:val="002973C4"/>
    <w:rsid w:val="00297E32"/>
    <w:rsid w:val="002A0B55"/>
    <w:rsid w:val="002A123A"/>
    <w:rsid w:val="002A1A43"/>
    <w:rsid w:val="002A2B23"/>
    <w:rsid w:val="002A2EBB"/>
    <w:rsid w:val="002A49C6"/>
    <w:rsid w:val="002A4AF6"/>
    <w:rsid w:val="002A576A"/>
    <w:rsid w:val="002A6175"/>
    <w:rsid w:val="002A746B"/>
    <w:rsid w:val="002A7D62"/>
    <w:rsid w:val="002B0B91"/>
    <w:rsid w:val="002B0F16"/>
    <w:rsid w:val="002B48A6"/>
    <w:rsid w:val="002B5189"/>
    <w:rsid w:val="002B6FB0"/>
    <w:rsid w:val="002B7C55"/>
    <w:rsid w:val="002C0C49"/>
    <w:rsid w:val="002C1659"/>
    <w:rsid w:val="002C1738"/>
    <w:rsid w:val="002C22EB"/>
    <w:rsid w:val="002C3FFE"/>
    <w:rsid w:val="002C43FA"/>
    <w:rsid w:val="002C4BAF"/>
    <w:rsid w:val="002C566C"/>
    <w:rsid w:val="002C69EA"/>
    <w:rsid w:val="002C7707"/>
    <w:rsid w:val="002D0545"/>
    <w:rsid w:val="002D33B6"/>
    <w:rsid w:val="002D56B4"/>
    <w:rsid w:val="002D5937"/>
    <w:rsid w:val="002D6661"/>
    <w:rsid w:val="002D6A77"/>
    <w:rsid w:val="002D7939"/>
    <w:rsid w:val="002E045B"/>
    <w:rsid w:val="002E082F"/>
    <w:rsid w:val="002E085B"/>
    <w:rsid w:val="002E11D7"/>
    <w:rsid w:val="002E11DD"/>
    <w:rsid w:val="002E16DD"/>
    <w:rsid w:val="002E2ABF"/>
    <w:rsid w:val="002E2C88"/>
    <w:rsid w:val="002E3923"/>
    <w:rsid w:val="002E3CB6"/>
    <w:rsid w:val="002E5143"/>
    <w:rsid w:val="002E5714"/>
    <w:rsid w:val="002E5CF5"/>
    <w:rsid w:val="002E65BF"/>
    <w:rsid w:val="002E6743"/>
    <w:rsid w:val="002E7B5B"/>
    <w:rsid w:val="002F06FA"/>
    <w:rsid w:val="002F097E"/>
    <w:rsid w:val="002F175D"/>
    <w:rsid w:val="002F1C5C"/>
    <w:rsid w:val="002F3819"/>
    <w:rsid w:val="002F48C1"/>
    <w:rsid w:val="002F48EB"/>
    <w:rsid w:val="002F4CA5"/>
    <w:rsid w:val="002F6818"/>
    <w:rsid w:val="0030007D"/>
    <w:rsid w:val="003001A0"/>
    <w:rsid w:val="0030179E"/>
    <w:rsid w:val="00303176"/>
    <w:rsid w:val="00304449"/>
    <w:rsid w:val="00305CA5"/>
    <w:rsid w:val="00305D8D"/>
    <w:rsid w:val="0030748D"/>
    <w:rsid w:val="00307CF2"/>
    <w:rsid w:val="00310592"/>
    <w:rsid w:val="00311A2C"/>
    <w:rsid w:val="00311BD9"/>
    <w:rsid w:val="00312CBB"/>
    <w:rsid w:val="003151A4"/>
    <w:rsid w:val="00315821"/>
    <w:rsid w:val="003159C0"/>
    <w:rsid w:val="00317BF0"/>
    <w:rsid w:val="00317F5D"/>
    <w:rsid w:val="003221BB"/>
    <w:rsid w:val="00322764"/>
    <w:rsid w:val="00324082"/>
    <w:rsid w:val="003264BD"/>
    <w:rsid w:val="00331198"/>
    <w:rsid w:val="00331B5E"/>
    <w:rsid w:val="00332552"/>
    <w:rsid w:val="00334648"/>
    <w:rsid w:val="00334D53"/>
    <w:rsid w:val="003373F9"/>
    <w:rsid w:val="00337668"/>
    <w:rsid w:val="003435D7"/>
    <w:rsid w:val="0034439F"/>
    <w:rsid w:val="0034459F"/>
    <w:rsid w:val="00344C2E"/>
    <w:rsid w:val="003453B8"/>
    <w:rsid w:val="00345C9A"/>
    <w:rsid w:val="00345E5F"/>
    <w:rsid w:val="003466EF"/>
    <w:rsid w:val="00346BFE"/>
    <w:rsid w:val="003472AF"/>
    <w:rsid w:val="00347719"/>
    <w:rsid w:val="00352223"/>
    <w:rsid w:val="00352485"/>
    <w:rsid w:val="00355173"/>
    <w:rsid w:val="00355AD1"/>
    <w:rsid w:val="00355CDF"/>
    <w:rsid w:val="0035606A"/>
    <w:rsid w:val="0035629C"/>
    <w:rsid w:val="0035638E"/>
    <w:rsid w:val="003571C9"/>
    <w:rsid w:val="003574F7"/>
    <w:rsid w:val="00357C0C"/>
    <w:rsid w:val="00357EB2"/>
    <w:rsid w:val="00360185"/>
    <w:rsid w:val="003606F8"/>
    <w:rsid w:val="00360BE6"/>
    <w:rsid w:val="003623E0"/>
    <w:rsid w:val="0036350A"/>
    <w:rsid w:val="00363CA4"/>
    <w:rsid w:val="00363D1D"/>
    <w:rsid w:val="00363D73"/>
    <w:rsid w:val="00363E60"/>
    <w:rsid w:val="003651FC"/>
    <w:rsid w:val="00365C03"/>
    <w:rsid w:val="00366663"/>
    <w:rsid w:val="00367DC6"/>
    <w:rsid w:val="00370BD7"/>
    <w:rsid w:val="00370FB1"/>
    <w:rsid w:val="00374BC2"/>
    <w:rsid w:val="003755A7"/>
    <w:rsid w:val="00375B09"/>
    <w:rsid w:val="00376A46"/>
    <w:rsid w:val="0038093B"/>
    <w:rsid w:val="00382B87"/>
    <w:rsid w:val="00382F34"/>
    <w:rsid w:val="00383C93"/>
    <w:rsid w:val="00384591"/>
    <w:rsid w:val="00384DE0"/>
    <w:rsid w:val="00387473"/>
    <w:rsid w:val="0039021D"/>
    <w:rsid w:val="003916EC"/>
    <w:rsid w:val="00392100"/>
    <w:rsid w:val="00393436"/>
    <w:rsid w:val="00395E73"/>
    <w:rsid w:val="0039688F"/>
    <w:rsid w:val="00397F99"/>
    <w:rsid w:val="003A0001"/>
    <w:rsid w:val="003A0B68"/>
    <w:rsid w:val="003A31EF"/>
    <w:rsid w:val="003A403A"/>
    <w:rsid w:val="003A4248"/>
    <w:rsid w:val="003A42CB"/>
    <w:rsid w:val="003A668E"/>
    <w:rsid w:val="003A7537"/>
    <w:rsid w:val="003A7BF1"/>
    <w:rsid w:val="003B0781"/>
    <w:rsid w:val="003B0E6A"/>
    <w:rsid w:val="003B1B36"/>
    <w:rsid w:val="003B3260"/>
    <w:rsid w:val="003B36F9"/>
    <w:rsid w:val="003B4076"/>
    <w:rsid w:val="003B4258"/>
    <w:rsid w:val="003B462A"/>
    <w:rsid w:val="003B50C7"/>
    <w:rsid w:val="003B73B6"/>
    <w:rsid w:val="003B767E"/>
    <w:rsid w:val="003C0932"/>
    <w:rsid w:val="003C18BE"/>
    <w:rsid w:val="003C1ECB"/>
    <w:rsid w:val="003C3194"/>
    <w:rsid w:val="003C3DCD"/>
    <w:rsid w:val="003C5CBE"/>
    <w:rsid w:val="003C5E7D"/>
    <w:rsid w:val="003C6DD8"/>
    <w:rsid w:val="003C7066"/>
    <w:rsid w:val="003C76E8"/>
    <w:rsid w:val="003D053F"/>
    <w:rsid w:val="003D1C46"/>
    <w:rsid w:val="003D3206"/>
    <w:rsid w:val="003D5A99"/>
    <w:rsid w:val="003D68C5"/>
    <w:rsid w:val="003E0DDF"/>
    <w:rsid w:val="003E27F8"/>
    <w:rsid w:val="003E2BAD"/>
    <w:rsid w:val="003E3DDD"/>
    <w:rsid w:val="003E57F1"/>
    <w:rsid w:val="003E5EC0"/>
    <w:rsid w:val="003E5FB9"/>
    <w:rsid w:val="003E6CA9"/>
    <w:rsid w:val="003E6E76"/>
    <w:rsid w:val="003F0EF9"/>
    <w:rsid w:val="003F28A6"/>
    <w:rsid w:val="003F3251"/>
    <w:rsid w:val="003F35DC"/>
    <w:rsid w:val="003F4F43"/>
    <w:rsid w:val="003F5384"/>
    <w:rsid w:val="003F5CED"/>
    <w:rsid w:val="003F6825"/>
    <w:rsid w:val="003F6976"/>
    <w:rsid w:val="003F7588"/>
    <w:rsid w:val="003F79C6"/>
    <w:rsid w:val="00400534"/>
    <w:rsid w:val="00401DC7"/>
    <w:rsid w:val="00401EF0"/>
    <w:rsid w:val="004024C9"/>
    <w:rsid w:val="0040345A"/>
    <w:rsid w:val="004040AA"/>
    <w:rsid w:val="004056B2"/>
    <w:rsid w:val="00405B44"/>
    <w:rsid w:val="00406132"/>
    <w:rsid w:val="0041187F"/>
    <w:rsid w:val="00411A90"/>
    <w:rsid w:val="00411B43"/>
    <w:rsid w:val="00411C6B"/>
    <w:rsid w:val="00412397"/>
    <w:rsid w:val="004125F8"/>
    <w:rsid w:val="00412B85"/>
    <w:rsid w:val="00413BB7"/>
    <w:rsid w:val="0041660E"/>
    <w:rsid w:val="0041746B"/>
    <w:rsid w:val="0041796A"/>
    <w:rsid w:val="004201CD"/>
    <w:rsid w:val="0042064F"/>
    <w:rsid w:val="00420DDE"/>
    <w:rsid w:val="00420ECC"/>
    <w:rsid w:val="004212E0"/>
    <w:rsid w:val="004222BF"/>
    <w:rsid w:val="00422436"/>
    <w:rsid w:val="004228BF"/>
    <w:rsid w:val="0042292B"/>
    <w:rsid w:val="00423093"/>
    <w:rsid w:val="00423758"/>
    <w:rsid w:val="00424D83"/>
    <w:rsid w:val="00425984"/>
    <w:rsid w:val="004266D2"/>
    <w:rsid w:val="00427263"/>
    <w:rsid w:val="0043005D"/>
    <w:rsid w:val="004306E3"/>
    <w:rsid w:val="0043129C"/>
    <w:rsid w:val="00432E70"/>
    <w:rsid w:val="004332F9"/>
    <w:rsid w:val="0043380D"/>
    <w:rsid w:val="00433D8B"/>
    <w:rsid w:val="00434D08"/>
    <w:rsid w:val="004369BC"/>
    <w:rsid w:val="004423A0"/>
    <w:rsid w:val="00442416"/>
    <w:rsid w:val="00442481"/>
    <w:rsid w:val="00443122"/>
    <w:rsid w:val="004432D9"/>
    <w:rsid w:val="004439CC"/>
    <w:rsid w:val="004442A2"/>
    <w:rsid w:val="00446637"/>
    <w:rsid w:val="00447EE5"/>
    <w:rsid w:val="00450021"/>
    <w:rsid w:val="00452C2F"/>
    <w:rsid w:val="00452FE1"/>
    <w:rsid w:val="0045323C"/>
    <w:rsid w:val="00454271"/>
    <w:rsid w:val="004542E4"/>
    <w:rsid w:val="00454883"/>
    <w:rsid w:val="00455136"/>
    <w:rsid w:val="0045573C"/>
    <w:rsid w:val="00456585"/>
    <w:rsid w:val="004607FA"/>
    <w:rsid w:val="00461DE9"/>
    <w:rsid w:val="00462BC7"/>
    <w:rsid w:val="00462C71"/>
    <w:rsid w:val="00463221"/>
    <w:rsid w:val="00463B24"/>
    <w:rsid w:val="004641F6"/>
    <w:rsid w:val="00465700"/>
    <w:rsid w:val="0046572E"/>
    <w:rsid w:val="00465785"/>
    <w:rsid w:val="00467853"/>
    <w:rsid w:val="004712F9"/>
    <w:rsid w:val="00473AF9"/>
    <w:rsid w:val="0047479B"/>
    <w:rsid w:val="00474ABE"/>
    <w:rsid w:val="004757A1"/>
    <w:rsid w:val="0047665A"/>
    <w:rsid w:val="00477276"/>
    <w:rsid w:val="00477905"/>
    <w:rsid w:val="00477CFA"/>
    <w:rsid w:val="00477F82"/>
    <w:rsid w:val="0048058A"/>
    <w:rsid w:val="00481416"/>
    <w:rsid w:val="004815BF"/>
    <w:rsid w:val="00481A67"/>
    <w:rsid w:val="004830B4"/>
    <w:rsid w:val="00483667"/>
    <w:rsid w:val="00483B63"/>
    <w:rsid w:val="00484A3F"/>
    <w:rsid w:val="00484BEA"/>
    <w:rsid w:val="00484F0B"/>
    <w:rsid w:val="004860D2"/>
    <w:rsid w:val="00487C92"/>
    <w:rsid w:val="00490EB0"/>
    <w:rsid w:val="00491937"/>
    <w:rsid w:val="00494452"/>
    <w:rsid w:val="00494E0A"/>
    <w:rsid w:val="0049589F"/>
    <w:rsid w:val="0049668A"/>
    <w:rsid w:val="00497F62"/>
    <w:rsid w:val="004A03EC"/>
    <w:rsid w:val="004A0E84"/>
    <w:rsid w:val="004A2CBD"/>
    <w:rsid w:val="004A3D12"/>
    <w:rsid w:val="004A3FE9"/>
    <w:rsid w:val="004A42D6"/>
    <w:rsid w:val="004B0257"/>
    <w:rsid w:val="004B0B50"/>
    <w:rsid w:val="004B11AC"/>
    <w:rsid w:val="004B1F5D"/>
    <w:rsid w:val="004B6CF7"/>
    <w:rsid w:val="004C096C"/>
    <w:rsid w:val="004C09A2"/>
    <w:rsid w:val="004C0C81"/>
    <w:rsid w:val="004C0FEF"/>
    <w:rsid w:val="004C11A4"/>
    <w:rsid w:val="004C3069"/>
    <w:rsid w:val="004C3BA4"/>
    <w:rsid w:val="004C41A5"/>
    <w:rsid w:val="004C46E9"/>
    <w:rsid w:val="004C6144"/>
    <w:rsid w:val="004D1044"/>
    <w:rsid w:val="004D1272"/>
    <w:rsid w:val="004D12D6"/>
    <w:rsid w:val="004D2071"/>
    <w:rsid w:val="004D3CFD"/>
    <w:rsid w:val="004D4A09"/>
    <w:rsid w:val="004E0107"/>
    <w:rsid w:val="004E282F"/>
    <w:rsid w:val="004E28AE"/>
    <w:rsid w:val="004E4BEA"/>
    <w:rsid w:val="004E638E"/>
    <w:rsid w:val="004E71A1"/>
    <w:rsid w:val="004E73A1"/>
    <w:rsid w:val="004F02B8"/>
    <w:rsid w:val="004F3F41"/>
    <w:rsid w:val="004F42CA"/>
    <w:rsid w:val="004F5E53"/>
    <w:rsid w:val="004F6654"/>
    <w:rsid w:val="004F6EF3"/>
    <w:rsid w:val="00500416"/>
    <w:rsid w:val="00500E62"/>
    <w:rsid w:val="00502B0A"/>
    <w:rsid w:val="00504721"/>
    <w:rsid w:val="005068F0"/>
    <w:rsid w:val="00506A5D"/>
    <w:rsid w:val="00507485"/>
    <w:rsid w:val="00507A0E"/>
    <w:rsid w:val="005109D7"/>
    <w:rsid w:val="00510B26"/>
    <w:rsid w:val="00510BD4"/>
    <w:rsid w:val="0051195D"/>
    <w:rsid w:val="005128E4"/>
    <w:rsid w:val="0051295A"/>
    <w:rsid w:val="005135D4"/>
    <w:rsid w:val="00513A90"/>
    <w:rsid w:val="005143C3"/>
    <w:rsid w:val="00515381"/>
    <w:rsid w:val="0051593B"/>
    <w:rsid w:val="0051640C"/>
    <w:rsid w:val="00516815"/>
    <w:rsid w:val="00517E8D"/>
    <w:rsid w:val="00517F22"/>
    <w:rsid w:val="00517FC0"/>
    <w:rsid w:val="0052023D"/>
    <w:rsid w:val="00520F88"/>
    <w:rsid w:val="005216F0"/>
    <w:rsid w:val="00522795"/>
    <w:rsid w:val="00525DF1"/>
    <w:rsid w:val="005262B3"/>
    <w:rsid w:val="005263E9"/>
    <w:rsid w:val="00526515"/>
    <w:rsid w:val="005265D9"/>
    <w:rsid w:val="00526F9F"/>
    <w:rsid w:val="00527606"/>
    <w:rsid w:val="00527F38"/>
    <w:rsid w:val="0053021F"/>
    <w:rsid w:val="0053243F"/>
    <w:rsid w:val="00534865"/>
    <w:rsid w:val="00536A91"/>
    <w:rsid w:val="00536ED5"/>
    <w:rsid w:val="00537287"/>
    <w:rsid w:val="00537DA5"/>
    <w:rsid w:val="0054004F"/>
    <w:rsid w:val="00542E0A"/>
    <w:rsid w:val="00543C85"/>
    <w:rsid w:val="005443F3"/>
    <w:rsid w:val="00545E69"/>
    <w:rsid w:val="0055439E"/>
    <w:rsid w:val="005555F9"/>
    <w:rsid w:val="00555776"/>
    <w:rsid w:val="00557423"/>
    <w:rsid w:val="00561564"/>
    <w:rsid w:val="00562292"/>
    <w:rsid w:val="00562E5C"/>
    <w:rsid w:val="005631C6"/>
    <w:rsid w:val="005635EA"/>
    <w:rsid w:val="0056360D"/>
    <w:rsid w:val="0056432E"/>
    <w:rsid w:val="00564AF6"/>
    <w:rsid w:val="005659BA"/>
    <w:rsid w:val="00565F73"/>
    <w:rsid w:val="005663D8"/>
    <w:rsid w:val="00566CBA"/>
    <w:rsid w:val="00567117"/>
    <w:rsid w:val="00570C98"/>
    <w:rsid w:val="005724CB"/>
    <w:rsid w:val="00576FA1"/>
    <w:rsid w:val="00577BFB"/>
    <w:rsid w:val="00582193"/>
    <w:rsid w:val="00585728"/>
    <w:rsid w:val="005860DB"/>
    <w:rsid w:val="005873A1"/>
    <w:rsid w:val="00587578"/>
    <w:rsid w:val="00587DA8"/>
    <w:rsid w:val="00587E13"/>
    <w:rsid w:val="00590552"/>
    <w:rsid w:val="00590BAC"/>
    <w:rsid w:val="00590EEB"/>
    <w:rsid w:val="005939B9"/>
    <w:rsid w:val="00593EE0"/>
    <w:rsid w:val="00595008"/>
    <w:rsid w:val="0059720B"/>
    <w:rsid w:val="005A072E"/>
    <w:rsid w:val="005A155E"/>
    <w:rsid w:val="005A1B5C"/>
    <w:rsid w:val="005A3805"/>
    <w:rsid w:val="005A3CBA"/>
    <w:rsid w:val="005A4D1E"/>
    <w:rsid w:val="005A55D0"/>
    <w:rsid w:val="005A591F"/>
    <w:rsid w:val="005A6914"/>
    <w:rsid w:val="005A6BCF"/>
    <w:rsid w:val="005A7632"/>
    <w:rsid w:val="005A7C56"/>
    <w:rsid w:val="005B1116"/>
    <w:rsid w:val="005B238D"/>
    <w:rsid w:val="005B3968"/>
    <w:rsid w:val="005B3C78"/>
    <w:rsid w:val="005B4970"/>
    <w:rsid w:val="005B54BF"/>
    <w:rsid w:val="005B5847"/>
    <w:rsid w:val="005B781D"/>
    <w:rsid w:val="005C0B1F"/>
    <w:rsid w:val="005C1263"/>
    <w:rsid w:val="005C1D31"/>
    <w:rsid w:val="005C2CE3"/>
    <w:rsid w:val="005C2EDD"/>
    <w:rsid w:val="005C4A9E"/>
    <w:rsid w:val="005C56B8"/>
    <w:rsid w:val="005C7A49"/>
    <w:rsid w:val="005C7B51"/>
    <w:rsid w:val="005D0BBC"/>
    <w:rsid w:val="005D1277"/>
    <w:rsid w:val="005D2105"/>
    <w:rsid w:val="005D5A5D"/>
    <w:rsid w:val="005E0A3A"/>
    <w:rsid w:val="005E0CF1"/>
    <w:rsid w:val="005E35C5"/>
    <w:rsid w:val="005E3951"/>
    <w:rsid w:val="005E5388"/>
    <w:rsid w:val="005E5BE7"/>
    <w:rsid w:val="005E7975"/>
    <w:rsid w:val="005F0121"/>
    <w:rsid w:val="005F2C3C"/>
    <w:rsid w:val="005F3E4B"/>
    <w:rsid w:val="005F3E55"/>
    <w:rsid w:val="005F48FF"/>
    <w:rsid w:val="005F493E"/>
    <w:rsid w:val="005F4C05"/>
    <w:rsid w:val="005F537F"/>
    <w:rsid w:val="005F5D56"/>
    <w:rsid w:val="005F5FB2"/>
    <w:rsid w:val="005F5FD9"/>
    <w:rsid w:val="005F7AF5"/>
    <w:rsid w:val="006002B2"/>
    <w:rsid w:val="00600FF6"/>
    <w:rsid w:val="006016A7"/>
    <w:rsid w:val="0060213E"/>
    <w:rsid w:val="00602FCA"/>
    <w:rsid w:val="00607C48"/>
    <w:rsid w:val="0061065E"/>
    <w:rsid w:val="006130F9"/>
    <w:rsid w:val="00613717"/>
    <w:rsid w:val="006144AC"/>
    <w:rsid w:val="0061609A"/>
    <w:rsid w:val="00617AC2"/>
    <w:rsid w:val="00617BD9"/>
    <w:rsid w:val="006200E2"/>
    <w:rsid w:val="00622899"/>
    <w:rsid w:val="0062312A"/>
    <w:rsid w:val="006256CF"/>
    <w:rsid w:val="00625E4D"/>
    <w:rsid w:val="006264E6"/>
    <w:rsid w:val="00627F0F"/>
    <w:rsid w:val="00630F43"/>
    <w:rsid w:val="0063115B"/>
    <w:rsid w:val="00632935"/>
    <w:rsid w:val="006331B9"/>
    <w:rsid w:val="006334D1"/>
    <w:rsid w:val="006342D3"/>
    <w:rsid w:val="00634B1C"/>
    <w:rsid w:val="006373B1"/>
    <w:rsid w:val="00637FF3"/>
    <w:rsid w:val="00640444"/>
    <w:rsid w:val="00640736"/>
    <w:rsid w:val="00640ADE"/>
    <w:rsid w:val="006425FE"/>
    <w:rsid w:val="006441A6"/>
    <w:rsid w:val="006464B7"/>
    <w:rsid w:val="0064728B"/>
    <w:rsid w:val="0064741F"/>
    <w:rsid w:val="006474D8"/>
    <w:rsid w:val="00647DB6"/>
    <w:rsid w:val="006500E3"/>
    <w:rsid w:val="0065072E"/>
    <w:rsid w:val="00651ABF"/>
    <w:rsid w:val="00651E49"/>
    <w:rsid w:val="00652FA8"/>
    <w:rsid w:val="00654118"/>
    <w:rsid w:val="00654646"/>
    <w:rsid w:val="00654723"/>
    <w:rsid w:val="00654A0C"/>
    <w:rsid w:val="00655DF8"/>
    <w:rsid w:val="006632F9"/>
    <w:rsid w:val="0066345E"/>
    <w:rsid w:val="00663650"/>
    <w:rsid w:val="00665906"/>
    <w:rsid w:val="00666F1A"/>
    <w:rsid w:val="0067030F"/>
    <w:rsid w:val="0067086A"/>
    <w:rsid w:val="00670B5D"/>
    <w:rsid w:val="00671089"/>
    <w:rsid w:val="00672909"/>
    <w:rsid w:val="00673337"/>
    <w:rsid w:val="00673D2D"/>
    <w:rsid w:val="00674F1D"/>
    <w:rsid w:val="00675436"/>
    <w:rsid w:val="00676CCB"/>
    <w:rsid w:val="0067716A"/>
    <w:rsid w:val="00682345"/>
    <w:rsid w:val="00682679"/>
    <w:rsid w:val="00682943"/>
    <w:rsid w:val="00683656"/>
    <w:rsid w:val="006842B5"/>
    <w:rsid w:val="00687331"/>
    <w:rsid w:val="006873A6"/>
    <w:rsid w:val="00690054"/>
    <w:rsid w:val="006907D7"/>
    <w:rsid w:val="0069209E"/>
    <w:rsid w:val="00693EFD"/>
    <w:rsid w:val="0069430B"/>
    <w:rsid w:val="006945E7"/>
    <w:rsid w:val="00695073"/>
    <w:rsid w:val="006977C6"/>
    <w:rsid w:val="006A0D9A"/>
    <w:rsid w:val="006A3161"/>
    <w:rsid w:val="006A398F"/>
    <w:rsid w:val="006A644E"/>
    <w:rsid w:val="006A68F3"/>
    <w:rsid w:val="006B1452"/>
    <w:rsid w:val="006B3077"/>
    <w:rsid w:val="006B3A11"/>
    <w:rsid w:val="006B3B3B"/>
    <w:rsid w:val="006B4618"/>
    <w:rsid w:val="006B5E75"/>
    <w:rsid w:val="006B5F3A"/>
    <w:rsid w:val="006B697E"/>
    <w:rsid w:val="006C1C99"/>
    <w:rsid w:val="006C556D"/>
    <w:rsid w:val="006C695D"/>
    <w:rsid w:val="006C714C"/>
    <w:rsid w:val="006D13DA"/>
    <w:rsid w:val="006D23AF"/>
    <w:rsid w:val="006D296C"/>
    <w:rsid w:val="006D4401"/>
    <w:rsid w:val="006D4F3D"/>
    <w:rsid w:val="006D50C5"/>
    <w:rsid w:val="006D554D"/>
    <w:rsid w:val="006D554F"/>
    <w:rsid w:val="006D6876"/>
    <w:rsid w:val="006D7796"/>
    <w:rsid w:val="006D781D"/>
    <w:rsid w:val="006E0B24"/>
    <w:rsid w:val="006E16AB"/>
    <w:rsid w:val="006E18BD"/>
    <w:rsid w:val="006E1E6D"/>
    <w:rsid w:val="006E2F50"/>
    <w:rsid w:val="006E3289"/>
    <w:rsid w:val="006E330A"/>
    <w:rsid w:val="006E3513"/>
    <w:rsid w:val="006E46EB"/>
    <w:rsid w:val="006E4AFD"/>
    <w:rsid w:val="006E5050"/>
    <w:rsid w:val="006E6747"/>
    <w:rsid w:val="006E7573"/>
    <w:rsid w:val="006E7DF5"/>
    <w:rsid w:val="006F0C37"/>
    <w:rsid w:val="006F3BBA"/>
    <w:rsid w:val="006F5E9D"/>
    <w:rsid w:val="006F6F08"/>
    <w:rsid w:val="00700157"/>
    <w:rsid w:val="007017D6"/>
    <w:rsid w:val="00702C70"/>
    <w:rsid w:val="0070309D"/>
    <w:rsid w:val="00705262"/>
    <w:rsid w:val="00705291"/>
    <w:rsid w:val="0070552F"/>
    <w:rsid w:val="00706D63"/>
    <w:rsid w:val="0070766D"/>
    <w:rsid w:val="00710741"/>
    <w:rsid w:val="007120B2"/>
    <w:rsid w:val="00712CBE"/>
    <w:rsid w:val="007148AB"/>
    <w:rsid w:val="00714EE4"/>
    <w:rsid w:val="00716620"/>
    <w:rsid w:val="00716D68"/>
    <w:rsid w:val="00716E00"/>
    <w:rsid w:val="0071750A"/>
    <w:rsid w:val="00720683"/>
    <w:rsid w:val="0072148A"/>
    <w:rsid w:val="00722B61"/>
    <w:rsid w:val="00725AD6"/>
    <w:rsid w:val="00726DDA"/>
    <w:rsid w:val="007270D4"/>
    <w:rsid w:val="00727F61"/>
    <w:rsid w:val="007305AE"/>
    <w:rsid w:val="00730E06"/>
    <w:rsid w:val="00730FE8"/>
    <w:rsid w:val="0073200D"/>
    <w:rsid w:val="00732241"/>
    <w:rsid w:val="007346EF"/>
    <w:rsid w:val="00734A18"/>
    <w:rsid w:val="00736369"/>
    <w:rsid w:val="0074114C"/>
    <w:rsid w:val="00742731"/>
    <w:rsid w:val="0074321C"/>
    <w:rsid w:val="0074449C"/>
    <w:rsid w:val="00744507"/>
    <w:rsid w:val="00744A2B"/>
    <w:rsid w:val="0074601C"/>
    <w:rsid w:val="0074670A"/>
    <w:rsid w:val="007510FD"/>
    <w:rsid w:val="00751851"/>
    <w:rsid w:val="007519B1"/>
    <w:rsid w:val="00751E36"/>
    <w:rsid w:val="00752114"/>
    <w:rsid w:val="00752FBD"/>
    <w:rsid w:val="00755260"/>
    <w:rsid w:val="0075568F"/>
    <w:rsid w:val="00755C27"/>
    <w:rsid w:val="00757473"/>
    <w:rsid w:val="00757E32"/>
    <w:rsid w:val="00760AD0"/>
    <w:rsid w:val="007618A8"/>
    <w:rsid w:val="00762041"/>
    <w:rsid w:val="00763350"/>
    <w:rsid w:val="00765515"/>
    <w:rsid w:val="007667F5"/>
    <w:rsid w:val="007718B7"/>
    <w:rsid w:val="00772268"/>
    <w:rsid w:val="00776623"/>
    <w:rsid w:val="00777DB9"/>
    <w:rsid w:val="00781529"/>
    <w:rsid w:val="00781738"/>
    <w:rsid w:val="00783905"/>
    <w:rsid w:val="00783BF7"/>
    <w:rsid w:val="00783CFD"/>
    <w:rsid w:val="007869E7"/>
    <w:rsid w:val="00786A1B"/>
    <w:rsid w:val="00786B0F"/>
    <w:rsid w:val="00787BB3"/>
    <w:rsid w:val="00790469"/>
    <w:rsid w:val="007918CE"/>
    <w:rsid w:val="00793369"/>
    <w:rsid w:val="0079381D"/>
    <w:rsid w:val="00795373"/>
    <w:rsid w:val="00796137"/>
    <w:rsid w:val="007962B4"/>
    <w:rsid w:val="00796710"/>
    <w:rsid w:val="00796FC1"/>
    <w:rsid w:val="00797839"/>
    <w:rsid w:val="00797E5C"/>
    <w:rsid w:val="007A02CB"/>
    <w:rsid w:val="007A36D3"/>
    <w:rsid w:val="007A40A9"/>
    <w:rsid w:val="007A4CAE"/>
    <w:rsid w:val="007A5225"/>
    <w:rsid w:val="007A648C"/>
    <w:rsid w:val="007A7084"/>
    <w:rsid w:val="007A72B7"/>
    <w:rsid w:val="007B0DF8"/>
    <w:rsid w:val="007B1622"/>
    <w:rsid w:val="007B2E4E"/>
    <w:rsid w:val="007B3613"/>
    <w:rsid w:val="007B481D"/>
    <w:rsid w:val="007B57FE"/>
    <w:rsid w:val="007C11C3"/>
    <w:rsid w:val="007C1230"/>
    <w:rsid w:val="007C1BDE"/>
    <w:rsid w:val="007C22B6"/>
    <w:rsid w:val="007C3229"/>
    <w:rsid w:val="007C37CA"/>
    <w:rsid w:val="007C7000"/>
    <w:rsid w:val="007D23A2"/>
    <w:rsid w:val="007D338D"/>
    <w:rsid w:val="007D688B"/>
    <w:rsid w:val="007D6C44"/>
    <w:rsid w:val="007D6F93"/>
    <w:rsid w:val="007E0BAE"/>
    <w:rsid w:val="007E1AEB"/>
    <w:rsid w:val="007E2239"/>
    <w:rsid w:val="007E31BC"/>
    <w:rsid w:val="007E5774"/>
    <w:rsid w:val="007F0DC1"/>
    <w:rsid w:val="007F5FE8"/>
    <w:rsid w:val="007F6236"/>
    <w:rsid w:val="007F74D3"/>
    <w:rsid w:val="007F770C"/>
    <w:rsid w:val="007F7AC4"/>
    <w:rsid w:val="007F7BE8"/>
    <w:rsid w:val="007F7F2E"/>
    <w:rsid w:val="00800071"/>
    <w:rsid w:val="0080070C"/>
    <w:rsid w:val="00800B40"/>
    <w:rsid w:val="00800BE4"/>
    <w:rsid w:val="008018CD"/>
    <w:rsid w:val="00802589"/>
    <w:rsid w:val="00803BD0"/>
    <w:rsid w:val="00804D58"/>
    <w:rsid w:val="00804D93"/>
    <w:rsid w:val="008068A8"/>
    <w:rsid w:val="00811040"/>
    <w:rsid w:val="00812CFC"/>
    <w:rsid w:val="00813815"/>
    <w:rsid w:val="008141C2"/>
    <w:rsid w:val="008142D6"/>
    <w:rsid w:val="00815318"/>
    <w:rsid w:val="00820E60"/>
    <w:rsid w:val="0082278F"/>
    <w:rsid w:val="00823FF6"/>
    <w:rsid w:val="008245E4"/>
    <w:rsid w:val="00825DE1"/>
    <w:rsid w:val="00825E9B"/>
    <w:rsid w:val="00826733"/>
    <w:rsid w:val="0082723C"/>
    <w:rsid w:val="00831EC1"/>
    <w:rsid w:val="00834F79"/>
    <w:rsid w:val="00836479"/>
    <w:rsid w:val="008403A7"/>
    <w:rsid w:val="00841C09"/>
    <w:rsid w:val="008432D2"/>
    <w:rsid w:val="00843794"/>
    <w:rsid w:val="00844AAF"/>
    <w:rsid w:val="00844DF4"/>
    <w:rsid w:val="00847F77"/>
    <w:rsid w:val="008552F2"/>
    <w:rsid w:val="00856277"/>
    <w:rsid w:val="008569AB"/>
    <w:rsid w:val="00857D8D"/>
    <w:rsid w:val="00857F64"/>
    <w:rsid w:val="00860072"/>
    <w:rsid w:val="008615BC"/>
    <w:rsid w:val="00861A11"/>
    <w:rsid w:val="00862C5D"/>
    <w:rsid w:val="00863D71"/>
    <w:rsid w:val="00864D24"/>
    <w:rsid w:val="00867F58"/>
    <w:rsid w:val="00873639"/>
    <w:rsid w:val="00873AD8"/>
    <w:rsid w:val="00874B73"/>
    <w:rsid w:val="0087522E"/>
    <w:rsid w:val="00875AC0"/>
    <w:rsid w:val="00875F79"/>
    <w:rsid w:val="008779B2"/>
    <w:rsid w:val="00884B83"/>
    <w:rsid w:val="008856A6"/>
    <w:rsid w:val="008866A3"/>
    <w:rsid w:val="00887CBA"/>
    <w:rsid w:val="00890DFE"/>
    <w:rsid w:val="00892B70"/>
    <w:rsid w:val="008967D3"/>
    <w:rsid w:val="0089681F"/>
    <w:rsid w:val="008A06C0"/>
    <w:rsid w:val="008A2BAB"/>
    <w:rsid w:val="008A4F6D"/>
    <w:rsid w:val="008A551E"/>
    <w:rsid w:val="008A6C9A"/>
    <w:rsid w:val="008A7F6A"/>
    <w:rsid w:val="008B0AD7"/>
    <w:rsid w:val="008B0EB1"/>
    <w:rsid w:val="008B13BD"/>
    <w:rsid w:val="008B3CD1"/>
    <w:rsid w:val="008B41E2"/>
    <w:rsid w:val="008B4EB3"/>
    <w:rsid w:val="008B5403"/>
    <w:rsid w:val="008B5CD9"/>
    <w:rsid w:val="008B66BA"/>
    <w:rsid w:val="008B7F56"/>
    <w:rsid w:val="008C075F"/>
    <w:rsid w:val="008C2E2E"/>
    <w:rsid w:val="008C4F42"/>
    <w:rsid w:val="008C6EC1"/>
    <w:rsid w:val="008D0589"/>
    <w:rsid w:val="008D1925"/>
    <w:rsid w:val="008D1F17"/>
    <w:rsid w:val="008D2A6C"/>
    <w:rsid w:val="008D7882"/>
    <w:rsid w:val="008E1DE2"/>
    <w:rsid w:val="008E272E"/>
    <w:rsid w:val="008E6070"/>
    <w:rsid w:val="008E726A"/>
    <w:rsid w:val="008E759A"/>
    <w:rsid w:val="008E7CCF"/>
    <w:rsid w:val="008F08FA"/>
    <w:rsid w:val="008F127D"/>
    <w:rsid w:val="008F3297"/>
    <w:rsid w:val="008F4BB1"/>
    <w:rsid w:val="008F54A6"/>
    <w:rsid w:val="008F6490"/>
    <w:rsid w:val="008F65FE"/>
    <w:rsid w:val="009016EC"/>
    <w:rsid w:val="00901DD9"/>
    <w:rsid w:val="0090214E"/>
    <w:rsid w:val="009023DA"/>
    <w:rsid w:val="00903AD7"/>
    <w:rsid w:val="00904C03"/>
    <w:rsid w:val="00907C84"/>
    <w:rsid w:val="00910D17"/>
    <w:rsid w:val="009115E8"/>
    <w:rsid w:val="009126CD"/>
    <w:rsid w:val="0091339E"/>
    <w:rsid w:val="00913A8C"/>
    <w:rsid w:val="009143A8"/>
    <w:rsid w:val="00916282"/>
    <w:rsid w:val="00916AAE"/>
    <w:rsid w:val="00916DD3"/>
    <w:rsid w:val="00917AA9"/>
    <w:rsid w:val="00917D77"/>
    <w:rsid w:val="0092005B"/>
    <w:rsid w:val="00921CC8"/>
    <w:rsid w:val="00922BA3"/>
    <w:rsid w:val="009234CE"/>
    <w:rsid w:val="009236BD"/>
    <w:rsid w:val="00923D74"/>
    <w:rsid w:val="00925351"/>
    <w:rsid w:val="00925382"/>
    <w:rsid w:val="00925ADD"/>
    <w:rsid w:val="00926A45"/>
    <w:rsid w:val="00927B72"/>
    <w:rsid w:val="00927F4B"/>
    <w:rsid w:val="00931400"/>
    <w:rsid w:val="00932465"/>
    <w:rsid w:val="0093254E"/>
    <w:rsid w:val="00933E37"/>
    <w:rsid w:val="009350A0"/>
    <w:rsid w:val="00936110"/>
    <w:rsid w:val="00936199"/>
    <w:rsid w:val="0094070D"/>
    <w:rsid w:val="00940FF2"/>
    <w:rsid w:val="00943F38"/>
    <w:rsid w:val="00944571"/>
    <w:rsid w:val="00946DEA"/>
    <w:rsid w:val="009470BA"/>
    <w:rsid w:val="0095097D"/>
    <w:rsid w:val="00950F94"/>
    <w:rsid w:val="009515A6"/>
    <w:rsid w:val="00952090"/>
    <w:rsid w:val="00952439"/>
    <w:rsid w:val="00954AAA"/>
    <w:rsid w:val="00954ABC"/>
    <w:rsid w:val="0095631F"/>
    <w:rsid w:val="009569DF"/>
    <w:rsid w:val="00961F19"/>
    <w:rsid w:val="00963A98"/>
    <w:rsid w:val="009653F8"/>
    <w:rsid w:val="00965D36"/>
    <w:rsid w:val="009662AD"/>
    <w:rsid w:val="00966639"/>
    <w:rsid w:val="00966800"/>
    <w:rsid w:val="009668FE"/>
    <w:rsid w:val="00966D07"/>
    <w:rsid w:val="0096731D"/>
    <w:rsid w:val="009706E1"/>
    <w:rsid w:val="009718AD"/>
    <w:rsid w:val="00971F27"/>
    <w:rsid w:val="009721A6"/>
    <w:rsid w:val="00972884"/>
    <w:rsid w:val="0097765B"/>
    <w:rsid w:val="009807A4"/>
    <w:rsid w:val="009819C9"/>
    <w:rsid w:val="009820D7"/>
    <w:rsid w:val="009835E4"/>
    <w:rsid w:val="00983E7D"/>
    <w:rsid w:val="0098717E"/>
    <w:rsid w:val="00987239"/>
    <w:rsid w:val="0099211C"/>
    <w:rsid w:val="00993008"/>
    <w:rsid w:val="00993F6E"/>
    <w:rsid w:val="0099435A"/>
    <w:rsid w:val="00995ABA"/>
    <w:rsid w:val="00995EEE"/>
    <w:rsid w:val="00995EF3"/>
    <w:rsid w:val="00996950"/>
    <w:rsid w:val="009A1740"/>
    <w:rsid w:val="009A23D9"/>
    <w:rsid w:val="009A2FDD"/>
    <w:rsid w:val="009A4A0F"/>
    <w:rsid w:val="009A5FF0"/>
    <w:rsid w:val="009A7542"/>
    <w:rsid w:val="009B0954"/>
    <w:rsid w:val="009B3052"/>
    <w:rsid w:val="009B49EA"/>
    <w:rsid w:val="009B4FE1"/>
    <w:rsid w:val="009B548E"/>
    <w:rsid w:val="009B6DDC"/>
    <w:rsid w:val="009C12B1"/>
    <w:rsid w:val="009C1CAE"/>
    <w:rsid w:val="009C213A"/>
    <w:rsid w:val="009C2857"/>
    <w:rsid w:val="009C2937"/>
    <w:rsid w:val="009C2942"/>
    <w:rsid w:val="009C3A86"/>
    <w:rsid w:val="009C4AB7"/>
    <w:rsid w:val="009C4CF7"/>
    <w:rsid w:val="009C5A46"/>
    <w:rsid w:val="009C60B3"/>
    <w:rsid w:val="009C7221"/>
    <w:rsid w:val="009C763C"/>
    <w:rsid w:val="009C76EF"/>
    <w:rsid w:val="009D0553"/>
    <w:rsid w:val="009D2B76"/>
    <w:rsid w:val="009D2C5D"/>
    <w:rsid w:val="009D6D98"/>
    <w:rsid w:val="009D70F9"/>
    <w:rsid w:val="009E0462"/>
    <w:rsid w:val="009E14F9"/>
    <w:rsid w:val="009E2DCF"/>
    <w:rsid w:val="009E57C4"/>
    <w:rsid w:val="009F0F87"/>
    <w:rsid w:val="009F2AFC"/>
    <w:rsid w:val="009F3FB5"/>
    <w:rsid w:val="009F4DCE"/>
    <w:rsid w:val="009F561C"/>
    <w:rsid w:val="009F7222"/>
    <w:rsid w:val="009F7DE2"/>
    <w:rsid w:val="00A01B58"/>
    <w:rsid w:val="00A0366D"/>
    <w:rsid w:val="00A04829"/>
    <w:rsid w:val="00A04C7C"/>
    <w:rsid w:val="00A04E9C"/>
    <w:rsid w:val="00A068EF"/>
    <w:rsid w:val="00A0736D"/>
    <w:rsid w:val="00A077D1"/>
    <w:rsid w:val="00A10C38"/>
    <w:rsid w:val="00A12145"/>
    <w:rsid w:val="00A12562"/>
    <w:rsid w:val="00A12E20"/>
    <w:rsid w:val="00A14E79"/>
    <w:rsid w:val="00A16872"/>
    <w:rsid w:val="00A16D6A"/>
    <w:rsid w:val="00A178E0"/>
    <w:rsid w:val="00A1791E"/>
    <w:rsid w:val="00A17A31"/>
    <w:rsid w:val="00A17D4B"/>
    <w:rsid w:val="00A200DB"/>
    <w:rsid w:val="00A209E4"/>
    <w:rsid w:val="00A2317F"/>
    <w:rsid w:val="00A23D53"/>
    <w:rsid w:val="00A2444C"/>
    <w:rsid w:val="00A2691C"/>
    <w:rsid w:val="00A300E0"/>
    <w:rsid w:val="00A30639"/>
    <w:rsid w:val="00A30E07"/>
    <w:rsid w:val="00A31376"/>
    <w:rsid w:val="00A320B3"/>
    <w:rsid w:val="00A32B30"/>
    <w:rsid w:val="00A33B87"/>
    <w:rsid w:val="00A33BDA"/>
    <w:rsid w:val="00A33C85"/>
    <w:rsid w:val="00A3409F"/>
    <w:rsid w:val="00A344D9"/>
    <w:rsid w:val="00A352F9"/>
    <w:rsid w:val="00A36593"/>
    <w:rsid w:val="00A36A66"/>
    <w:rsid w:val="00A37783"/>
    <w:rsid w:val="00A37EB3"/>
    <w:rsid w:val="00A4064A"/>
    <w:rsid w:val="00A41F1A"/>
    <w:rsid w:val="00A4308A"/>
    <w:rsid w:val="00A43D33"/>
    <w:rsid w:val="00A46247"/>
    <w:rsid w:val="00A46352"/>
    <w:rsid w:val="00A46824"/>
    <w:rsid w:val="00A47186"/>
    <w:rsid w:val="00A4769D"/>
    <w:rsid w:val="00A519D3"/>
    <w:rsid w:val="00A51E2B"/>
    <w:rsid w:val="00A5251D"/>
    <w:rsid w:val="00A53425"/>
    <w:rsid w:val="00A54535"/>
    <w:rsid w:val="00A54F8F"/>
    <w:rsid w:val="00A55FC3"/>
    <w:rsid w:val="00A5614A"/>
    <w:rsid w:val="00A61DF8"/>
    <w:rsid w:val="00A62B00"/>
    <w:rsid w:val="00A62DCD"/>
    <w:rsid w:val="00A631F5"/>
    <w:rsid w:val="00A63FEF"/>
    <w:rsid w:val="00A64A36"/>
    <w:rsid w:val="00A664D9"/>
    <w:rsid w:val="00A66DA4"/>
    <w:rsid w:val="00A677CF"/>
    <w:rsid w:val="00A708B3"/>
    <w:rsid w:val="00A70FB8"/>
    <w:rsid w:val="00A713BB"/>
    <w:rsid w:val="00A71620"/>
    <w:rsid w:val="00A71C18"/>
    <w:rsid w:val="00A71EFD"/>
    <w:rsid w:val="00A71F89"/>
    <w:rsid w:val="00A7317D"/>
    <w:rsid w:val="00A776EA"/>
    <w:rsid w:val="00A77C53"/>
    <w:rsid w:val="00A802AF"/>
    <w:rsid w:val="00A80868"/>
    <w:rsid w:val="00A80AFC"/>
    <w:rsid w:val="00A80C7D"/>
    <w:rsid w:val="00A80CD1"/>
    <w:rsid w:val="00A80E21"/>
    <w:rsid w:val="00A80E82"/>
    <w:rsid w:val="00A81977"/>
    <w:rsid w:val="00A82A2A"/>
    <w:rsid w:val="00A8399E"/>
    <w:rsid w:val="00A84182"/>
    <w:rsid w:val="00A84909"/>
    <w:rsid w:val="00A84B2C"/>
    <w:rsid w:val="00A85509"/>
    <w:rsid w:val="00A874AA"/>
    <w:rsid w:val="00A8775E"/>
    <w:rsid w:val="00A879EA"/>
    <w:rsid w:val="00A87F5F"/>
    <w:rsid w:val="00A910CA"/>
    <w:rsid w:val="00A9280A"/>
    <w:rsid w:val="00A92B65"/>
    <w:rsid w:val="00A94129"/>
    <w:rsid w:val="00A94C29"/>
    <w:rsid w:val="00A96422"/>
    <w:rsid w:val="00AA2239"/>
    <w:rsid w:val="00AA3137"/>
    <w:rsid w:val="00AA41DF"/>
    <w:rsid w:val="00AA4233"/>
    <w:rsid w:val="00AA60E8"/>
    <w:rsid w:val="00AA7DD9"/>
    <w:rsid w:val="00AA7EA9"/>
    <w:rsid w:val="00AB001F"/>
    <w:rsid w:val="00AB0442"/>
    <w:rsid w:val="00AB08EB"/>
    <w:rsid w:val="00AB1B7C"/>
    <w:rsid w:val="00AB46FB"/>
    <w:rsid w:val="00AB4BA5"/>
    <w:rsid w:val="00AB4BC0"/>
    <w:rsid w:val="00AB68E6"/>
    <w:rsid w:val="00AB698B"/>
    <w:rsid w:val="00AB7811"/>
    <w:rsid w:val="00AB7D69"/>
    <w:rsid w:val="00AC003F"/>
    <w:rsid w:val="00AC035E"/>
    <w:rsid w:val="00AC06E6"/>
    <w:rsid w:val="00AC0A1B"/>
    <w:rsid w:val="00AC1029"/>
    <w:rsid w:val="00AC16AD"/>
    <w:rsid w:val="00AC64A4"/>
    <w:rsid w:val="00AC668F"/>
    <w:rsid w:val="00AC7162"/>
    <w:rsid w:val="00AC74B0"/>
    <w:rsid w:val="00AC7F01"/>
    <w:rsid w:val="00AD030C"/>
    <w:rsid w:val="00AD0423"/>
    <w:rsid w:val="00AD0915"/>
    <w:rsid w:val="00AD1F23"/>
    <w:rsid w:val="00AD360C"/>
    <w:rsid w:val="00AD60D0"/>
    <w:rsid w:val="00AD731F"/>
    <w:rsid w:val="00AD7925"/>
    <w:rsid w:val="00AD7FCD"/>
    <w:rsid w:val="00AE0F13"/>
    <w:rsid w:val="00AE1C42"/>
    <w:rsid w:val="00AE1DF3"/>
    <w:rsid w:val="00AE1EA0"/>
    <w:rsid w:val="00AE2C97"/>
    <w:rsid w:val="00AE4B49"/>
    <w:rsid w:val="00AE4F5F"/>
    <w:rsid w:val="00AE57F5"/>
    <w:rsid w:val="00AE5F4D"/>
    <w:rsid w:val="00AE748F"/>
    <w:rsid w:val="00AE7BD1"/>
    <w:rsid w:val="00AF2513"/>
    <w:rsid w:val="00AF2705"/>
    <w:rsid w:val="00AF2813"/>
    <w:rsid w:val="00AF3579"/>
    <w:rsid w:val="00AF3A82"/>
    <w:rsid w:val="00AF5362"/>
    <w:rsid w:val="00AF668B"/>
    <w:rsid w:val="00AF73A8"/>
    <w:rsid w:val="00AF75A9"/>
    <w:rsid w:val="00AF7637"/>
    <w:rsid w:val="00AF7ACB"/>
    <w:rsid w:val="00B0180F"/>
    <w:rsid w:val="00B05004"/>
    <w:rsid w:val="00B057B9"/>
    <w:rsid w:val="00B05BE9"/>
    <w:rsid w:val="00B05BF5"/>
    <w:rsid w:val="00B06BF3"/>
    <w:rsid w:val="00B06D4E"/>
    <w:rsid w:val="00B13DA3"/>
    <w:rsid w:val="00B14ADC"/>
    <w:rsid w:val="00B14B0F"/>
    <w:rsid w:val="00B16993"/>
    <w:rsid w:val="00B16AA5"/>
    <w:rsid w:val="00B20E09"/>
    <w:rsid w:val="00B210F2"/>
    <w:rsid w:val="00B21D39"/>
    <w:rsid w:val="00B22007"/>
    <w:rsid w:val="00B22611"/>
    <w:rsid w:val="00B23942"/>
    <w:rsid w:val="00B24EFE"/>
    <w:rsid w:val="00B27D05"/>
    <w:rsid w:val="00B305E0"/>
    <w:rsid w:val="00B3063D"/>
    <w:rsid w:val="00B32384"/>
    <w:rsid w:val="00B32B3A"/>
    <w:rsid w:val="00B34889"/>
    <w:rsid w:val="00B35209"/>
    <w:rsid w:val="00B360E5"/>
    <w:rsid w:val="00B36410"/>
    <w:rsid w:val="00B36DD9"/>
    <w:rsid w:val="00B4181F"/>
    <w:rsid w:val="00B4221B"/>
    <w:rsid w:val="00B423E0"/>
    <w:rsid w:val="00B42743"/>
    <w:rsid w:val="00B42C71"/>
    <w:rsid w:val="00B42DD1"/>
    <w:rsid w:val="00B44115"/>
    <w:rsid w:val="00B443B5"/>
    <w:rsid w:val="00B453B1"/>
    <w:rsid w:val="00B472E7"/>
    <w:rsid w:val="00B522E9"/>
    <w:rsid w:val="00B53B34"/>
    <w:rsid w:val="00B579E5"/>
    <w:rsid w:val="00B57B85"/>
    <w:rsid w:val="00B57F9A"/>
    <w:rsid w:val="00B61C75"/>
    <w:rsid w:val="00B626FE"/>
    <w:rsid w:val="00B64049"/>
    <w:rsid w:val="00B64801"/>
    <w:rsid w:val="00B65735"/>
    <w:rsid w:val="00B66527"/>
    <w:rsid w:val="00B70561"/>
    <w:rsid w:val="00B71518"/>
    <w:rsid w:val="00B720C7"/>
    <w:rsid w:val="00B72118"/>
    <w:rsid w:val="00B74B28"/>
    <w:rsid w:val="00B76645"/>
    <w:rsid w:val="00B801B3"/>
    <w:rsid w:val="00B80793"/>
    <w:rsid w:val="00B80D77"/>
    <w:rsid w:val="00B81023"/>
    <w:rsid w:val="00B82E0C"/>
    <w:rsid w:val="00B82F20"/>
    <w:rsid w:val="00B8338A"/>
    <w:rsid w:val="00B83E64"/>
    <w:rsid w:val="00B8426A"/>
    <w:rsid w:val="00B8494A"/>
    <w:rsid w:val="00B84AF2"/>
    <w:rsid w:val="00B86461"/>
    <w:rsid w:val="00B87167"/>
    <w:rsid w:val="00B875BB"/>
    <w:rsid w:val="00B90F80"/>
    <w:rsid w:val="00B91081"/>
    <w:rsid w:val="00B915C4"/>
    <w:rsid w:val="00B92B41"/>
    <w:rsid w:val="00B93C63"/>
    <w:rsid w:val="00B96BD8"/>
    <w:rsid w:val="00B96EBE"/>
    <w:rsid w:val="00B9790B"/>
    <w:rsid w:val="00B97B05"/>
    <w:rsid w:val="00BA0DD0"/>
    <w:rsid w:val="00BA11C1"/>
    <w:rsid w:val="00BA1AA8"/>
    <w:rsid w:val="00BA1D9C"/>
    <w:rsid w:val="00BA1DB6"/>
    <w:rsid w:val="00BA4E25"/>
    <w:rsid w:val="00BA6A64"/>
    <w:rsid w:val="00BB069F"/>
    <w:rsid w:val="00BB082D"/>
    <w:rsid w:val="00BB2388"/>
    <w:rsid w:val="00BB40E5"/>
    <w:rsid w:val="00BB43BE"/>
    <w:rsid w:val="00BB4A84"/>
    <w:rsid w:val="00BB6677"/>
    <w:rsid w:val="00BB6F8A"/>
    <w:rsid w:val="00BB75A9"/>
    <w:rsid w:val="00BC04F3"/>
    <w:rsid w:val="00BC227A"/>
    <w:rsid w:val="00BC2F75"/>
    <w:rsid w:val="00BC6028"/>
    <w:rsid w:val="00BC7CF9"/>
    <w:rsid w:val="00BD0CB6"/>
    <w:rsid w:val="00BD16AB"/>
    <w:rsid w:val="00BD16BD"/>
    <w:rsid w:val="00BD57C0"/>
    <w:rsid w:val="00BD6813"/>
    <w:rsid w:val="00BD6D8A"/>
    <w:rsid w:val="00BD72E0"/>
    <w:rsid w:val="00BE0631"/>
    <w:rsid w:val="00BE24CB"/>
    <w:rsid w:val="00BE419D"/>
    <w:rsid w:val="00BE4FB0"/>
    <w:rsid w:val="00BE517F"/>
    <w:rsid w:val="00BE5995"/>
    <w:rsid w:val="00BE6C46"/>
    <w:rsid w:val="00BE7399"/>
    <w:rsid w:val="00BF0B08"/>
    <w:rsid w:val="00BF4312"/>
    <w:rsid w:val="00BF43EE"/>
    <w:rsid w:val="00BF4C26"/>
    <w:rsid w:val="00BF4C2C"/>
    <w:rsid w:val="00BF5CBA"/>
    <w:rsid w:val="00BF680D"/>
    <w:rsid w:val="00BF6BED"/>
    <w:rsid w:val="00C01161"/>
    <w:rsid w:val="00C03E41"/>
    <w:rsid w:val="00C067A9"/>
    <w:rsid w:val="00C067ED"/>
    <w:rsid w:val="00C06EEC"/>
    <w:rsid w:val="00C1093D"/>
    <w:rsid w:val="00C13364"/>
    <w:rsid w:val="00C13AF0"/>
    <w:rsid w:val="00C14411"/>
    <w:rsid w:val="00C15DC6"/>
    <w:rsid w:val="00C16D1D"/>
    <w:rsid w:val="00C17B40"/>
    <w:rsid w:val="00C21B75"/>
    <w:rsid w:val="00C23CDE"/>
    <w:rsid w:val="00C2434F"/>
    <w:rsid w:val="00C257D0"/>
    <w:rsid w:val="00C25C1D"/>
    <w:rsid w:val="00C27D2B"/>
    <w:rsid w:val="00C27DFB"/>
    <w:rsid w:val="00C307D7"/>
    <w:rsid w:val="00C3130F"/>
    <w:rsid w:val="00C316BA"/>
    <w:rsid w:val="00C31A25"/>
    <w:rsid w:val="00C31AE7"/>
    <w:rsid w:val="00C34479"/>
    <w:rsid w:val="00C34EA1"/>
    <w:rsid w:val="00C34EEF"/>
    <w:rsid w:val="00C35A02"/>
    <w:rsid w:val="00C36739"/>
    <w:rsid w:val="00C4257E"/>
    <w:rsid w:val="00C43EFE"/>
    <w:rsid w:val="00C4756E"/>
    <w:rsid w:val="00C50B24"/>
    <w:rsid w:val="00C50C79"/>
    <w:rsid w:val="00C510C9"/>
    <w:rsid w:val="00C51247"/>
    <w:rsid w:val="00C52206"/>
    <w:rsid w:val="00C526D2"/>
    <w:rsid w:val="00C55A52"/>
    <w:rsid w:val="00C5737D"/>
    <w:rsid w:val="00C578E9"/>
    <w:rsid w:val="00C617BD"/>
    <w:rsid w:val="00C62066"/>
    <w:rsid w:val="00C62710"/>
    <w:rsid w:val="00C6296F"/>
    <w:rsid w:val="00C64803"/>
    <w:rsid w:val="00C64F0A"/>
    <w:rsid w:val="00C6603B"/>
    <w:rsid w:val="00C661C8"/>
    <w:rsid w:val="00C675F3"/>
    <w:rsid w:val="00C678AE"/>
    <w:rsid w:val="00C701DE"/>
    <w:rsid w:val="00C744D0"/>
    <w:rsid w:val="00C74FB4"/>
    <w:rsid w:val="00C75B1F"/>
    <w:rsid w:val="00C81AF8"/>
    <w:rsid w:val="00C82CB9"/>
    <w:rsid w:val="00C834F2"/>
    <w:rsid w:val="00C8434F"/>
    <w:rsid w:val="00C8486D"/>
    <w:rsid w:val="00C84E21"/>
    <w:rsid w:val="00C868F0"/>
    <w:rsid w:val="00C86BC0"/>
    <w:rsid w:val="00C8716C"/>
    <w:rsid w:val="00C918AD"/>
    <w:rsid w:val="00C928DC"/>
    <w:rsid w:val="00C92D6B"/>
    <w:rsid w:val="00C933FE"/>
    <w:rsid w:val="00C93DD6"/>
    <w:rsid w:val="00C94291"/>
    <w:rsid w:val="00C94D92"/>
    <w:rsid w:val="00C955D1"/>
    <w:rsid w:val="00C95CB7"/>
    <w:rsid w:val="00C95CCB"/>
    <w:rsid w:val="00C95EA4"/>
    <w:rsid w:val="00C9623A"/>
    <w:rsid w:val="00C97881"/>
    <w:rsid w:val="00CA0E87"/>
    <w:rsid w:val="00CA21ED"/>
    <w:rsid w:val="00CA2838"/>
    <w:rsid w:val="00CA47C4"/>
    <w:rsid w:val="00CA4EFB"/>
    <w:rsid w:val="00CA56B4"/>
    <w:rsid w:val="00CA6381"/>
    <w:rsid w:val="00CA6DCB"/>
    <w:rsid w:val="00CA6EC2"/>
    <w:rsid w:val="00CA7277"/>
    <w:rsid w:val="00CB0205"/>
    <w:rsid w:val="00CB0D18"/>
    <w:rsid w:val="00CB1241"/>
    <w:rsid w:val="00CB2143"/>
    <w:rsid w:val="00CB2748"/>
    <w:rsid w:val="00CB4317"/>
    <w:rsid w:val="00CB536F"/>
    <w:rsid w:val="00CB564E"/>
    <w:rsid w:val="00CB7157"/>
    <w:rsid w:val="00CB76D8"/>
    <w:rsid w:val="00CB7FA7"/>
    <w:rsid w:val="00CB7FB5"/>
    <w:rsid w:val="00CC10AF"/>
    <w:rsid w:val="00CC18D7"/>
    <w:rsid w:val="00CC20AB"/>
    <w:rsid w:val="00CC21E0"/>
    <w:rsid w:val="00CC29D3"/>
    <w:rsid w:val="00CC3378"/>
    <w:rsid w:val="00CC4B1E"/>
    <w:rsid w:val="00CC63D8"/>
    <w:rsid w:val="00CC64D7"/>
    <w:rsid w:val="00CC6735"/>
    <w:rsid w:val="00CC79A4"/>
    <w:rsid w:val="00CC7D79"/>
    <w:rsid w:val="00CD24F4"/>
    <w:rsid w:val="00CD2B87"/>
    <w:rsid w:val="00CD2E11"/>
    <w:rsid w:val="00CD5816"/>
    <w:rsid w:val="00CD5EA3"/>
    <w:rsid w:val="00CD6BAE"/>
    <w:rsid w:val="00CD738B"/>
    <w:rsid w:val="00CE034F"/>
    <w:rsid w:val="00CE0B32"/>
    <w:rsid w:val="00CE101B"/>
    <w:rsid w:val="00CE15CE"/>
    <w:rsid w:val="00CE1AE6"/>
    <w:rsid w:val="00CE1D0E"/>
    <w:rsid w:val="00CE29F0"/>
    <w:rsid w:val="00CE306E"/>
    <w:rsid w:val="00CE3A2F"/>
    <w:rsid w:val="00CE4430"/>
    <w:rsid w:val="00CE5807"/>
    <w:rsid w:val="00CE5A8D"/>
    <w:rsid w:val="00CE6489"/>
    <w:rsid w:val="00CE696B"/>
    <w:rsid w:val="00CE70A5"/>
    <w:rsid w:val="00CE7C5B"/>
    <w:rsid w:val="00CF01B5"/>
    <w:rsid w:val="00CF0BBF"/>
    <w:rsid w:val="00CF11BA"/>
    <w:rsid w:val="00CF2214"/>
    <w:rsid w:val="00CF265D"/>
    <w:rsid w:val="00CF28F5"/>
    <w:rsid w:val="00CF2DC1"/>
    <w:rsid w:val="00CF3890"/>
    <w:rsid w:val="00CF4838"/>
    <w:rsid w:val="00CF5C96"/>
    <w:rsid w:val="00CF60F7"/>
    <w:rsid w:val="00CF737D"/>
    <w:rsid w:val="00CF7B0F"/>
    <w:rsid w:val="00D01265"/>
    <w:rsid w:val="00D0171E"/>
    <w:rsid w:val="00D01E44"/>
    <w:rsid w:val="00D02074"/>
    <w:rsid w:val="00D02477"/>
    <w:rsid w:val="00D02933"/>
    <w:rsid w:val="00D03044"/>
    <w:rsid w:val="00D03514"/>
    <w:rsid w:val="00D04C20"/>
    <w:rsid w:val="00D04C9B"/>
    <w:rsid w:val="00D06B07"/>
    <w:rsid w:val="00D06B81"/>
    <w:rsid w:val="00D10ED0"/>
    <w:rsid w:val="00D11240"/>
    <w:rsid w:val="00D11F86"/>
    <w:rsid w:val="00D12264"/>
    <w:rsid w:val="00D12274"/>
    <w:rsid w:val="00D127EE"/>
    <w:rsid w:val="00D13C8A"/>
    <w:rsid w:val="00D14928"/>
    <w:rsid w:val="00D15ADA"/>
    <w:rsid w:val="00D15D88"/>
    <w:rsid w:val="00D1684A"/>
    <w:rsid w:val="00D16EC4"/>
    <w:rsid w:val="00D17C3C"/>
    <w:rsid w:val="00D201B2"/>
    <w:rsid w:val="00D24199"/>
    <w:rsid w:val="00D24365"/>
    <w:rsid w:val="00D24E8C"/>
    <w:rsid w:val="00D25C7A"/>
    <w:rsid w:val="00D26E47"/>
    <w:rsid w:val="00D27736"/>
    <w:rsid w:val="00D3111C"/>
    <w:rsid w:val="00D312A6"/>
    <w:rsid w:val="00D31ECA"/>
    <w:rsid w:val="00D323D0"/>
    <w:rsid w:val="00D33A24"/>
    <w:rsid w:val="00D345D5"/>
    <w:rsid w:val="00D34807"/>
    <w:rsid w:val="00D353B3"/>
    <w:rsid w:val="00D356A2"/>
    <w:rsid w:val="00D359FB"/>
    <w:rsid w:val="00D373CF"/>
    <w:rsid w:val="00D375D9"/>
    <w:rsid w:val="00D41AEA"/>
    <w:rsid w:val="00D451E8"/>
    <w:rsid w:val="00D45E8C"/>
    <w:rsid w:val="00D473F8"/>
    <w:rsid w:val="00D47B5E"/>
    <w:rsid w:val="00D50027"/>
    <w:rsid w:val="00D508C1"/>
    <w:rsid w:val="00D50CC4"/>
    <w:rsid w:val="00D51307"/>
    <w:rsid w:val="00D52297"/>
    <w:rsid w:val="00D53379"/>
    <w:rsid w:val="00D53873"/>
    <w:rsid w:val="00D55BF6"/>
    <w:rsid w:val="00D57A46"/>
    <w:rsid w:val="00D57D06"/>
    <w:rsid w:val="00D57E3E"/>
    <w:rsid w:val="00D60234"/>
    <w:rsid w:val="00D60644"/>
    <w:rsid w:val="00D608F7"/>
    <w:rsid w:val="00D6175F"/>
    <w:rsid w:val="00D637E8"/>
    <w:rsid w:val="00D64A5F"/>
    <w:rsid w:val="00D6520F"/>
    <w:rsid w:val="00D65220"/>
    <w:rsid w:val="00D679DF"/>
    <w:rsid w:val="00D67B21"/>
    <w:rsid w:val="00D7119A"/>
    <w:rsid w:val="00D7132D"/>
    <w:rsid w:val="00D71409"/>
    <w:rsid w:val="00D75535"/>
    <w:rsid w:val="00D775C2"/>
    <w:rsid w:val="00D77751"/>
    <w:rsid w:val="00D77FFA"/>
    <w:rsid w:val="00D803CB"/>
    <w:rsid w:val="00D8269D"/>
    <w:rsid w:val="00D827AA"/>
    <w:rsid w:val="00D8288E"/>
    <w:rsid w:val="00D82A93"/>
    <w:rsid w:val="00D84539"/>
    <w:rsid w:val="00D84A56"/>
    <w:rsid w:val="00D851E9"/>
    <w:rsid w:val="00D85574"/>
    <w:rsid w:val="00D90172"/>
    <w:rsid w:val="00D9098F"/>
    <w:rsid w:val="00D91E7C"/>
    <w:rsid w:val="00D92BF3"/>
    <w:rsid w:val="00D949BE"/>
    <w:rsid w:val="00D9508E"/>
    <w:rsid w:val="00D95957"/>
    <w:rsid w:val="00D97121"/>
    <w:rsid w:val="00D9750E"/>
    <w:rsid w:val="00DA05E8"/>
    <w:rsid w:val="00DA17DB"/>
    <w:rsid w:val="00DA1FAE"/>
    <w:rsid w:val="00DA24F5"/>
    <w:rsid w:val="00DA29B1"/>
    <w:rsid w:val="00DA3328"/>
    <w:rsid w:val="00DA44F6"/>
    <w:rsid w:val="00DA4A36"/>
    <w:rsid w:val="00DA539A"/>
    <w:rsid w:val="00DA55F1"/>
    <w:rsid w:val="00DA639C"/>
    <w:rsid w:val="00DA7230"/>
    <w:rsid w:val="00DA7A2C"/>
    <w:rsid w:val="00DA7B8A"/>
    <w:rsid w:val="00DA7E7B"/>
    <w:rsid w:val="00DB3FAC"/>
    <w:rsid w:val="00DB473A"/>
    <w:rsid w:val="00DB4E86"/>
    <w:rsid w:val="00DB5F1C"/>
    <w:rsid w:val="00DB62DF"/>
    <w:rsid w:val="00DB6761"/>
    <w:rsid w:val="00DB72D0"/>
    <w:rsid w:val="00DB7AD3"/>
    <w:rsid w:val="00DC0571"/>
    <w:rsid w:val="00DC08AC"/>
    <w:rsid w:val="00DC19AA"/>
    <w:rsid w:val="00DC28AA"/>
    <w:rsid w:val="00DC3F44"/>
    <w:rsid w:val="00DC523D"/>
    <w:rsid w:val="00DC5821"/>
    <w:rsid w:val="00DC6CE6"/>
    <w:rsid w:val="00DD1D13"/>
    <w:rsid w:val="00DD2172"/>
    <w:rsid w:val="00DD21E8"/>
    <w:rsid w:val="00DD2725"/>
    <w:rsid w:val="00DD3F30"/>
    <w:rsid w:val="00DD40F8"/>
    <w:rsid w:val="00DD6416"/>
    <w:rsid w:val="00DD78FC"/>
    <w:rsid w:val="00DD7CCB"/>
    <w:rsid w:val="00DE0357"/>
    <w:rsid w:val="00DE0D40"/>
    <w:rsid w:val="00DE32AE"/>
    <w:rsid w:val="00DE3D0F"/>
    <w:rsid w:val="00DE4B7A"/>
    <w:rsid w:val="00DE5F5D"/>
    <w:rsid w:val="00DE6488"/>
    <w:rsid w:val="00DE7FE5"/>
    <w:rsid w:val="00DF005D"/>
    <w:rsid w:val="00DF09A0"/>
    <w:rsid w:val="00DF0A9C"/>
    <w:rsid w:val="00DF1147"/>
    <w:rsid w:val="00DF253E"/>
    <w:rsid w:val="00DF2B98"/>
    <w:rsid w:val="00DF35D3"/>
    <w:rsid w:val="00DF361D"/>
    <w:rsid w:val="00DF47A4"/>
    <w:rsid w:val="00DF5406"/>
    <w:rsid w:val="00DF55E9"/>
    <w:rsid w:val="00DF5A7E"/>
    <w:rsid w:val="00DF5C70"/>
    <w:rsid w:val="00DF651B"/>
    <w:rsid w:val="00DF7AAD"/>
    <w:rsid w:val="00E00443"/>
    <w:rsid w:val="00E008E7"/>
    <w:rsid w:val="00E009B5"/>
    <w:rsid w:val="00E00D00"/>
    <w:rsid w:val="00E02283"/>
    <w:rsid w:val="00E0316D"/>
    <w:rsid w:val="00E03263"/>
    <w:rsid w:val="00E10BFF"/>
    <w:rsid w:val="00E129B6"/>
    <w:rsid w:val="00E147DF"/>
    <w:rsid w:val="00E14DCB"/>
    <w:rsid w:val="00E14DF7"/>
    <w:rsid w:val="00E1525D"/>
    <w:rsid w:val="00E1546A"/>
    <w:rsid w:val="00E15649"/>
    <w:rsid w:val="00E242C1"/>
    <w:rsid w:val="00E261C8"/>
    <w:rsid w:val="00E27A9A"/>
    <w:rsid w:val="00E31A40"/>
    <w:rsid w:val="00E32516"/>
    <w:rsid w:val="00E34361"/>
    <w:rsid w:val="00E35E19"/>
    <w:rsid w:val="00E369BF"/>
    <w:rsid w:val="00E3724C"/>
    <w:rsid w:val="00E4078E"/>
    <w:rsid w:val="00E44030"/>
    <w:rsid w:val="00E45B9F"/>
    <w:rsid w:val="00E47062"/>
    <w:rsid w:val="00E504EE"/>
    <w:rsid w:val="00E53709"/>
    <w:rsid w:val="00E537E4"/>
    <w:rsid w:val="00E5445D"/>
    <w:rsid w:val="00E5597B"/>
    <w:rsid w:val="00E57B6C"/>
    <w:rsid w:val="00E60EDB"/>
    <w:rsid w:val="00E61383"/>
    <w:rsid w:val="00E6206A"/>
    <w:rsid w:val="00E62656"/>
    <w:rsid w:val="00E63900"/>
    <w:rsid w:val="00E63FB7"/>
    <w:rsid w:val="00E6495B"/>
    <w:rsid w:val="00E655BF"/>
    <w:rsid w:val="00E701EF"/>
    <w:rsid w:val="00E702A9"/>
    <w:rsid w:val="00E70FA5"/>
    <w:rsid w:val="00E72301"/>
    <w:rsid w:val="00E731E6"/>
    <w:rsid w:val="00E74BBC"/>
    <w:rsid w:val="00E75545"/>
    <w:rsid w:val="00E766E1"/>
    <w:rsid w:val="00E76A1C"/>
    <w:rsid w:val="00E80E76"/>
    <w:rsid w:val="00E81A40"/>
    <w:rsid w:val="00E81C51"/>
    <w:rsid w:val="00E82238"/>
    <w:rsid w:val="00E85520"/>
    <w:rsid w:val="00E85C11"/>
    <w:rsid w:val="00E869CA"/>
    <w:rsid w:val="00E86EB9"/>
    <w:rsid w:val="00E871B8"/>
    <w:rsid w:val="00E91E25"/>
    <w:rsid w:val="00E92C15"/>
    <w:rsid w:val="00E93FF4"/>
    <w:rsid w:val="00E94D41"/>
    <w:rsid w:val="00E964E8"/>
    <w:rsid w:val="00E96839"/>
    <w:rsid w:val="00E97F3B"/>
    <w:rsid w:val="00EA0FD6"/>
    <w:rsid w:val="00EA10C7"/>
    <w:rsid w:val="00EA2958"/>
    <w:rsid w:val="00EA3232"/>
    <w:rsid w:val="00EA38FB"/>
    <w:rsid w:val="00EA3B6C"/>
    <w:rsid w:val="00EA3D99"/>
    <w:rsid w:val="00EA4372"/>
    <w:rsid w:val="00EA4612"/>
    <w:rsid w:val="00EA48FE"/>
    <w:rsid w:val="00EA49E9"/>
    <w:rsid w:val="00EA5EC9"/>
    <w:rsid w:val="00EA6268"/>
    <w:rsid w:val="00EA64ED"/>
    <w:rsid w:val="00EA6A48"/>
    <w:rsid w:val="00EA716C"/>
    <w:rsid w:val="00EA7193"/>
    <w:rsid w:val="00EA768E"/>
    <w:rsid w:val="00EB0B65"/>
    <w:rsid w:val="00EB21C4"/>
    <w:rsid w:val="00EB52A9"/>
    <w:rsid w:val="00EC021E"/>
    <w:rsid w:val="00EC1204"/>
    <w:rsid w:val="00EC2BF4"/>
    <w:rsid w:val="00EC30C1"/>
    <w:rsid w:val="00EC38A8"/>
    <w:rsid w:val="00EC4A3E"/>
    <w:rsid w:val="00EC4EE3"/>
    <w:rsid w:val="00EC5D9D"/>
    <w:rsid w:val="00EC71CC"/>
    <w:rsid w:val="00EC7329"/>
    <w:rsid w:val="00ED0169"/>
    <w:rsid w:val="00ED06F6"/>
    <w:rsid w:val="00ED1F41"/>
    <w:rsid w:val="00ED34F6"/>
    <w:rsid w:val="00ED35CD"/>
    <w:rsid w:val="00ED45F4"/>
    <w:rsid w:val="00ED49A8"/>
    <w:rsid w:val="00ED4A1C"/>
    <w:rsid w:val="00ED5189"/>
    <w:rsid w:val="00ED57E5"/>
    <w:rsid w:val="00ED751D"/>
    <w:rsid w:val="00EE03BA"/>
    <w:rsid w:val="00EE1CD2"/>
    <w:rsid w:val="00EE28D7"/>
    <w:rsid w:val="00EE2A5D"/>
    <w:rsid w:val="00EE2B46"/>
    <w:rsid w:val="00EE3E25"/>
    <w:rsid w:val="00EE483A"/>
    <w:rsid w:val="00EE56EE"/>
    <w:rsid w:val="00EE7056"/>
    <w:rsid w:val="00EE75FE"/>
    <w:rsid w:val="00EE7A9A"/>
    <w:rsid w:val="00EF0B2A"/>
    <w:rsid w:val="00EF138F"/>
    <w:rsid w:val="00EF2341"/>
    <w:rsid w:val="00EF3BCD"/>
    <w:rsid w:val="00EF40A1"/>
    <w:rsid w:val="00EF5EB7"/>
    <w:rsid w:val="00EF6E44"/>
    <w:rsid w:val="00F00D7D"/>
    <w:rsid w:val="00F015F3"/>
    <w:rsid w:val="00F02BF4"/>
    <w:rsid w:val="00F03F43"/>
    <w:rsid w:val="00F07A80"/>
    <w:rsid w:val="00F10225"/>
    <w:rsid w:val="00F11E0C"/>
    <w:rsid w:val="00F12D97"/>
    <w:rsid w:val="00F14272"/>
    <w:rsid w:val="00F14400"/>
    <w:rsid w:val="00F154F6"/>
    <w:rsid w:val="00F15C50"/>
    <w:rsid w:val="00F15ED8"/>
    <w:rsid w:val="00F16DF9"/>
    <w:rsid w:val="00F214E7"/>
    <w:rsid w:val="00F21965"/>
    <w:rsid w:val="00F23CB1"/>
    <w:rsid w:val="00F25A6C"/>
    <w:rsid w:val="00F273F5"/>
    <w:rsid w:val="00F27799"/>
    <w:rsid w:val="00F27D44"/>
    <w:rsid w:val="00F308CE"/>
    <w:rsid w:val="00F31C08"/>
    <w:rsid w:val="00F333D0"/>
    <w:rsid w:val="00F33868"/>
    <w:rsid w:val="00F34B9D"/>
    <w:rsid w:val="00F3568F"/>
    <w:rsid w:val="00F3786A"/>
    <w:rsid w:val="00F37B95"/>
    <w:rsid w:val="00F37FDB"/>
    <w:rsid w:val="00F4096D"/>
    <w:rsid w:val="00F4227C"/>
    <w:rsid w:val="00F42588"/>
    <w:rsid w:val="00F42968"/>
    <w:rsid w:val="00F443BB"/>
    <w:rsid w:val="00F45AD9"/>
    <w:rsid w:val="00F464A9"/>
    <w:rsid w:val="00F47059"/>
    <w:rsid w:val="00F4747A"/>
    <w:rsid w:val="00F51015"/>
    <w:rsid w:val="00F5167D"/>
    <w:rsid w:val="00F51958"/>
    <w:rsid w:val="00F52F8E"/>
    <w:rsid w:val="00F535B4"/>
    <w:rsid w:val="00F535E4"/>
    <w:rsid w:val="00F54236"/>
    <w:rsid w:val="00F552A5"/>
    <w:rsid w:val="00F55B6C"/>
    <w:rsid w:val="00F56AA9"/>
    <w:rsid w:val="00F56CB1"/>
    <w:rsid w:val="00F574EE"/>
    <w:rsid w:val="00F57A2D"/>
    <w:rsid w:val="00F57A3C"/>
    <w:rsid w:val="00F6238E"/>
    <w:rsid w:val="00F62CBE"/>
    <w:rsid w:val="00F65332"/>
    <w:rsid w:val="00F706D9"/>
    <w:rsid w:val="00F71953"/>
    <w:rsid w:val="00F71F20"/>
    <w:rsid w:val="00F738A1"/>
    <w:rsid w:val="00F73F1C"/>
    <w:rsid w:val="00F74CA4"/>
    <w:rsid w:val="00F7558A"/>
    <w:rsid w:val="00F75EA9"/>
    <w:rsid w:val="00F762B7"/>
    <w:rsid w:val="00F76F19"/>
    <w:rsid w:val="00F80629"/>
    <w:rsid w:val="00F80DAE"/>
    <w:rsid w:val="00F85D3C"/>
    <w:rsid w:val="00F863E2"/>
    <w:rsid w:val="00F86AFD"/>
    <w:rsid w:val="00F87990"/>
    <w:rsid w:val="00F9067C"/>
    <w:rsid w:val="00F906F2"/>
    <w:rsid w:val="00F92839"/>
    <w:rsid w:val="00F92A7E"/>
    <w:rsid w:val="00F92E9D"/>
    <w:rsid w:val="00F932DB"/>
    <w:rsid w:val="00F94464"/>
    <w:rsid w:val="00F949F5"/>
    <w:rsid w:val="00F95C66"/>
    <w:rsid w:val="00F96489"/>
    <w:rsid w:val="00F96744"/>
    <w:rsid w:val="00F97BFC"/>
    <w:rsid w:val="00FA0339"/>
    <w:rsid w:val="00FA0FE6"/>
    <w:rsid w:val="00FA228C"/>
    <w:rsid w:val="00FA2685"/>
    <w:rsid w:val="00FA44A3"/>
    <w:rsid w:val="00FA4843"/>
    <w:rsid w:val="00FA486D"/>
    <w:rsid w:val="00FA4D58"/>
    <w:rsid w:val="00FA60C2"/>
    <w:rsid w:val="00FA79FE"/>
    <w:rsid w:val="00FA7D1B"/>
    <w:rsid w:val="00FB0EC9"/>
    <w:rsid w:val="00FB172A"/>
    <w:rsid w:val="00FB32DB"/>
    <w:rsid w:val="00FB500D"/>
    <w:rsid w:val="00FB63D6"/>
    <w:rsid w:val="00FB6856"/>
    <w:rsid w:val="00FB7804"/>
    <w:rsid w:val="00FC096C"/>
    <w:rsid w:val="00FC1361"/>
    <w:rsid w:val="00FC177A"/>
    <w:rsid w:val="00FC4747"/>
    <w:rsid w:val="00FC495F"/>
    <w:rsid w:val="00FC6553"/>
    <w:rsid w:val="00FD06C5"/>
    <w:rsid w:val="00FD1752"/>
    <w:rsid w:val="00FD2FBC"/>
    <w:rsid w:val="00FD3995"/>
    <w:rsid w:val="00FD4A76"/>
    <w:rsid w:val="00FD5E9C"/>
    <w:rsid w:val="00FD6930"/>
    <w:rsid w:val="00FD7691"/>
    <w:rsid w:val="00FE095E"/>
    <w:rsid w:val="00FE141D"/>
    <w:rsid w:val="00FE1422"/>
    <w:rsid w:val="00FE14F3"/>
    <w:rsid w:val="00FE178B"/>
    <w:rsid w:val="00FE2181"/>
    <w:rsid w:val="00FE4D83"/>
    <w:rsid w:val="00FE6330"/>
    <w:rsid w:val="00FE6341"/>
    <w:rsid w:val="00FE64B2"/>
    <w:rsid w:val="00FE70F0"/>
    <w:rsid w:val="00FE7BF5"/>
    <w:rsid w:val="00FE7EE1"/>
    <w:rsid w:val="00FF0245"/>
    <w:rsid w:val="00FF10F0"/>
    <w:rsid w:val="00FF1A8F"/>
    <w:rsid w:val="00FF3083"/>
    <w:rsid w:val="00FF3A6A"/>
    <w:rsid w:val="00FF3F74"/>
    <w:rsid w:val="00FF4EF9"/>
    <w:rsid w:val="00FF60C7"/>
    <w:rsid w:val="00FF667F"/>
    <w:rsid w:val="00FF72E9"/>
    <w:rsid w:val="00FF7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5C7A"/>
    <w:rPr>
      <w:sz w:val="24"/>
      <w:szCs w:val="24"/>
    </w:rPr>
  </w:style>
  <w:style w:type="paragraph" w:styleId="Heading1">
    <w:name w:val="heading 1"/>
    <w:basedOn w:val="Normal"/>
    <w:next w:val="Normal"/>
    <w:link w:val="Heading1Char"/>
    <w:qFormat/>
    <w:rsid w:val="001C0B8A"/>
    <w:pPr>
      <w:keepNext/>
      <w:spacing w:before="960" w:after="60"/>
      <w:jc w:val="center"/>
      <w:outlineLvl w:val="0"/>
    </w:pPr>
    <w:rPr>
      <w:rFonts w:ascii="Arial" w:hAnsi="Arial" w:cs="Arial"/>
      <w:b/>
      <w:bCs/>
      <w:kern w:val="32"/>
      <w:sz w:val="36"/>
      <w:szCs w:val="36"/>
    </w:rPr>
  </w:style>
  <w:style w:type="paragraph" w:styleId="Heading2">
    <w:name w:val="heading 2"/>
    <w:basedOn w:val="Normal"/>
    <w:next w:val="Normal"/>
    <w:link w:val="Heading2Char"/>
    <w:unhideWhenUsed/>
    <w:qFormat/>
    <w:rsid w:val="000A359F"/>
    <w:pPr>
      <w:keepNext/>
      <w:spacing w:before="240" w:after="60"/>
      <w:outlineLvl w:val="1"/>
    </w:pPr>
    <w:rPr>
      <w:rFonts w:ascii="Arial" w:hAnsi="Arial" w:cs="Arial"/>
      <w:b/>
      <w:bCs/>
      <w:iCs/>
      <w:noProof/>
    </w:rPr>
  </w:style>
  <w:style w:type="paragraph" w:styleId="Heading3">
    <w:name w:val="heading 3"/>
    <w:basedOn w:val="3rdheading"/>
    <w:next w:val="Normal"/>
    <w:link w:val="Heading3Char"/>
    <w:qFormat/>
    <w:rsid w:val="000A359F"/>
    <w:pPr>
      <w:spacing w:before="240" w:after="0"/>
      <w:outlineLvl w:val="2"/>
    </w:pPr>
    <w:rPr>
      <w:rFonts w:ascii="Arial" w:hAnsi="Arial" w:cs="Arial"/>
      <w:i/>
    </w:rPr>
  </w:style>
  <w:style w:type="paragraph" w:styleId="Heading4">
    <w:name w:val="heading 4"/>
    <w:basedOn w:val="Normal"/>
    <w:next w:val="Normal"/>
    <w:link w:val="Heading4Char"/>
    <w:unhideWhenUsed/>
    <w:qFormat/>
    <w:rsid w:val="002E3923"/>
    <w:pPr>
      <w:keepNext/>
      <w:spacing w:before="120"/>
      <w:outlineLvl w:val="3"/>
    </w:pPr>
    <w:rPr>
      <w:rFonts w:ascii="Calibri"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C0571"/>
    <w:pPr>
      <w:shd w:val="clear" w:color="auto" w:fill="948A54"/>
      <w:tabs>
        <w:tab w:val="center" w:pos="4320"/>
        <w:tab w:val="right" w:pos="8640"/>
      </w:tabs>
      <w:spacing w:after="360"/>
    </w:pPr>
    <w:rPr>
      <w:rFonts w:ascii="Calibri" w:hAnsi="Calibri"/>
      <w:noProof/>
    </w:rPr>
  </w:style>
  <w:style w:type="paragraph" w:styleId="Footer">
    <w:name w:val="footer"/>
    <w:basedOn w:val="Normal"/>
    <w:link w:val="FooterChar"/>
    <w:uiPriority w:val="99"/>
    <w:rsid w:val="002523BD"/>
    <w:pPr>
      <w:tabs>
        <w:tab w:val="center" w:pos="4320"/>
        <w:tab w:val="right" w:pos="8640"/>
      </w:tabs>
    </w:pPr>
  </w:style>
  <w:style w:type="paragraph" w:customStyle="1" w:styleId="text">
    <w:name w:val="text"/>
    <w:basedOn w:val="Normal"/>
    <w:link w:val="textChar"/>
    <w:rsid w:val="002523BD"/>
    <w:rPr>
      <w:rFonts w:ascii="Novarese Bk BT" w:hAnsi="Novarese Bk BT"/>
      <w:sz w:val="20"/>
      <w:szCs w:val="20"/>
    </w:rPr>
  </w:style>
  <w:style w:type="character" w:customStyle="1" w:styleId="textChar">
    <w:name w:val="text Char"/>
    <w:basedOn w:val="DefaultParagraphFont"/>
    <w:link w:val="text"/>
    <w:rsid w:val="002523BD"/>
    <w:rPr>
      <w:rFonts w:ascii="Novarese Bk BT" w:hAnsi="Novarese Bk BT"/>
      <w:lang w:val="en-US" w:eastAsia="en-US" w:bidi="ar-SA"/>
    </w:rPr>
  </w:style>
  <w:style w:type="paragraph" w:customStyle="1" w:styleId="headings">
    <w:name w:val="headings"/>
    <w:basedOn w:val="Heading3"/>
    <w:link w:val="headingsChar"/>
    <w:rsid w:val="00EA6A48"/>
  </w:style>
  <w:style w:type="character" w:styleId="FollowedHyperlink">
    <w:name w:val="FollowedHyperlink"/>
    <w:basedOn w:val="DefaultParagraphFont"/>
    <w:rsid w:val="002523BD"/>
    <w:rPr>
      <w:color w:val="800080"/>
      <w:u w:val="single"/>
    </w:rPr>
  </w:style>
  <w:style w:type="paragraph" w:styleId="BalloonText">
    <w:name w:val="Balloon Text"/>
    <w:basedOn w:val="Normal"/>
    <w:semiHidden/>
    <w:rsid w:val="002523BD"/>
    <w:rPr>
      <w:rFonts w:ascii="Tahoma" w:hAnsi="Tahoma" w:cs="Tahoma"/>
      <w:sz w:val="16"/>
      <w:szCs w:val="16"/>
    </w:rPr>
  </w:style>
  <w:style w:type="character" w:styleId="FootnoteReference">
    <w:name w:val="footnote reference"/>
    <w:basedOn w:val="DefaultParagraphFont"/>
    <w:semiHidden/>
    <w:rsid w:val="002523BD"/>
    <w:rPr>
      <w:vertAlign w:val="superscript"/>
    </w:rPr>
  </w:style>
  <w:style w:type="paragraph" w:styleId="FootnoteText">
    <w:name w:val="footnote text"/>
    <w:basedOn w:val="Normal"/>
    <w:semiHidden/>
    <w:rsid w:val="002E11DD"/>
    <w:pPr>
      <w:spacing w:before="240"/>
    </w:pPr>
    <w:rPr>
      <w:sz w:val="20"/>
      <w:szCs w:val="20"/>
    </w:rPr>
  </w:style>
  <w:style w:type="character" w:customStyle="1" w:styleId="headingsChar">
    <w:name w:val="headings Char"/>
    <w:basedOn w:val="DefaultParagraphFont"/>
    <w:link w:val="headings"/>
    <w:rsid w:val="00EA6A48"/>
    <w:rPr>
      <w:rFonts w:ascii="Arial" w:hAnsi="Arial" w:cs="Arial"/>
      <w:b/>
      <w:bCs/>
      <w:sz w:val="26"/>
      <w:szCs w:val="26"/>
    </w:rPr>
  </w:style>
  <w:style w:type="table" w:styleId="TableGrid">
    <w:name w:val="Table Grid"/>
    <w:basedOn w:val="TableNormal"/>
    <w:rsid w:val="00672909"/>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C06E6"/>
    <w:pPr>
      <w:ind w:left="1080"/>
    </w:pPr>
  </w:style>
  <w:style w:type="paragraph" w:styleId="ListParagraph">
    <w:name w:val="List Paragraph"/>
    <w:basedOn w:val="Normal"/>
    <w:uiPriority w:val="34"/>
    <w:qFormat/>
    <w:rsid w:val="00B8494A"/>
    <w:pPr>
      <w:ind w:left="720"/>
    </w:pPr>
  </w:style>
  <w:style w:type="paragraph" w:customStyle="1" w:styleId="StyleheadingsLeft05">
    <w:name w:val="Style headings + Left:  0.5&quot;"/>
    <w:basedOn w:val="headings"/>
    <w:autoRedefine/>
    <w:rsid w:val="00E86EB9"/>
    <w:pPr>
      <w:ind w:left="720"/>
    </w:pPr>
    <w:rPr>
      <w:rFonts w:cs="Times New Roman"/>
    </w:rPr>
  </w:style>
  <w:style w:type="character" w:customStyle="1" w:styleId="Style10pt">
    <w:name w:val="Style 10 pt"/>
    <w:basedOn w:val="DefaultParagraphFont"/>
    <w:rsid w:val="00B305E0"/>
    <w:rPr>
      <w:sz w:val="22"/>
    </w:rPr>
  </w:style>
  <w:style w:type="paragraph" w:customStyle="1" w:styleId="Style10ptLeft05">
    <w:name w:val="Style 10 pt Left:  0.5&quot;"/>
    <w:basedOn w:val="Normal"/>
    <w:rsid w:val="00B305E0"/>
    <w:pPr>
      <w:ind w:left="720"/>
    </w:pPr>
    <w:rPr>
      <w:sz w:val="22"/>
      <w:szCs w:val="20"/>
    </w:rPr>
  </w:style>
  <w:style w:type="character" w:customStyle="1" w:styleId="HeaderChar">
    <w:name w:val="Header Char"/>
    <w:basedOn w:val="DefaultParagraphFont"/>
    <w:link w:val="Header"/>
    <w:uiPriority w:val="99"/>
    <w:rsid w:val="00DC0571"/>
    <w:rPr>
      <w:rFonts w:ascii="Calibri" w:hAnsi="Calibri"/>
      <w:noProof/>
      <w:sz w:val="24"/>
      <w:szCs w:val="24"/>
      <w:shd w:val="clear" w:color="auto" w:fill="948A54"/>
    </w:rPr>
  </w:style>
  <w:style w:type="character" w:customStyle="1" w:styleId="FooterChar">
    <w:name w:val="Footer Char"/>
    <w:basedOn w:val="DefaultParagraphFont"/>
    <w:link w:val="Footer"/>
    <w:uiPriority w:val="99"/>
    <w:rsid w:val="004A2CBD"/>
    <w:rPr>
      <w:sz w:val="24"/>
      <w:szCs w:val="24"/>
    </w:rPr>
  </w:style>
  <w:style w:type="character" w:customStyle="1" w:styleId="Heading1Char">
    <w:name w:val="Heading 1 Char"/>
    <w:basedOn w:val="DefaultParagraphFont"/>
    <w:link w:val="Heading1"/>
    <w:rsid w:val="001C0B8A"/>
    <w:rPr>
      <w:rFonts w:ascii="Arial" w:hAnsi="Arial" w:cs="Arial"/>
      <w:b/>
      <w:bCs/>
      <w:kern w:val="32"/>
      <w:sz w:val="36"/>
      <w:szCs w:val="36"/>
    </w:rPr>
  </w:style>
  <w:style w:type="paragraph" w:styleId="Title">
    <w:name w:val="Title"/>
    <w:basedOn w:val="Normal"/>
    <w:next w:val="Normal"/>
    <w:link w:val="TitleChar"/>
    <w:qFormat/>
    <w:rsid w:val="00716620"/>
    <w:pPr>
      <w:shd w:val="clear" w:color="auto" w:fill="4F81BD"/>
      <w:tabs>
        <w:tab w:val="center" w:pos="5760"/>
      </w:tabs>
      <w:jc w:val="center"/>
      <w:outlineLvl w:val="0"/>
    </w:pPr>
    <w:rPr>
      <w:rFonts w:ascii="Tahoma" w:hAnsi="Tahoma" w:cs="Tahoma"/>
      <w:b/>
      <w:bCs/>
      <w:noProof/>
      <w:color w:val="F2F2F2"/>
      <w:kern w:val="28"/>
      <w:sz w:val="64"/>
      <w:szCs w:val="64"/>
    </w:rPr>
  </w:style>
  <w:style w:type="character" w:customStyle="1" w:styleId="TitleChar">
    <w:name w:val="Title Char"/>
    <w:basedOn w:val="DefaultParagraphFont"/>
    <w:link w:val="Title"/>
    <w:rsid w:val="00716620"/>
    <w:rPr>
      <w:rFonts w:ascii="Tahoma" w:hAnsi="Tahoma" w:cs="Tahoma"/>
      <w:b/>
      <w:bCs/>
      <w:noProof/>
      <w:color w:val="F2F2F2"/>
      <w:kern w:val="28"/>
      <w:sz w:val="64"/>
      <w:szCs w:val="64"/>
      <w:shd w:val="clear" w:color="auto" w:fill="4F81BD"/>
    </w:rPr>
  </w:style>
  <w:style w:type="paragraph" w:styleId="Subtitle">
    <w:name w:val="Subtitle"/>
    <w:basedOn w:val="Normal"/>
    <w:next w:val="Normal"/>
    <w:link w:val="SubtitleChar"/>
    <w:qFormat/>
    <w:rsid w:val="00716620"/>
    <w:pPr>
      <w:shd w:val="clear" w:color="auto" w:fill="4F81BD"/>
      <w:spacing w:after="60"/>
      <w:jc w:val="center"/>
      <w:outlineLvl w:val="1"/>
    </w:pPr>
    <w:rPr>
      <w:rFonts w:ascii="Comic Sans MS" w:hAnsi="Comic Sans MS"/>
      <w:color w:val="F2F2F2"/>
      <w:sz w:val="28"/>
      <w:szCs w:val="28"/>
    </w:rPr>
  </w:style>
  <w:style w:type="character" w:customStyle="1" w:styleId="SubtitleChar">
    <w:name w:val="Subtitle Char"/>
    <w:basedOn w:val="DefaultParagraphFont"/>
    <w:link w:val="Subtitle"/>
    <w:rsid w:val="00716620"/>
    <w:rPr>
      <w:rFonts w:ascii="Comic Sans MS" w:hAnsi="Comic Sans MS"/>
      <w:color w:val="F2F2F2"/>
      <w:sz w:val="28"/>
      <w:szCs w:val="28"/>
      <w:shd w:val="clear" w:color="auto" w:fill="4F81BD"/>
    </w:rPr>
  </w:style>
  <w:style w:type="character" w:customStyle="1" w:styleId="Heading2Char">
    <w:name w:val="Heading 2 Char"/>
    <w:basedOn w:val="DefaultParagraphFont"/>
    <w:link w:val="Heading2"/>
    <w:rsid w:val="000A359F"/>
    <w:rPr>
      <w:rFonts w:ascii="Arial" w:hAnsi="Arial" w:cs="Arial"/>
      <w:b/>
      <w:bCs/>
      <w:iCs/>
      <w:noProof/>
      <w:sz w:val="24"/>
      <w:szCs w:val="24"/>
    </w:rPr>
  </w:style>
  <w:style w:type="character" w:customStyle="1" w:styleId="BodyTextIndentChar">
    <w:name w:val="Body Text Indent Char"/>
    <w:basedOn w:val="DefaultParagraphFont"/>
    <w:link w:val="BodyTextIndent"/>
    <w:rsid w:val="00EA6A48"/>
    <w:rPr>
      <w:sz w:val="24"/>
      <w:szCs w:val="24"/>
    </w:rPr>
  </w:style>
  <w:style w:type="paragraph" w:styleId="BodyText">
    <w:name w:val="Body Text"/>
    <w:basedOn w:val="Normal"/>
    <w:link w:val="BodyTextChar"/>
    <w:rsid w:val="00DC0571"/>
    <w:pPr>
      <w:spacing w:after="120"/>
    </w:pPr>
    <w:rPr>
      <w:rFonts w:ascii="Calibri" w:hAnsi="Calibri" w:cs="Tahoma"/>
    </w:rPr>
  </w:style>
  <w:style w:type="character" w:customStyle="1" w:styleId="BodyTextChar">
    <w:name w:val="Body Text Char"/>
    <w:basedOn w:val="DefaultParagraphFont"/>
    <w:link w:val="BodyText"/>
    <w:rsid w:val="00DC0571"/>
    <w:rPr>
      <w:rFonts w:ascii="Calibri" w:hAnsi="Calibri" w:cs="Tahoma"/>
      <w:sz w:val="24"/>
      <w:szCs w:val="24"/>
    </w:rPr>
  </w:style>
  <w:style w:type="paragraph" w:styleId="BodyText2">
    <w:name w:val="Body Text 2"/>
    <w:basedOn w:val="Normal"/>
    <w:link w:val="BodyText2Char"/>
    <w:rsid w:val="00B360E5"/>
    <w:pPr>
      <w:spacing w:after="120" w:line="480" w:lineRule="auto"/>
    </w:pPr>
  </w:style>
  <w:style w:type="character" w:customStyle="1" w:styleId="BodyText2Char">
    <w:name w:val="Body Text 2 Char"/>
    <w:basedOn w:val="DefaultParagraphFont"/>
    <w:link w:val="BodyText2"/>
    <w:rsid w:val="00B360E5"/>
    <w:rPr>
      <w:sz w:val="24"/>
      <w:szCs w:val="24"/>
    </w:rPr>
  </w:style>
  <w:style w:type="paragraph" w:styleId="ListBullet">
    <w:name w:val="List Bullet"/>
    <w:basedOn w:val="Normal"/>
    <w:rsid w:val="00FF3F74"/>
    <w:pPr>
      <w:numPr>
        <w:numId w:val="3"/>
      </w:numPr>
      <w:contextualSpacing/>
    </w:pPr>
  </w:style>
  <w:style w:type="paragraph" w:styleId="ListBullet2">
    <w:name w:val="List Bullet 2"/>
    <w:basedOn w:val="Normal"/>
    <w:rsid w:val="00FF3F74"/>
    <w:pPr>
      <w:numPr>
        <w:numId w:val="4"/>
      </w:numPr>
      <w:contextualSpacing/>
    </w:pPr>
  </w:style>
  <w:style w:type="character" w:styleId="EndnoteReference">
    <w:name w:val="endnote reference"/>
    <w:basedOn w:val="DefaultParagraphFont"/>
    <w:rsid w:val="00AA41DF"/>
    <w:rPr>
      <w:vertAlign w:val="superscript"/>
    </w:rPr>
  </w:style>
  <w:style w:type="paragraph" w:styleId="EndnoteText">
    <w:name w:val="endnote text"/>
    <w:basedOn w:val="Normal"/>
    <w:link w:val="EndnoteTextChar"/>
    <w:rsid w:val="00AA41DF"/>
    <w:rPr>
      <w:sz w:val="20"/>
      <w:szCs w:val="20"/>
    </w:rPr>
  </w:style>
  <w:style w:type="character" w:customStyle="1" w:styleId="EndnoteTextChar">
    <w:name w:val="Endnote Text Char"/>
    <w:basedOn w:val="DefaultParagraphFont"/>
    <w:link w:val="EndnoteText"/>
    <w:rsid w:val="00AA41DF"/>
  </w:style>
  <w:style w:type="paragraph" w:styleId="NoSpacing">
    <w:name w:val="No Spacing"/>
    <w:link w:val="NoSpacingChar"/>
    <w:uiPriority w:val="1"/>
    <w:qFormat/>
    <w:rsid w:val="00716620"/>
    <w:rPr>
      <w:rFonts w:ascii="Calibri" w:hAnsi="Calibri"/>
      <w:sz w:val="22"/>
      <w:szCs w:val="22"/>
    </w:rPr>
  </w:style>
  <w:style w:type="character" w:customStyle="1" w:styleId="NoSpacingChar">
    <w:name w:val="No Spacing Char"/>
    <w:basedOn w:val="DefaultParagraphFont"/>
    <w:link w:val="NoSpacing"/>
    <w:uiPriority w:val="1"/>
    <w:rsid w:val="00716620"/>
    <w:rPr>
      <w:rFonts w:ascii="Calibri" w:hAnsi="Calibri"/>
      <w:sz w:val="22"/>
      <w:szCs w:val="22"/>
      <w:lang w:val="en-US" w:eastAsia="en-US" w:bidi="ar-SA"/>
    </w:rPr>
  </w:style>
  <w:style w:type="paragraph" w:styleId="Caption">
    <w:name w:val="caption"/>
    <w:basedOn w:val="Normal"/>
    <w:next w:val="Normal"/>
    <w:unhideWhenUsed/>
    <w:qFormat/>
    <w:rsid w:val="002E11DD"/>
    <w:rPr>
      <w:b/>
      <w:bCs/>
      <w:sz w:val="20"/>
      <w:szCs w:val="20"/>
    </w:rPr>
  </w:style>
  <w:style w:type="paragraph" w:styleId="DocumentMap">
    <w:name w:val="Document Map"/>
    <w:basedOn w:val="Normal"/>
    <w:link w:val="DocumentMapChar"/>
    <w:rsid w:val="00CA56B4"/>
    <w:rPr>
      <w:rFonts w:ascii="Tahoma" w:hAnsi="Tahoma" w:cs="Tahoma"/>
      <w:sz w:val="16"/>
      <w:szCs w:val="16"/>
    </w:rPr>
  </w:style>
  <w:style w:type="character" w:customStyle="1" w:styleId="DocumentMapChar">
    <w:name w:val="Document Map Char"/>
    <w:basedOn w:val="DefaultParagraphFont"/>
    <w:link w:val="DocumentMap"/>
    <w:rsid w:val="00CA56B4"/>
    <w:rPr>
      <w:rFonts w:ascii="Tahoma" w:hAnsi="Tahoma" w:cs="Tahoma"/>
      <w:sz w:val="16"/>
      <w:szCs w:val="16"/>
    </w:rPr>
  </w:style>
  <w:style w:type="character" w:customStyle="1" w:styleId="Heading4Char">
    <w:name w:val="Heading 4 Char"/>
    <w:basedOn w:val="DefaultParagraphFont"/>
    <w:link w:val="Heading4"/>
    <w:rsid w:val="002E3923"/>
    <w:rPr>
      <w:rFonts w:ascii="Calibri" w:hAnsi="Calibri" w:cs="Arial"/>
      <w:b/>
      <w:bCs/>
      <w:sz w:val="24"/>
      <w:szCs w:val="24"/>
    </w:rPr>
  </w:style>
  <w:style w:type="character" w:customStyle="1" w:styleId="Heading3Char">
    <w:name w:val="Heading 3 Char"/>
    <w:basedOn w:val="DefaultParagraphFont"/>
    <w:link w:val="Heading3"/>
    <w:rsid w:val="000A359F"/>
    <w:rPr>
      <w:rFonts w:ascii="Arial" w:hAnsi="Arial" w:cs="Arial"/>
      <w:b/>
      <w:i/>
      <w:sz w:val="24"/>
      <w:szCs w:val="24"/>
    </w:rPr>
  </w:style>
  <w:style w:type="paragraph" w:customStyle="1" w:styleId="2ndheading">
    <w:name w:val="2nd heading"/>
    <w:basedOn w:val="Normal"/>
    <w:qFormat/>
    <w:rsid w:val="00AC16AD"/>
    <w:pPr>
      <w:keepNext/>
      <w:keepLines/>
    </w:pPr>
    <w:rPr>
      <w:rFonts w:ascii="Arial Black" w:hAnsi="Arial Black"/>
      <w:sz w:val="22"/>
    </w:rPr>
  </w:style>
  <w:style w:type="paragraph" w:customStyle="1" w:styleId="3rdheading">
    <w:name w:val="3rd heading"/>
    <w:basedOn w:val="Normal"/>
    <w:qFormat/>
    <w:rsid w:val="00AC16AD"/>
    <w:pPr>
      <w:keepNext/>
      <w:keepLines/>
      <w:spacing w:after="120" w:line="320" w:lineRule="exact"/>
    </w:pPr>
    <w:rPr>
      <w:rFonts w:ascii="Novarese Bk BT" w:hAnsi="Novarese Bk BT"/>
      <w:b/>
    </w:rPr>
  </w:style>
  <w:style w:type="character" w:styleId="Hyperlink">
    <w:name w:val="Hyperlink"/>
    <w:basedOn w:val="DefaultParagraphFont"/>
    <w:rsid w:val="00DC057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5C7A"/>
    <w:rPr>
      <w:sz w:val="24"/>
      <w:szCs w:val="24"/>
    </w:rPr>
  </w:style>
  <w:style w:type="paragraph" w:styleId="Heading1">
    <w:name w:val="heading 1"/>
    <w:basedOn w:val="Normal"/>
    <w:next w:val="Normal"/>
    <w:link w:val="Heading1Char"/>
    <w:qFormat/>
    <w:rsid w:val="001C0B8A"/>
    <w:pPr>
      <w:keepNext/>
      <w:spacing w:before="960" w:after="60"/>
      <w:jc w:val="center"/>
      <w:outlineLvl w:val="0"/>
    </w:pPr>
    <w:rPr>
      <w:rFonts w:ascii="Arial" w:hAnsi="Arial" w:cs="Arial"/>
      <w:b/>
      <w:bCs/>
      <w:kern w:val="32"/>
      <w:sz w:val="36"/>
      <w:szCs w:val="36"/>
    </w:rPr>
  </w:style>
  <w:style w:type="paragraph" w:styleId="Heading2">
    <w:name w:val="heading 2"/>
    <w:basedOn w:val="Normal"/>
    <w:next w:val="Normal"/>
    <w:link w:val="Heading2Char"/>
    <w:unhideWhenUsed/>
    <w:qFormat/>
    <w:rsid w:val="000A359F"/>
    <w:pPr>
      <w:keepNext/>
      <w:spacing w:before="240" w:after="60"/>
      <w:outlineLvl w:val="1"/>
    </w:pPr>
    <w:rPr>
      <w:rFonts w:ascii="Arial" w:hAnsi="Arial" w:cs="Arial"/>
      <w:b/>
      <w:bCs/>
      <w:iCs/>
      <w:noProof/>
    </w:rPr>
  </w:style>
  <w:style w:type="paragraph" w:styleId="Heading3">
    <w:name w:val="heading 3"/>
    <w:basedOn w:val="3rdheading"/>
    <w:next w:val="Normal"/>
    <w:link w:val="Heading3Char"/>
    <w:qFormat/>
    <w:rsid w:val="000A359F"/>
    <w:pPr>
      <w:spacing w:before="240" w:after="0"/>
      <w:outlineLvl w:val="2"/>
    </w:pPr>
    <w:rPr>
      <w:rFonts w:ascii="Arial" w:hAnsi="Arial" w:cs="Arial"/>
      <w:i/>
    </w:rPr>
  </w:style>
  <w:style w:type="paragraph" w:styleId="Heading4">
    <w:name w:val="heading 4"/>
    <w:basedOn w:val="Normal"/>
    <w:next w:val="Normal"/>
    <w:link w:val="Heading4Char"/>
    <w:unhideWhenUsed/>
    <w:qFormat/>
    <w:rsid w:val="002E3923"/>
    <w:pPr>
      <w:keepNext/>
      <w:spacing w:before="120"/>
      <w:outlineLvl w:val="3"/>
    </w:pPr>
    <w:rPr>
      <w:rFonts w:ascii="Calibri"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C0571"/>
    <w:pPr>
      <w:shd w:val="clear" w:color="auto" w:fill="948A54"/>
      <w:tabs>
        <w:tab w:val="center" w:pos="4320"/>
        <w:tab w:val="right" w:pos="8640"/>
      </w:tabs>
      <w:spacing w:after="360"/>
    </w:pPr>
    <w:rPr>
      <w:rFonts w:ascii="Calibri" w:hAnsi="Calibri"/>
      <w:noProof/>
    </w:rPr>
  </w:style>
  <w:style w:type="paragraph" w:styleId="Footer">
    <w:name w:val="footer"/>
    <w:basedOn w:val="Normal"/>
    <w:link w:val="FooterChar"/>
    <w:uiPriority w:val="99"/>
    <w:rsid w:val="002523BD"/>
    <w:pPr>
      <w:tabs>
        <w:tab w:val="center" w:pos="4320"/>
        <w:tab w:val="right" w:pos="8640"/>
      </w:tabs>
    </w:pPr>
  </w:style>
  <w:style w:type="paragraph" w:customStyle="1" w:styleId="text">
    <w:name w:val="text"/>
    <w:basedOn w:val="Normal"/>
    <w:link w:val="textChar"/>
    <w:rsid w:val="002523BD"/>
    <w:rPr>
      <w:rFonts w:ascii="Novarese Bk BT" w:hAnsi="Novarese Bk BT"/>
      <w:sz w:val="20"/>
      <w:szCs w:val="20"/>
    </w:rPr>
  </w:style>
  <w:style w:type="character" w:customStyle="1" w:styleId="textChar">
    <w:name w:val="text Char"/>
    <w:basedOn w:val="DefaultParagraphFont"/>
    <w:link w:val="text"/>
    <w:rsid w:val="002523BD"/>
    <w:rPr>
      <w:rFonts w:ascii="Novarese Bk BT" w:hAnsi="Novarese Bk BT"/>
      <w:lang w:val="en-US" w:eastAsia="en-US" w:bidi="ar-SA"/>
    </w:rPr>
  </w:style>
  <w:style w:type="paragraph" w:customStyle="1" w:styleId="headings">
    <w:name w:val="headings"/>
    <w:basedOn w:val="Heading3"/>
    <w:link w:val="headingsChar"/>
    <w:rsid w:val="00EA6A48"/>
  </w:style>
  <w:style w:type="character" w:styleId="FollowedHyperlink">
    <w:name w:val="FollowedHyperlink"/>
    <w:basedOn w:val="DefaultParagraphFont"/>
    <w:rsid w:val="002523BD"/>
    <w:rPr>
      <w:color w:val="800080"/>
      <w:u w:val="single"/>
    </w:rPr>
  </w:style>
  <w:style w:type="paragraph" w:styleId="BalloonText">
    <w:name w:val="Balloon Text"/>
    <w:basedOn w:val="Normal"/>
    <w:semiHidden/>
    <w:rsid w:val="002523BD"/>
    <w:rPr>
      <w:rFonts w:ascii="Tahoma" w:hAnsi="Tahoma" w:cs="Tahoma"/>
      <w:sz w:val="16"/>
      <w:szCs w:val="16"/>
    </w:rPr>
  </w:style>
  <w:style w:type="character" w:styleId="FootnoteReference">
    <w:name w:val="footnote reference"/>
    <w:basedOn w:val="DefaultParagraphFont"/>
    <w:semiHidden/>
    <w:rsid w:val="002523BD"/>
    <w:rPr>
      <w:vertAlign w:val="superscript"/>
    </w:rPr>
  </w:style>
  <w:style w:type="paragraph" w:styleId="FootnoteText">
    <w:name w:val="footnote text"/>
    <w:basedOn w:val="Normal"/>
    <w:semiHidden/>
    <w:rsid w:val="002E11DD"/>
    <w:pPr>
      <w:spacing w:before="240"/>
    </w:pPr>
    <w:rPr>
      <w:sz w:val="20"/>
      <w:szCs w:val="20"/>
    </w:rPr>
  </w:style>
  <w:style w:type="character" w:customStyle="1" w:styleId="headingsChar">
    <w:name w:val="headings Char"/>
    <w:basedOn w:val="DefaultParagraphFont"/>
    <w:link w:val="headings"/>
    <w:rsid w:val="00EA6A48"/>
    <w:rPr>
      <w:rFonts w:ascii="Arial" w:hAnsi="Arial" w:cs="Arial"/>
      <w:b/>
      <w:bCs/>
      <w:sz w:val="26"/>
      <w:szCs w:val="26"/>
    </w:rPr>
  </w:style>
  <w:style w:type="table" w:styleId="TableGrid">
    <w:name w:val="Table Grid"/>
    <w:basedOn w:val="TableNormal"/>
    <w:rsid w:val="00672909"/>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AC06E6"/>
    <w:pPr>
      <w:ind w:left="1080"/>
    </w:pPr>
  </w:style>
  <w:style w:type="paragraph" w:styleId="ListParagraph">
    <w:name w:val="List Paragraph"/>
    <w:basedOn w:val="Normal"/>
    <w:uiPriority w:val="34"/>
    <w:qFormat/>
    <w:rsid w:val="00B8494A"/>
    <w:pPr>
      <w:ind w:left="720"/>
    </w:pPr>
  </w:style>
  <w:style w:type="paragraph" w:customStyle="1" w:styleId="StyleheadingsLeft05">
    <w:name w:val="Style headings + Left:  0.5&quot;"/>
    <w:basedOn w:val="headings"/>
    <w:autoRedefine/>
    <w:rsid w:val="00E86EB9"/>
    <w:pPr>
      <w:ind w:left="720"/>
    </w:pPr>
    <w:rPr>
      <w:rFonts w:cs="Times New Roman"/>
    </w:rPr>
  </w:style>
  <w:style w:type="character" w:customStyle="1" w:styleId="Style10pt">
    <w:name w:val="Style 10 pt"/>
    <w:basedOn w:val="DefaultParagraphFont"/>
    <w:rsid w:val="00B305E0"/>
    <w:rPr>
      <w:sz w:val="22"/>
    </w:rPr>
  </w:style>
  <w:style w:type="paragraph" w:customStyle="1" w:styleId="Style10ptLeft05">
    <w:name w:val="Style 10 pt Left:  0.5&quot;"/>
    <w:basedOn w:val="Normal"/>
    <w:rsid w:val="00B305E0"/>
    <w:pPr>
      <w:ind w:left="720"/>
    </w:pPr>
    <w:rPr>
      <w:sz w:val="22"/>
      <w:szCs w:val="20"/>
    </w:rPr>
  </w:style>
  <w:style w:type="character" w:customStyle="1" w:styleId="HeaderChar">
    <w:name w:val="Header Char"/>
    <w:basedOn w:val="DefaultParagraphFont"/>
    <w:link w:val="Header"/>
    <w:uiPriority w:val="99"/>
    <w:rsid w:val="00DC0571"/>
    <w:rPr>
      <w:rFonts w:ascii="Calibri" w:hAnsi="Calibri"/>
      <w:noProof/>
      <w:sz w:val="24"/>
      <w:szCs w:val="24"/>
      <w:shd w:val="clear" w:color="auto" w:fill="948A54"/>
    </w:rPr>
  </w:style>
  <w:style w:type="character" w:customStyle="1" w:styleId="FooterChar">
    <w:name w:val="Footer Char"/>
    <w:basedOn w:val="DefaultParagraphFont"/>
    <w:link w:val="Footer"/>
    <w:uiPriority w:val="99"/>
    <w:rsid w:val="004A2CBD"/>
    <w:rPr>
      <w:sz w:val="24"/>
      <w:szCs w:val="24"/>
    </w:rPr>
  </w:style>
  <w:style w:type="character" w:customStyle="1" w:styleId="Heading1Char">
    <w:name w:val="Heading 1 Char"/>
    <w:basedOn w:val="DefaultParagraphFont"/>
    <w:link w:val="Heading1"/>
    <w:rsid w:val="001C0B8A"/>
    <w:rPr>
      <w:rFonts w:ascii="Arial" w:hAnsi="Arial" w:cs="Arial"/>
      <w:b/>
      <w:bCs/>
      <w:kern w:val="32"/>
      <w:sz w:val="36"/>
      <w:szCs w:val="36"/>
    </w:rPr>
  </w:style>
  <w:style w:type="paragraph" w:styleId="Title">
    <w:name w:val="Title"/>
    <w:basedOn w:val="Normal"/>
    <w:next w:val="Normal"/>
    <w:link w:val="TitleChar"/>
    <w:qFormat/>
    <w:rsid w:val="00716620"/>
    <w:pPr>
      <w:shd w:val="clear" w:color="auto" w:fill="4F81BD"/>
      <w:tabs>
        <w:tab w:val="center" w:pos="5760"/>
      </w:tabs>
      <w:jc w:val="center"/>
      <w:outlineLvl w:val="0"/>
    </w:pPr>
    <w:rPr>
      <w:rFonts w:ascii="Tahoma" w:hAnsi="Tahoma" w:cs="Tahoma"/>
      <w:b/>
      <w:bCs/>
      <w:noProof/>
      <w:color w:val="F2F2F2"/>
      <w:kern w:val="28"/>
      <w:sz w:val="64"/>
      <w:szCs w:val="64"/>
    </w:rPr>
  </w:style>
  <w:style w:type="character" w:customStyle="1" w:styleId="TitleChar">
    <w:name w:val="Title Char"/>
    <w:basedOn w:val="DefaultParagraphFont"/>
    <w:link w:val="Title"/>
    <w:rsid w:val="00716620"/>
    <w:rPr>
      <w:rFonts w:ascii="Tahoma" w:hAnsi="Tahoma" w:cs="Tahoma"/>
      <w:b/>
      <w:bCs/>
      <w:noProof/>
      <w:color w:val="F2F2F2"/>
      <w:kern w:val="28"/>
      <w:sz w:val="64"/>
      <w:szCs w:val="64"/>
      <w:shd w:val="clear" w:color="auto" w:fill="4F81BD"/>
    </w:rPr>
  </w:style>
  <w:style w:type="paragraph" w:styleId="Subtitle">
    <w:name w:val="Subtitle"/>
    <w:basedOn w:val="Normal"/>
    <w:next w:val="Normal"/>
    <w:link w:val="SubtitleChar"/>
    <w:qFormat/>
    <w:rsid w:val="00716620"/>
    <w:pPr>
      <w:shd w:val="clear" w:color="auto" w:fill="4F81BD"/>
      <w:spacing w:after="60"/>
      <w:jc w:val="center"/>
      <w:outlineLvl w:val="1"/>
    </w:pPr>
    <w:rPr>
      <w:rFonts w:ascii="Comic Sans MS" w:hAnsi="Comic Sans MS"/>
      <w:color w:val="F2F2F2"/>
      <w:sz w:val="28"/>
      <w:szCs w:val="28"/>
    </w:rPr>
  </w:style>
  <w:style w:type="character" w:customStyle="1" w:styleId="SubtitleChar">
    <w:name w:val="Subtitle Char"/>
    <w:basedOn w:val="DefaultParagraphFont"/>
    <w:link w:val="Subtitle"/>
    <w:rsid w:val="00716620"/>
    <w:rPr>
      <w:rFonts w:ascii="Comic Sans MS" w:hAnsi="Comic Sans MS"/>
      <w:color w:val="F2F2F2"/>
      <w:sz w:val="28"/>
      <w:szCs w:val="28"/>
      <w:shd w:val="clear" w:color="auto" w:fill="4F81BD"/>
    </w:rPr>
  </w:style>
  <w:style w:type="character" w:customStyle="1" w:styleId="Heading2Char">
    <w:name w:val="Heading 2 Char"/>
    <w:basedOn w:val="DefaultParagraphFont"/>
    <w:link w:val="Heading2"/>
    <w:rsid w:val="000A359F"/>
    <w:rPr>
      <w:rFonts w:ascii="Arial" w:hAnsi="Arial" w:cs="Arial"/>
      <w:b/>
      <w:bCs/>
      <w:iCs/>
      <w:noProof/>
      <w:sz w:val="24"/>
      <w:szCs w:val="24"/>
    </w:rPr>
  </w:style>
  <w:style w:type="character" w:customStyle="1" w:styleId="BodyTextIndentChar">
    <w:name w:val="Body Text Indent Char"/>
    <w:basedOn w:val="DefaultParagraphFont"/>
    <w:link w:val="BodyTextIndent"/>
    <w:rsid w:val="00EA6A48"/>
    <w:rPr>
      <w:sz w:val="24"/>
      <w:szCs w:val="24"/>
    </w:rPr>
  </w:style>
  <w:style w:type="paragraph" w:styleId="BodyText">
    <w:name w:val="Body Text"/>
    <w:basedOn w:val="Normal"/>
    <w:link w:val="BodyTextChar"/>
    <w:rsid w:val="00DC0571"/>
    <w:pPr>
      <w:spacing w:after="120"/>
    </w:pPr>
    <w:rPr>
      <w:rFonts w:ascii="Calibri" w:hAnsi="Calibri" w:cs="Tahoma"/>
    </w:rPr>
  </w:style>
  <w:style w:type="character" w:customStyle="1" w:styleId="BodyTextChar">
    <w:name w:val="Body Text Char"/>
    <w:basedOn w:val="DefaultParagraphFont"/>
    <w:link w:val="BodyText"/>
    <w:rsid w:val="00DC0571"/>
    <w:rPr>
      <w:rFonts w:ascii="Calibri" w:hAnsi="Calibri" w:cs="Tahoma"/>
      <w:sz w:val="24"/>
      <w:szCs w:val="24"/>
    </w:rPr>
  </w:style>
  <w:style w:type="paragraph" w:styleId="BodyText2">
    <w:name w:val="Body Text 2"/>
    <w:basedOn w:val="Normal"/>
    <w:link w:val="BodyText2Char"/>
    <w:rsid w:val="00B360E5"/>
    <w:pPr>
      <w:spacing w:after="120" w:line="480" w:lineRule="auto"/>
    </w:pPr>
  </w:style>
  <w:style w:type="character" w:customStyle="1" w:styleId="BodyText2Char">
    <w:name w:val="Body Text 2 Char"/>
    <w:basedOn w:val="DefaultParagraphFont"/>
    <w:link w:val="BodyText2"/>
    <w:rsid w:val="00B360E5"/>
    <w:rPr>
      <w:sz w:val="24"/>
      <w:szCs w:val="24"/>
    </w:rPr>
  </w:style>
  <w:style w:type="paragraph" w:styleId="ListBullet">
    <w:name w:val="List Bullet"/>
    <w:basedOn w:val="Normal"/>
    <w:rsid w:val="00FF3F74"/>
    <w:pPr>
      <w:numPr>
        <w:numId w:val="3"/>
      </w:numPr>
      <w:contextualSpacing/>
    </w:pPr>
  </w:style>
  <w:style w:type="paragraph" w:styleId="ListBullet2">
    <w:name w:val="List Bullet 2"/>
    <w:basedOn w:val="Normal"/>
    <w:rsid w:val="00FF3F74"/>
    <w:pPr>
      <w:numPr>
        <w:numId w:val="4"/>
      </w:numPr>
      <w:contextualSpacing/>
    </w:pPr>
  </w:style>
  <w:style w:type="character" w:styleId="EndnoteReference">
    <w:name w:val="endnote reference"/>
    <w:basedOn w:val="DefaultParagraphFont"/>
    <w:rsid w:val="00AA41DF"/>
    <w:rPr>
      <w:vertAlign w:val="superscript"/>
    </w:rPr>
  </w:style>
  <w:style w:type="paragraph" w:styleId="EndnoteText">
    <w:name w:val="endnote text"/>
    <w:basedOn w:val="Normal"/>
    <w:link w:val="EndnoteTextChar"/>
    <w:rsid w:val="00AA41DF"/>
    <w:rPr>
      <w:sz w:val="20"/>
      <w:szCs w:val="20"/>
    </w:rPr>
  </w:style>
  <w:style w:type="character" w:customStyle="1" w:styleId="EndnoteTextChar">
    <w:name w:val="Endnote Text Char"/>
    <w:basedOn w:val="DefaultParagraphFont"/>
    <w:link w:val="EndnoteText"/>
    <w:rsid w:val="00AA41DF"/>
  </w:style>
  <w:style w:type="paragraph" w:styleId="NoSpacing">
    <w:name w:val="No Spacing"/>
    <w:link w:val="NoSpacingChar"/>
    <w:uiPriority w:val="1"/>
    <w:qFormat/>
    <w:rsid w:val="00716620"/>
    <w:rPr>
      <w:rFonts w:ascii="Calibri" w:hAnsi="Calibri"/>
      <w:sz w:val="22"/>
      <w:szCs w:val="22"/>
    </w:rPr>
  </w:style>
  <w:style w:type="character" w:customStyle="1" w:styleId="NoSpacingChar">
    <w:name w:val="No Spacing Char"/>
    <w:basedOn w:val="DefaultParagraphFont"/>
    <w:link w:val="NoSpacing"/>
    <w:uiPriority w:val="1"/>
    <w:rsid w:val="00716620"/>
    <w:rPr>
      <w:rFonts w:ascii="Calibri" w:hAnsi="Calibri"/>
      <w:sz w:val="22"/>
      <w:szCs w:val="22"/>
      <w:lang w:val="en-US" w:eastAsia="en-US" w:bidi="ar-SA"/>
    </w:rPr>
  </w:style>
  <w:style w:type="paragraph" w:styleId="Caption">
    <w:name w:val="caption"/>
    <w:basedOn w:val="Normal"/>
    <w:next w:val="Normal"/>
    <w:unhideWhenUsed/>
    <w:qFormat/>
    <w:rsid w:val="002E11DD"/>
    <w:rPr>
      <w:b/>
      <w:bCs/>
      <w:sz w:val="20"/>
      <w:szCs w:val="20"/>
    </w:rPr>
  </w:style>
  <w:style w:type="paragraph" w:styleId="DocumentMap">
    <w:name w:val="Document Map"/>
    <w:basedOn w:val="Normal"/>
    <w:link w:val="DocumentMapChar"/>
    <w:rsid w:val="00CA56B4"/>
    <w:rPr>
      <w:rFonts w:ascii="Tahoma" w:hAnsi="Tahoma" w:cs="Tahoma"/>
      <w:sz w:val="16"/>
      <w:szCs w:val="16"/>
    </w:rPr>
  </w:style>
  <w:style w:type="character" w:customStyle="1" w:styleId="DocumentMapChar">
    <w:name w:val="Document Map Char"/>
    <w:basedOn w:val="DefaultParagraphFont"/>
    <w:link w:val="DocumentMap"/>
    <w:rsid w:val="00CA56B4"/>
    <w:rPr>
      <w:rFonts w:ascii="Tahoma" w:hAnsi="Tahoma" w:cs="Tahoma"/>
      <w:sz w:val="16"/>
      <w:szCs w:val="16"/>
    </w:rPr>
  </w:style>
  <w:style w:type="character" w:customStyle="1" w:styleId="Heading4Char">
    <w:name w:val="Heading 4 Char"/>
    <w:basedOn w:val="DefaultParagraphFont"/>
    <w:link w:val="Heading4"/>
    <w:rsid w:val="002E3923"/>
    <w:rPr>
      <w:rFonts w:ascii="Calibri" w:hAnsi="Calibri" w:cs="Arial"/>
      <w:b/>
      <w:bCs/>
      <w:sz w:val="24"/>
      <w:szCs w:val="24"/>
    </w:rPr>
  </w:style>
  <w:style w:type="character" w:customStyle="1" w:styleId="Heading3Char">
    <w:name w:val="Heading 3 Char"/>
    <w:basedOn w:val="DefaultParagraphFont"/>
    <w:link w:val="Heading3"/>
    <w:rsid w:val="000A359F"/>
    <w:rPr>
      <w:rFonts w:ascii="Arial" w:hAnsi="Arial" w:cs="Arial"/>
      <w:b/>
      <w:i/>
      <w:sz w:val="24"/>
      <w:szCs w:val="24"/>
    </w:rPr>
  </w:style>
  <w:style w:type="paragraph" w:customStyle="1" w:styleId="2ndheading">
    <w:name w:val="2nd heading"/>
    <w:basedOn w:val="Normal"/>
    <w:qFormat/>
    <w:rsid w:val="00AC16AD"/>
    <w:pPr>
      <w:keepNext/>
      <w:keepLines/>
    </w:pPr>
    <w:rPr>
      <w:rFonts w:ascii="Arial Black" w:hAnsi="Arial Black"/>
      <w:sz w:val="22"/>
    </w:rPr>
  </w:style>
  <w:style w:type="paragraph" w:customStyle="1" w:styleId="3rdheading">
    <w:name w:val="3rd heading"/>
    <w:basedOn w:val="Normal"/>
    <w:qFormat/>
    <w:rsid w:val="00AC16AD"/>
    <w:pPr>
      <w:keepNext/>
      <w:keepLines/>
      <w:spacing w:after="120" w:line="320" w:lineRule="exact"/>
    </w:pPr>
    <w:rPr>
      <w:rFonts w:ascii="Novarese Bk BT" w:hAnsi="Novarese Bk BT"/>
      <w:b/>
    </w:rPr>
  </w:style>
  <w:style w:type="character" w:styleId="Hyperlink">
    <w:name w:val="Hyperlink"/>
    <w:basedOn w:val="DefaultParagraphFont"/>
    <w:rsid w:val="00DC05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67216">
      <w:bodyDiv w:val="1"/>
      <w:marLeft w:val="0"/>
      <w:marRight w:val="0"/>
      <w:marTop w:val="0"/>
      <w:marBottom w:val="0"/>
      <w:divBdr>
        <w:top w:val="none" w:sz="0" w:space="0" w:color="auto"/>
        <w:left w:val="none" w:sz="0" w:space="0" w:color="auto"/>
        <w:bottom w:val="none" w:sz="0" w:space="0" w:color="auto"/>
        <w:right w:val="none" w:sz="0" w:space="0" w:color="auto"/>
      </w:divBdr>
    </w:div>
    <w:div w:id="137503604">
      <w:bodyDiv w:val="1"/>
      <w:marLeft w:val="0"/>
      <w:marRight w:val="0"/>
      <w:marTop w:val="0"/>
      <w:marBottom w:val="0"/>
      <w:divBdr>
        <w:top w:val="none" w:sz="0" w:space="0" w:color="auto"/>
        <w:left w:val="none" w:sz="0" w:space="0" w:color="auto"/>
        <w:bottom w:val="none" w:sz="0" w:space="0" w:color="auto"/>
        <w:right w:val="none" w:sz="0" w:space="0" w:color="auto"/>
      </w:divBdr>
    </w:div>
    <w:div w:id="149371566">
      <w:bodyDiv w:val="1"/>
      <w:marLeft w:val="0"/>
      <w:marRight w:val="0"/>
      <w:marTop w:val="0"/>
      <w:marBottom w:val="0"/>
      <w:divBdr>
        <w:top w:val="none" w:sz="0" w:space="0" w:color="auto"/>
        <w:left w:val="none" w:sz="0" w:space="0" w:color="auto"/>
        <w:bottom w:val="none" w:sz="0" w:space="0" w:color="auto"/>
        <w:right w:val="none" w:sz="0" w:space="0" w:color="auto"/>
      </w:divBdr>
    </w:div>
    <w:div w:id="170340688">
      <w:bodyDiv w:val="1"/>
      <w:marLeft w:val="0"/>
      <w:marRight w:val="0"/>
      <w:marTop w:val="0"/>
      <w:marBottom w:val="0"/>
      <w:divBdr>
        <w:top w:val="none" w:sz="0" w:space="0" w:color="auto"/>
        <w:left w:val="none" w:sz="0" w:space="0" w:color="auto"/>
        <w:bottom w:val="none" w:sz="0" w:space="0" w:color="auto"/>
        <w:right w:val="none" w:sz="0" w:space="0" w:color="auto"/>
      </w:divBdr>
    </w:div>
    <w:div w:id="319697059">
      <w:bodyDiv w:val="1"/>
      <w:marLeft w:val="0"/>
      <w:marRight w:val="0"/>
      <w:marTop w:val="0"/>
      <w:marBottom w:val="0"/>
      <w:divBdr>
        <w:top w:val="none" w:sz="0" w:space="0" w:color="auto"/>
        <w:left w:val="none" w:sz="0" w:space="0" w:color="auto"/>
        <w:bottom w:val="none" w:sz="0" w:space="0" w:color="auto"/>
        <w:right w:val="none" w:sz="0" w:space="0" w:color="auto"/>
      </w:divBdr>
    </w:div>
    <w:div w:id="370035727">
      <w:bodyDiv w:val="1"/>
      <w:marLeft w:val="0"/>
      <w:marRight w:val="0"/>
      <w:marTop w:val="0"/>
      <w:marBottom w:val="0"/>
      <w:divBdr>
        <w:top w:val="none" w:sz="0" w:space="0" w:color="auto"/>
        <w:left w:val="none" w:sz="0" w:space="0" w:color="auto"/>
        <w:bottom w:val="none" w:sz="0" w:space="0" w:color="auto"/>
        <w:right w:val="none" w:sz="0" w:space="0" w:color="auto"/>
      </w:divBdr>
    </w:div>
    <w:div w:id="409894039">
      <w:bodyDiv w:val="1"/>
      <w:marLeft w:val="0"/>
      <w:marRight w:val="0"/>
      <w:marTop w:val="0"/>
      <w:marBottom w:val="0"/>
      <w:divBdr>
        <w:top w:val="none" w:sz="0" w:space="0" w:color="auto"/>
        <w:left w:val="none" w:sz="0" w:space="0" w:color="auto"/>
        <w:bottom w:val="none" w:sz="0" w:space="0" w:color="auto"/>
        <w:right w:val="none" w:sz="0" w:space="0" w:color="auto"/>
      </w:divBdr>
    </w:div>
    <w:div w:id="520168146">
      <w:bodyDiv w:val="1"/>
      <w:marLeft w:val="0"/>
      <w:marRight w:val="0"/>
      <w:marTop w:val="0"/>
      <w:marBottom w:val="0"/>
      <w:divBdr>
        <w:top w:val="none" w:sz="0" w:space="0" w:color="auto"/>
        <w:left w:val="none" w:sz="0" w:space="0" w:color="auto"/>
        <w:bottom w:val="none" w:sz="0" w:space="0" w:color="auto"/>
        <w:right w:val="none" w:sz="0" w:space="0" w:color="auto"/>
      </w:divBdr>
    </w:div>
    <w:div w:id="572786080">
      <w:bodyDiv w:val="1"/>
      <w:marLeft w:val="0"/>
      <w:marRight w:val="0"/>
      <w:marTop w:val="0"/>
      <w:marBottom w:val="0"/>
      <w:divBdr>
        <w:top w:val="none" w:sz="0" w:space="0" w:color="auto"/>
        <w:left w:val="none" w:sz="0" w:space="0" w:color="auto"/>
        <w:bottom w:val="none" w:sz="0" w:space="0" w:color="auto"/>
        <w:right w:val="none" w:sz="0" w:space="0" w:color="auto"/>
      </w:divBdr>
    </w:div>
    <w:div w:id="781190598">
      <w:bodyDiv w:val="1"/>
      <w:marLeft w:val="0"/>
      <w:marRight w:val="0"/>
      <w:marTop w:val="0"/>
      <w:marBottom w:val="0"/>
      <w:divBdr>
        <w:top w:val="none" w:sz="0" w:space="0" w:color="auto"/>
        <w:left w:val="none" w:sz="0" w:space="0" w:color="auto"/>
        <w:bottom w:val="none" w:sz="0" w:space="0" w:color="auto"/>
        <w:right w:val="none" w:sz="0" w:space="0" w:color="auto"/>
      </w:divBdr>
    </w:div>
    <w:div w:id="829172007">
      <w:bodyDiv w:val="1"/>
      <w:marLeft w:val="0"/>
      <w:marRight w:val="0"/>
      <w:marTop w:val="0"/>
      <w:marBottom w:val="0"/>
      <w:divBdr>
        <w:top w:val="none" w:sz="0" w:space="0" w:color="auto"/>
        <w:left w:val="none" w:sz="0" w:space="0" w:color="auto"/>
        <w:bottom w:val="none" w:sz="0" w:space="0" w:color="auto"/>
        <w:right w:val="none" w:sz="0" w:space="0" w:color="auto"/>
      </w:divBdr>
    </w:div>
    <w:div w:id="850877829">
      <w:bodyDiv w:val="1"/>
      <w:marLeft w:val="0"/>
      <w:marRight w:val="0"/>
      <w:marTop w:val="0"/>
      <w:marBottom w:val="0"/>
      <w:divBdr>
        <w:top w:val="none" w:sz="0" w:space="0" w:color="auto"/>
        <w:left w:val="none" w:sz="0" w:space="0" w:color="auto"/>
        <w:bottom w:val="none" w:sz="0" w:space="0" w:color="auto"/>
        <w:right w:val="none" w:sz="0" w:space="0" w:color="auto"/>
      </w:divBdr>
    </w:div>
    <w:div w:id="932399421">
      <w:bodyDiv w:val="1"/>
      <w:marLeft w:val="0"/>
      <w:marRight w:val="0"/>
      <w:marTop w:val="0"/>
      <w:marBottom w:val="0"/>
      <w:divBdr>
        <w:top w:val="none" w:sz="0" w:space="0" w:color="auto"/>
        <w:left w:val="none" w:sz="0" w:space="0" w:color="auto"/>
        <w:bottom w:val="none" w:sz="0" w:space="0" w:color="auto"/>
        <w:right w:val="none" w:sz="0" w:space="0" w:color="auto"/>
      </w:divBdr>
    </w:div>
    <w:div w:id="941180948">
      <w:bodyDiv w:val="1"/>
      <w:marLeft w:val="0"/>
      <w:marRight w:val="0"/>
      <w:marTop w:val="0"/>
      <w:marBottom w:val="0"/>
      <w:divBdr>
        <w:top w:val="none" w:sz="0" w:space="0" w:color="auto"/>
        <w:left w:val="none" w:sz="0" w:space="0" w:color="auto"/>
        <w:bottom w:val="none" w:sz="0" w:space="0" w:color="auto"/>
        <w:right w:val="none" w:sz="0" w:space="0" w:color="auto"/>
      </w:divBdr>
    </w:div>
    <w:div w:id="949506371">
      <w:bodyDiv w:val="1"/>
      <w:marLeft w:val="0"/>
      <w:marRight w:val="0"/>
      <w:marTop w:val="0"/>
      <w:marBottom w:val="0"/>
      <w:divBdr>
        <w:top w:val="none" w:sz="0" w:space="0" w:color="auto"/>
        <w:left w:val="none" w:sz="0" w:space="0" w:color="auto"/>
        <w:bottom w:val="none" w:sz="0" w:space="0" w:color="auto"/>
        <w:right w:val="none" w:sz="0" w:space="0" w:color="auto"/>
      </w:divBdr>
    </w:div>
    <w:div w:id="1122924432">
      <w:bodyDiv w:val="1"/>
      <w:marLeft w:val="0"/>
      <w:marRight w:val="0"/>
      <w:marTop w:val="0"/>
      <w:marBottom w:val="0"/>
      <w:divBdr>
        <w:top w:val="none" w:sz="0" w:space="0" w:color="auto"/>
        <w:left w:val="none" w:sz="0" w:space="0" w:color="auto"/>
        <w:bottom w:val="none" w:sz="0" w:space="0" w:color="auto"/>
        <w:right w:val="none" w:sz="0" w:space="0" w:color="auto"/>
      </w:divBdr>
    </w:div>
    <w:div w:id="1299261135">
      <w:bodyDiv w:val="1"/>
      <w:marLeft w:val="0"/>
      <w:marRight w:val="0"/>
      <w:marTop w:val="0"/>
      <w:marBottom w:val="0"/>
      <w:divBdr>
        <w:top w:val="none" w:sz="0" w:space="0" w:color="auto"/>
        <w:left w:val="none" w:sz="0" w:space="0" w:color="auto"/>
        <w:bottom w:val="none" w:sz="0" w:space="0" w:color="auto"/>
        <w:right w:val="none" w:sz="0" w:space="0" w:color="auto"/>
      </w:divBdr>
    </w:div>
    <w:div w:id="1430546978">
      <w:bodyDiv w:val="1"/>
      <w:marLeft w:val="0"/>
      <w:marRight w:val="0"/>
      <w:marTop w:val="0"/>
      <w:marBottom w:val="0"/>
      <w:divBdr>
        <w:top w:val="none" w:sz="0" w:space="0" w:color="auto"/>
        <w:left w:val="none" w:sz="0" w:space="0" w:color="auto"/>
        <w:bottom w:val="none" w:sz="0" w:space="0" w:color="auto"/>
        <w:right w:val="none" w:sz="0" w:space="0" w:color="auto"/>
      </w:divBdr>
    </w:div>
    <w:div w:id="1436174893">
      <w:bodyDiv w:val="1"/>
      <w:marLeft w:val="0"/>
      <w:marRight w:val="0"/>
      <w:marTop w:val="0"/>
      <w:marBottom w:val="0"/>
      <w:divBdr>
        <w:top w:val="none" w:sz="0" w:space="0" w:color="auto"/>
        <w:left w:val="none" w:sz="0" w:space="0" w:color="auto"/>
        <w:bottom w:val="none" w:sz="0" w:space="0" w:color="auto"/>
        <w:right w:val="none" w:sz="0" w:space="0" w:color="auto"/>
      </w:divBdr>
    </w:div>
    <w:div w:id="1586301893">
      <w:bodyDiv w:val="1"/>
      <w:marLeft w:val="0"/>
      <w:marRight w:val="0"/>
      <w:marTop w:val="0"/>
      <w:marBottom w:val="0"/>
      <w:divBdr>
        <w:top w:val="none" w:sz="0" w:space="0" w:color="auto"/>
        <w:left w:val="none" w:sz="0" w:space="0" w:color="auto"/>
        <w:bottom w:val="none" w:sz="0" w:space="0" w:color="auto"/>
        <w:right w:val="none" w:sz="0" w:space="0" w:color="auto"/>
      </w:divBdr>
    </w:div>
    <w:div w:id="1867867502">
      <w:bodyDiv w:val="1"/>
      <w:marLeft w:val="0"/>
      <w:marRight w:val="0"/>
      <w:marTop w:val="0"/>
      <w:marBottom w:val="0"/>
      <w:divBdr>
        <w:top w:val="none" w:sz="0" w:space="0" w:color="auto"/>
        <w:left w:val="none" w:sz="0" w:space="0" w:color="auto"/>
        <w:bottom w:val="none" w:sz="0" w:space="0" w:color="auto"/>
        <w:right w:val="none" w:sz="0" w:space="0" w:color="auto"/>
      </w:divBdr>
    </w:div>
    <w:div w:id="2068454322">
      <w:bodyDiv w:val="1"/>
      <w:marLeft w:val="0"/>
      <w:marRight w:val="0"/>
      <w:marTop w:val="0"/>
      <w:marBottom w:val="0"/>
      <w:divBdr>
        <w:top w:val="none" w:sz="0" w:space="0" w:color="auto"/>
        <w:left w:val="none" w:sz="0" w:space="0" w:color="auto"/>
        <w:bottom w:val="none" w:sz="0" w:space="0" w:color="auto"/>
        <w:right w:val="none" w:sz="0" w:space="0" w:color="auto"/>
      </w:divBdr>
    </w:div>
    <w:div w:id="210734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1.xls"/><Relationship Id="rId18" Type="http://schemas.openxmlformats.org/officeDocument/2006/relationships/oleObject" Target="embeddings/Microsoft_Excel_97-2003_Worksheet2.xls"/><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5.emf"/><Relationship Id="rId25" Type="http://schemas.openxmlformats.org/officeDocument/2006/relationships/package" Target="embeddings/Microsoft_Excel_Worksheet2.xlsx"/><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Microsoft_Excel_97-2003_Worksheet3.xls"/><Relationship Id="rId29"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oleObject" Target="embeddings/Microsoft_Excel_97-2003_Worksheet4.xls"/><Relationship Id="rId27" Type="http://schemas.openxmlformats.org/officeDocument/2006/relationships/package" Target="embeddings/Microsoft_Excel_Worksheet3.xlsx"/><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maine.gov/labor/cwr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D:\CWRI%20website\CWRI\publications\Word\Template_Brief.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31"/>
              <a:t>While there was little change in manufacturing GDP between 2000 and 2010, industry shares</a:t>
            </a:r>
            <a:r>
              <a:rPr lang="en-US" sz="1031" baseline="0"/>
              <a:t> changed</a:t>
            </a:r>
            <a:endParaRPr lang="en-US" sz="1100"/>
          </a:p>
          <a:p>
            <a:pPr>
              <a:defRPr/>
            </a:pPr>
            <a:r>
              <a:rPr lang="en-US" sz="750"/>
              <a:t>(percent share of manufacturing GDP, sorted</a:t>
            </a:r>
            <a:r>
              <a:rPr lang="en-US" sz="750" baseline="0"/>
              <a:t> by 2010 share</a:t>
            </a:r>
            <a:r>
              <a:rPr lang="en-US" sz="750"/>
              <a:t>)</a:t>
            </a:r>
          </a:p>
        </c:rich>
      </c:tx>
      <c:overlay val="0"/>
    </c:title>
    <c:autoTitleDeleted val="0"/>
    <c:plotArea>
      <c:layout>
        <c:manualLayout>
          <c:layoutTarget val="inner"/>
          <c:xMode val="edge"/>
          <c:yMode val="edge"/>
          <c:x val="0.40592178838057147"/>
          <c:y val="0.15986698565334201"/>
          <c:w val="0.54526051520447816"/>
          <c:h val="0.78346937896834945"/>
        </c:manualLayout>
      </c:layout>
      <c:barChart>
        <c:barDir val="bar"/>
        <c:grouping val="clustered"/>
        <c:varyColors val="0"/>
        <c:ser>
          <c:idx val="0"/>
          <c:order val="0"/>
          <c:tx>
            <c:v>2010</c:v>
          </c:tx>
          <c:invertIfNegative val="0"/>
          <c:dLbls>
            <c:txPr>
              <a:bodyPr/>
              <a:lstStyle/>
              <a:p>
                <a:pPr>
                  <a:defRPr sz="750"/>
                </a:pPr>
                <a:endParaRPr lang="en-US"/>
              </a:p>
            </c:txPr>
            <c:dLblPos val="outEnd"/>
            <c:showLegendKey val="0"/>
            <c:showVal val="1"/>
            <c:showCatName val="0"/>
            <c:showSerName val="0"/>
            <c:showPercent val="0"/>
            <c:showBubbleSize val="0"/>
            <c:showLeaderLines val="0"/>
          </c:dLbls>
          <c:cat>
            <c:strRef>
              <c:f>Sheet1!$A$51:$A$67</c:f>
              <c:strCache>
                <c:ptCount val="17"/>
                <c:pt idx="0">
                  <c:v>Primary Metals</c:v>
                </c:pt>
                <c:pt idx="1">
                  <c:v>Electrical Equipment, Appliance, &amp; Components</c:v>
                </c:pt>
                <c:pt idx="2">
                  <c:v>Furniture &amp; Related Products</c:v>
                </c:pt>
                <c:pt idx="3">
                  <c:v>Printing &amp; Related Support Activities</c:v>
                </c:pt>
                <c:pt idx="4">
                  <c:v>Nonmetallic Mineral Products</c:v>
                </c:pt>
                <c:pt idx="5">
                  <c:v>Textile Mills &amp; Textile Product Mills</c:v>
                </c:pt>
                <c:pt idx="6">
                  <c:v>Apparel &amp; Leather and Allied Products</c:v>
                </c:pt>
                <c:pt idx="7">
                  <c:v>Miscellaneous </c:v>
                </c:pt>
                <c:pt idx="8">
                  <c:v>Machinery </c:v>
                </c:pt>
                <c:pt idx="9">
                  <c:v>Plastics &amp; Rubber Products </c:v>
                </c:pt>
                <c:pt idx="10">
                  <c:v>Chemicals</c:v>
                </c:pt>
                <c:pt idx="11">
                  <c:v>Wood Products</c:v>
                </c:pt>
                <c:pt idx="12">
                  <c:v>Fabricated Metal Products</c:v>
                </c:pt>
                <c:pt idx="13">
                  <c:v>Transportation Equipment </c:v>
                </c:pt>
                <c:pt idx="14">
                  <c:v>Food &amp; Beverage &amp; Tobacco Products</c:v>
                </c:pt>
                <c:pt idx="15">
                  <c:v>Paper </c:v>
                </c:pt>
                <c:pt idx="16">
                  <c:v>Computer &amp; Electronic Products </c:v>
                </c:pt>
              </c:strCache>
            </c:strRef>
          </c:cat>
          <c:val>
            <c:numRef>
              <c:f>Sheet1!$B$51:$B$67</c:f>
              <c:numCache>
                <c:formatCode>0.0%</c:formatCode>
                <c:ptCount val="17"/>
                <c:pt idx="0">
                  <c:v>3.5488958990536278E-3</c:v>
                </c:pt>
                <c:pt idx="1">
                  <c:v>5.5205047318611991E-3</c:v>
                </c:pt>
                <c:pt idx="2">
                  <c:v>1.1435331230283912E-2</c:v>
                </c:pt>
                <c:pt idx="3">
                  <c:v>1.4392744479495269E-2</c:v>
                </c:pt>
                <c:pt idx="4">
                  <c:v>1.4787066246056782E-2</c:v>
                </c:pt>
                <c:pt idx="5">
                  <c:v>1.4787066246056782E-2</c:v>
                </c:pt>
                <c:pt idx="6">
                  <c:v>2.7799684542586751E-2</c:v>
                </c:pt>
                <c:pt idx="7">
                  <c:v>2.8982649842271294E-2</c:v>
                </c:pt>
                <c:pt idx="8">
                  <c:v>3.8643533123028394E-2</c:v>
                </c:pt>
                <c:pt idx="9">
                  <c:v>4.140378548895899E-2</c:v>
                </c:pt>
                <c:pt idx="10">
                  <c:v>5.7965299684542587E-2</c:v>
                </c:pt>
                <c:pt idx="11">
                  <c:v>8.0835962145110407E-2</c:v>
                </c:pt>
                <c:pt idx="12">
                  <c:v>9.5623028391167195E-2</c:v>
                </c:pt>
                <c:pt idx="13">
                  <c:v>0.12440851735015773</c:v>
                </c:pt>
                <c:pt idx="14">
                  <c:v>0.12657728706624605</c:v>
                </c:pt>
                <c:pt idx="15">
                  <c:v>0.14097003154574134</c:v>
                </c:pt>
                <c:pt idx="16">
                  <c:v>0.15181388012618297</c:v>
                </c:pt>
              </c:numCache>
            </c:numRef>
          </c:val>
        </c:ser>
        <c:ser>
          <c:idx val="1"/>
          <c:order val="1"/>
          <c:tx>
            <c:v>2000</c:v>
          </c:tx>
          <c:invertIfNegative val="0"/>
          <c:dLbls>
            <c:txPr>
              <a:bodyPr/>
              <a:lstStyle/>
              <a:p>
                <a:pPr>
                  <a:defRPr sz="750"/>
                </a:pPr>
                <a:endParaRPr lang="en-US"/>
              </a:p>
            </c:txPr>
            <c:dLblPos val="outEnd"/>
            <c:showLegendKey val="0"/>
            <c:showVal val="1"/>
            <c:showCatName val="0"/>
            <c:showSerName val="0"/>
            <c:showPercent val="0"/>
            <c:showBubbleSize val="0"/>
            <c:showLeaderLines val="0"/>
          </c:dLbls>
          <c:cat>
            <c:strRef>
              <c:f>Sheet1!$A$51:$A$67</c:f>
              <c:strCache>
                <c:ptCount val="17"/>
                <c:pt idx="0">
                  <c:v>Primary Metals</c:v>
                </c:pt>
                <c:pt idx="1">
                  <c:v>Electrical Equipment, Appliance, &amp; Components</c:v>
                </c:pt>
                <c:pt idx="2">
                  <c:v>Furniture &amp; Related Products</c:v>
                </c:pt>
                <c:pt idx="3">
                  <c:v>Printing &amp; Related Support Activities</c:v>
                </c:pt>
                <c:pt idx="4">
                  <c:v>Nonmetallic Mineral Products</c:v>
                </c:pt>
                <c:pt idx="5">
                  <c:v>Textile Mills &amp; Textile Product Mills</c:v>
                </c:pt>
                <c:pt idx="6">
                  <c:v>Apparel &amp; Leather and Allied Products</c:v>
                </c:pt>
                <c:pt idx="7">
                  <c:v>Miscellaneous </c:v>
                </c:pt>
                <c:pt idx="8">
                  <c:v>Machinery </c:v>
                </c:pt>
                <c:pt idx="9">
                  <c:v>Plastics &amp; Rubber Products </c:v>
                </c:pt>
                <c:pt idx="10">
                  <c:v>Chemicals</c:v>
                </c:pt>
                <c:pt idx="11">
                  <c:v>Wood Products</c:v>
                </c:pt>
                <c:pt idx="12">
                  <c:v>Fabricated Metal Products</c:v>
                </c:pt>
                <c:pt idx="13">
                  <c:v>Transportation Equipment </c:v>
                </c:pt>
                <c:pt idx="14">
                  <c:v>Food &amp; Beverage &amp; Tobacco Products</c:v>
                </c:pt>
                <c:pt idx="15">
                  <c:v>Paper </c:v>
                </c:pt>
                <c:pt idx="16">
                  <c:v>Computer &amp; Electronic Products </c:v>
                </c:pt>
              </c:strCache>
            </c:strRef>
          </c:cat>
          <c:val>
            <c:numRef>
              <c:f>Sheet1!$C$51:$C$67</c:f>
              <c:numCache>
                <c:formatCode>0.0%</c:formatCode>
                <c:ptCount val="17"/>
                <c:pt idx="0">
                  <c:v>7.3977371627502175E-3</c:v>
                </c:pt>
                <c:pt idx="1">
                  <c:v>2.4369016536118365E-2</c:v>
                </c:pt>
                <c:pt idx="2">
                  <c:v>1.9147084421235857E-2</c:v>
                </c:pt>
                <c:pt idx="3">
                  <c:v>2.0452567449956483E-2</c:v>
                </c:pt>
                <c:pt idx="4">
                  <c:v>1.6753698868581374E-2</c:v>
                </c:pt>
                <c:pt idx="5">
                  <c:v>4.89556135770235E-2</c:v>
                </c:pt>
                <c:pt idx="6">
                  <c:v>5.3307223672758919E-2</c:v>
                </c:pt>
                <c:pt idx="7">
                  <c:v>1.5448215839860748E-2</c:v>
                </c:pt>
                <c:pt idx="8">
                  <c:v>4.0034812880765887E-2</c:v>
                </c:pt>
                <c:pt idx="9">
                  <c:v>3.6988685813751088E-2</c:v>
                </c:pt>
                <c:pt idx="10">
                  <c:v>2.5456919060052218E-2</c:v>
                </c:pt>
                <c:pt idx="11">
                  <c:v>7.3759791122715399E-2</c:v>
                </c:pt>
                <c:pt idx="12">
                  <c:v>7.7458659704090507E-2</c:v>
                </c:pt>
                <c:pt idx="13">
                  <c:v>0.11792863359442994</c:v>
                </c:pt>
                <c:pt idx="14">
                  <c:v>8.7467362924281991E-2</c:v>
                </c:pt>
                <c:pt idx="15">
                  <c:v>0.34899912967798086</c:v>
                </c:pt>
                <c:pt idx="16">
                  <c:v>9.7911227154047001E-3</c:v>
                </c:pt>
              </c:numCache>
            </c:numRef>
          </c:val>
        </c:ser>
        <c:dLbls>
          <c:showLegendKey val="0"/>
          <c:showVal val="0"/>
          <c:showCatName val="0"/>
          <c:showSerName val="0"/>
          <c:showPercent val="0"/>
          <c:showBubbleSize val="0"/>
        </c:dLbls>
        <c:gapWidth val="150"/>
        <c:axId val="260306048"/>
        <c:axId val="260307584"/>
      </c:barChart>
      <c:catAx>
        <c:axId val="260306048"/>
        <c:scaling>
          <c:orientation val="minMax"/>
        </c:scaling>
        <c:delete val="0"/>
        <c:axPos val="l"/>
        <c:numFmt formatCode="General" sourceLinked="1"/>
        <c:majorTickMark val="out"/>
        <c:minorTickMark val="none"/>
        <c:tickLblPos val="low"/>
        <c:txPr>
          <a:bodyPr/>
          <a:lstStyle/>
          <a:p>
            <a:pPr>
              <a:defRPr sz="750"/>
            </a:pPr>
            <a:endParaRPr lang="en-US"/>
          </a:p>
        </c:txPr>
        <c:crossAx val="260307584"/>
        <c:crosses val="autoZero"/>
        <c:auto val="1"/>
        <c:lblAlgn val="ctr"/>
        <c:lblOffset val="100"/>
        <c:noMultiLvlLbl val="0"/>
      </c:catAx>
      <c:valAx>
        <c:axId val="260307584"/>
        <c:scaling>
          <c:orientation val="minMax"/>
        </c:scaling>
        <c:delete val="1"/>
        <c:axPos val="b"/>
        <c:numFmt formatCode="0.0%" sourceLinked="1"/>
        <c:majorTickMark val="out"/>
        <c:minorTickMark val="none"/>
        <c:tickLblPos val="nextTo"/>
        <c:crossAx val="260306048"/>
        <c:crosses val="autoZero"/>
        <c:crossBetween val="between"/>
      </c:valAx>
    </c:plotArea>
    <c:legend>
      <c:legendPos val="t"/>
      <c:overlay val="0"/>
      <c:txPr>
        <a:bodyPr/>
        <a:lstStyle/>
        <a:p>
          <a:pPr>
            <a:defRPr sz="750"/>
          </a:pPr>
          <a:endParaRPr lang="en-US"/>
        </a:p>
      </c:txPr>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0.02809</cdr:x>
      <cdr:y>0.95327</cdr:y>
    </cdr:from>
    <cdr:to>
      <cdr:x>0.90281</cdr:x>
      <cdr:y>0.9914</cdr:y>
    </cdr:to>
    <cdr:sp macro="" textlink="">
      <cdr:nvSpPr>
        <cdr:cNvPr id="2" name="TextBox 1"/>
        <cdr:cNvSpPr txBox="1"/>
      </cdr:nvSpPr>
      <cdr:spPr>
        <a:xfrm xmlns:a="http://schemas.openxmlformats.org/drawingml/2006/main">
          <a:off x="109609" y="5645889"/>
          <a:ext cx="3413223" cy="2258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Source: U.S. Bureau</a:t>
          </a:r>
          <a:r>
            <a:rPr lang="en-US" sz="800" baseline="0"/>
            <a:t> of Economic Analysis.</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76CC2-122F-4CA5-BAA4-6C77CDC39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Template_Brief.dotx</Template>
  <TotalTime>89</TotalTime>
  <Pages>10</Pages>
  <Words>2237</Words>
  <Characters>12755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Additional Data on Unemployment Insurance Claims in the</vt:lpstr>
    </vt:vector>
  </TitlesOfParts>
  <Company>Maine Department of Labor</Company>
  <LinksUpToDate>false</LinksUpToDate>
  <CharactersWithSpaces>14963</CharactersWithSpaces>
  <SharedDoc>false</SharedDoc>
  <HLinks>
    <vt:vector size="6" baseType="variant">
      <vt:variant>
        <vt:i4>3539047</vt:i4>
      </vt:variant>
      <vt:variant>
        <vt:i4>0</vt:i4>
      </vt:variant>
      <vt:variant>
        <vt:i4>0</vt:i4>
      </vt:variant>
      <vt:variant>
        <vt:i4>5</vt:i4>
      </vt:variant>
      <vt:variant>
        <vt:lpwstr>http://www.maine.gov/labor/cwri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Jobs: Trends, Issues, and Outlook</dc:title>
  <dc:subject/>
  <dc:creator>Maine Department of Labor, Center for Workforce Research and Information</dc:creator>
  <cp:keywords/>
  <cp:lastModifiedBy>State of Maine</cp:lastModifiedBy>
  <cp:revision>12</cp:revision>
  <cp:lastPrinted>2012-08-20T13:49:00Z</cp:lastPrinted>
  <dcterms:created xsi:type="dcterms:W3CDTF">2012-08-17T15:18:00Z</dcterms:created>
  <dcterms:modified xsi:type="dcterms:W3CDTF">2012-08-20T14:50:00Z</dcterms:modified>
</cp:coreProperties>
</file>