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20" w:rsidRPr="00484A3F" w:rsidRDefault="00882A0B" w:rsidP="00716620">
      <w:pPr>
        <w:pStyle w:val="Title"/>
        <w:rPr>
          <w:color w:val="FFFFFF"/>
        </w:rPr>
      </w:pPr>
      <w:r>
        <w:rPr>
          <w:color w:val="auto"/>
          <w14:shadow w14:blurRad="0" w14:dist="0" w14:dir="0" w14:sx="0" w14:sy="0" w14:kx="0" w14:ky="0" w14:algn="none">
            <w14:srgbClr w14:val="000000"/>
          </w14:shadow>
          <w14:textFill>
            <w14:solidFill>
              <w14:srgbClr w14:val="FFFFFF"/>
            </w14:solidFill>
          </w14:textFill>
        </w:rPr>
        <w:drawing>
          <wp:anchor distT="0" distB="0" distL="114300" distR="114300" simplePos="0" relativeHeight="251657728" behindDoc="0" locked="0" layoutInCell="1" allowOverlap="0">
            <wp:simplePos x="0" y="0"/>
            <wp:positionH relativeFrom="column">
              <wp:posOffset>0</wp:posOffset>
            </wp:positionH>
            <wp:positionV relativeFrom="paragraph">
              <wp:posOffset>0</wp:posOffset>
            </wp:positionV>
            <wp:extent cx="880110" cy="709930"/>
            <wp:effectExtent l="0" t="0" r="0" b="0"/>
            <wp:wrapNone/>
            <wp:docPr id="8" name="Picture 440" descr="Maine Department of Labor, Center for Workforce Research and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aine Department of Labor, Center for Workforce Research and Inform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20" w:rsidRPr="00484A3F">
        <w:rPr>
          <w:color w:val="FFFFFF"/>
          <w:szCs w:val="72"/>
        </w:rPr>
        <w:t>Research</w:t>
      </w:r>
      <w:r w:rsidR="00716620" w:rsidRPr="00484A3F">
        <w:rPr>
          <w:color w:val="FFFFFF"/>
        </w:rPr>
        <w:t xml:space="preserve"> Brief</w:t>
      </w:r>
    </w:p>
    <w:p w:rsidR="00716620" w:rsidRPr="00484A3F" w:rsidRDefault="00716620" w:rsidP="00716620">
      <w:pPr>
        <w:pStyle w:val="Subtitle"/>
        <w:rPr>
          <w:color w:val="FFFFFF"/>
        </w:rPr>
      </w:pPr>
      <w:r w:rsidRPr="00484A3F">
        <w:rPr>
          <w:color w:val="FFFFFF"/>
        </w:rPr>
        <w:t xml:space="preserve">Center for </w:t>
      </w:r>
      <w:r w:rsidRPr="00484A3F">
        <w:rPr>
          <w:color w:val="FFFFFF"/>
          <w:szCs w:val="32"/>
        </w:rPr>
        <w:t>Workforce</w:t>
      </w:r>
      <w:r w:rsidRPr="00484A3F">
        <w:rPr>
          <w:color w:val="FFFFFF"/>
        </w:rPr>
        <w:t xml:space="preserve"> Research and Information</w:t>
      </w:r>
    </w:p>
    <w:p w:rsidR="00716620" w:rsidRPr="00DC0571" w:rsidRDefault="00B10BA0" w:rsidP="00DC0571">
      <w:pPr>
        <w:pStyle w:val="Header"/>
      </w:pPr>
      <w:r>
        <w:t>April</w:t>
      </w:r>
      <w:r w:rsidR="00E052EE">
        <w:t xml:space="preserve"> 2013</w:t>
      </w:r>
      <w:bookmarkStart w:id="0" w:name="_GoBack"/>
      <w:bookmarkEnd w:id="0"/>
    </w:p>
    <w:p w:rsidR="001208C3" w:rsidRPr="00610AAD" w:rsidRDefault="00D81F51" w:rsidP="00C7154A">
      <w:pPr>
        <w:pStyle w:val="Heading1"/>
        <w:spacing w:before="600" w:after="240"/>
      </w:pPr>
      <w:r w:rsidRPr="00610AAD">
        <w:t>Labor Market Activities of Maine Veterans</w:t>
      </w:r>
    </w:p>
    <w:p w:rsidR="00C7154A" w:rsidRPr="00C7154A" w:rsidRDefault="00A5305E" w:rsidP="00662015">
      <w:pPr>
        <w:pStyle w:val="BodyText"/>
      </w:pPr>
      <w:r>
        <w:t>There is m</w:t>
      </w:r>
      <w:r w:rsidR="007618D9">
        <w:t>uch attention focused nationally on the challenges v</w:t>
      </w:r>
      <w:r w:rsidR="000A0FD4">
        <w:t>eterans</w:t>
      </w:r>
      <w:r w:rsidR="007618D9">
        <w:t xml:space="preserve"> face in the labor market</w:t>
      </w:r>
      <w:r w:rsidR="000A0FD4">
        <w:t>, particularly</w:t>
      </w:r>
      <w:r w:rsidR="001B4EC7">
        <w:t xml:space="preserve"> veterans of the wars in Afghanistan and Iraq.</w:t>
      </w:r>
      <w:r w:rsidR="007618D9">
        <w:t xml:space="preserve"> </w:t>
      </w:r>
      <w:r w:rsidR="000A0FD4">
        <w:t>In response</w:t>
      </w:r>
      <w:r>
        <w:t>,</w:t>
      </w:r>
      <w:r w:rsidR="000A0FD4">
        <w:t xml:space="preserve"> federal government, state and local governments, advocacy groups, businesses, and others </w:t>
      </w:r>
      <w:r w:rsidR="00F52535">
        <w:t>are</w:t>
      </w:r>
      <w:r w:rsidR="000A0FD4">
        <w:t xml:space="preserve"> ma</w:t>
      </w:r>
      <w:r w:rsidR="00F52535">
        <w:t>king</w:t>
      </w:r>
      <w:r w:rsidR="000A0FD4">
        <w:t xml:space="preserve"> efforts</w:t>
      </w:r>
      <w:r w:rsidR="00C7154A">
        <w:t xml:space="preserve"> to assist veterans in their job search. The recent report </w:t>
      </w:r>
      <w:r w:rsidR="00C7154A">
        <w:rPr>
          <w:u w:val="single"/>
        </w:rPr>
        <w:t>Employment Situation of Veterans-201</w:t>
      </w:r>
      <w:r w:rsidR="00CB7B6F">
        <w:rPr>
          <w:u w:val="single"/>
        </w:rPr>
        <w:t>2</w:t>
      </w:r>
      <w:r w:rsidR="00C7154A">
        <w:t xml:space="preserve"> from the U.S. Bureau of Labor Statistics highlighted the national scope of unemployment and labor force participation among veterans.</w:t>
      </w:r>
      <w:r w:rsidR="005B7C0E">
        <w:t xml:space="preserve"> The following report draws on the same data as the U.S. report, plus supplementary Census data</w:t>
      </w:r>
      <w:r w:rsidR="007F6C8E">
        <w:t>,</w:t>
      </w:r>
      <w:r w:rsidR="005B7C0E">
        <w:t xml:space="preserve"> to provide a</w:t>
      </w:r>
      <w:r>
        <w:t>n analysis</w:t>
      </w:r>
      <w:r w:rsidR="005B7C0E">
        <w:t xml:space="preserve"> of workforce conditions for veterans in Maine.</w:t>
      </w:r>
    </w:p>
    <w:p w:rsidR="00F52535" w:rsidRDefault="00F52535" w:rsidP="00F52535">
      <w:pPr>
        <w:pStyle w:val="Heading2"/>
      </w:pPr>
      <w:r>
        <w:t>Introduction</w:t>
      </w:r>
    </w:p>
    <w:p w:rsidR="005838AF" w:rsidRDefault="00371C65" w:rsidP="00662015">
      <w:pPr>
        <w:pStyle w:val="BodyText"/>
      </w:pPr>
      <w:r>
        <w:t>T</w:t>
      </w:r>
      <w:r w:rsidR="00783B8F">
        <w:t>here were 13</w:t>
      </w:r>
      <w:r w:rsidR="00CB7B6F">
        <w:t>1</w:t>
      </w:r>
      <w:r w:rsidR="00783B8F">
        <w:t>,000 veterans in Maine accounting for 1</w:t>
      </w:r>
      <w:r w:rsidR="00CB7B6F">
        <w:t>2.9</w:t>
      </w:r>
      <w:r w:rsidR="00783B8F">
        <w:t xml:space="preserve"> percent of the total civilian </w:t>
      </w:r>
      <w:proofErr w:type="spellStart"/>
      <w:r w:rsidR="00783B8F">
        <w:t>noninstitutional</w:t>
      </w:r>
      <w:proofErr w:type="spellEnd"/>
      <w:r w:rsidR="00783B8F">
        <w:t xml:space="preserve"> population </w:t>
      </w:r>
      <w:r w:rsidR="00742ADC">
        <w:t>20</w:t>
      </w:r>
      <w:r w:rsidR="00783B8F">
        <w:t xml:space="preserve"> years of age </w:t>
      </w:r>
      <w:r w:rsidR="007035D8">
        <w:t>or</w:t>
      </w:r>
      <w:r w:rsidR="00783B8F">
        <w:t xml:space="preserve"> older</w:t>
      </w:r>
      <w:r>
        <w:t xml:space="preserve"> in 201</w:t>
      </w:r>
      <w:r w:rsidR="00CB7B6F">
        <w:t>2</w:t>
      </w:r>
      <w:r w:rsidR="00783B8F">
        <w:t xml:space="preserve"> – the fourth highest percentage in the nation. </w:t>
      </w:r>
      <w:r w:rsidR="00082427">
        <w:t>V</w:t>
      </w:r>
      <w:r w:rsidR="00783B8F">
        <w:t>eterans</w:t>
      </w:r>
      <w:r w:rsidR="00D81F51">
        <w:t xml:space="preserve"> </w:t>
      </w:r>
      <w:r w:rsidR="00082427">
        <w:t xml:space="preserve">are defined </w:t>
      </w:r>
      <w:r w:rsidR="00D81F51">
        <w:t>as men and women who previously served on active duty in the U.S. Armed Forces and were civilians at the time</w:t>
      </w:r>
      <w:r w:rsidR="00783B8F">
        <w:t xml:space="preserve"> s</w:t>
      </w:r>
      <w:r w:rsidR="00D81F51">
        <w:t>urveyed</w:t>
      </w:r>
      <w:r w:rsidR="000200A0">
        <w:t>.</w:t>
      </w:r>
    </w:p>
    <w:p w:rsidR="004714D1" w:rsidRDefault="00C707D4" w:rsidP="00C707D4">
      <w:pPr>
        <w:pStyle w:val="BodyText"/>
      </w:pPr>
      <w:r>
        <w:t>Slightly over 50 percent of veterans (6</w:t>
      </w:r>
      <w:r w:rsidR="00CB7B6F">
        <w:t>6</w:t>
      </w:r>
      <w:r>
        <w:t xml:space="preserve">,000) participated </w:t>
      </w:r>
      <w:r w:rsidR="00E05A25">
        <w:t xml:space="preserve">in the labor force, </w:t>
      </w:r>
      <w:r>
        <w:t>either working</w:t>
      </w:r>
      <w:r w:rsidR="00E05A25">
        <w:t xml:space="preserve"> (63,000)</w:t>
      </w:r>
      <w:r>
        <w:t xml:space="preserve"> or looking for work</w:t>
      </w:r>
      <w:r w:rsidR="00E05A25">
        <w:t xml:space="preserve"> (</w:t>
      </w:r>
      <w:r w:rsidR="00CB7B6F">
        <w:t>4</w:t>
      </w:r>
      <w:r w:rsidR="00E05A25">
        <w:t>,000</w:t>
      </w:r>
      <w:r>
        <w:t>) in 201</w:t>
      </w:r>
      <w:r w:rsidR="00CB7B6F">
        <w:t>2</w:t>
      </w:r>
      <w:r>
        <w:t xml:space="preserve">. The veteran unemployment rate was </w:t>
      </w:r>
      <w:r w:rsidR="00CB7B6F">
        <w:t>5</w:t>
      </w:r>
      <w:r>
        <w:t>.6 percent.</w:t>
      </w:r>
    </w:p>
    <w:p w:rsidR="00A87E0F" w:rsidRDefault="00A87E0F" w:rsidP="00C707D4">
      <w:pPr>
        <w:pStyle w:val="BodyText"/>
      </w:pPr>
      <w:r>
        <w:t>The Gulf War I and II Era veteran labor force numbered 24,000, of which 22,000 were employed and 2,000 unemployed, with an unemployment rate of 6.7 percent. Gulf War II veterans served between September 2001 and present; Gulf War I veterans served between August 1990 and August 2001.</w:t>
      </w:r>
    </w:p>
    <w:p w:rsidR="00C707D4" w:rsidRPr="00C707D4" w:rsidRDefault="00BF642F" w:rsidP="00C707D4">
      <w:pPr>
        <w:pStyle w:val="BodyText"/>
      </w:pPr>
      <w:r w:rsidRPr="00C707D4">
        <w:t>All estimates in this brief are based on samples</w:t>
      </w:r>
      <w:r w:rsidR="00783B8F" w:rsidRPr="00C707D4">
        <w:t xml:space="preserve"> from the </w:t>
      </w:r>
      <w:r w:rsidR="00221DB3" w:rsidRPr="00C707D4">
        <w:t>Curren</w:t>
      </w:r>
      <w:r w:rsidR="00900F45" w:rsidRPr="00C707D4">
        <w:t>t</w:t>
      </w:r>
      <w:r w:rsidR="00221DB3" w:rsidRPr="00C707D4">
        <w:t xml:space="preserve"> Population Survey (</w:t>
      </w:r>
      <w:r w:rsidR="00783B8F" w:rsidRPr="00C707D4">
        <w:t>CPS</w:t>
      </w:r>
      <w:r w:rsidR="00221DB3" w:rsidRPr="00C707D4">
        <w:t>)</w:t>
      </w:r>
      <w:r w:rsidR="00783B8F" w:rsidRPr="00C707D4">
        <w:t xml:space="preserve"> and the American Community Survey (ACS)</w:t>
      </w:r>
      <w:r w:rsidR="00A003FB" w:rsidRPr="00C707D4">
        <w:t>.</w:t>
      </w:r>
      <w:r w:rsidR="005838AF" w:rsidRPr="00C707D4">
        <w:t xml:space="preserve"> The CPS presents the latest annual estimates</w:t>
      </w:r>
      <w:r w:rsidR="00A003FB" w:rsidRPr="00C707D4">
        <w:t>;</w:t>
      </w:r>
      <w:r w:rsidR="005838AF" w:rsidRPr="00C707D4">
        <w:t xml:space="preserve"> </w:t>
      </w:r>
      <w:r w:rsidR="00A003FB" w:rsidRPr="00C707D4">
        <w:t xml:space="preserve">three-year average </w:t>
      </w:r>
      <w:r w:rsidR="005838AF" w:rsidRPr="00C707D4">
        <w:t xml:space="preserve">ACS data </w:t>
      </w:r>
      <w:r w:rsidR="00C53417" w:rsidRPr="00C707D4">
        <w:t>provide</w:t>
      </w:r>
      <w:r w:rsidR="005838AF" w:rsidRPr="00C707D4">
        <w:t xml:space="preserve"> detailed </w:t>
      </w:r>
      <w:r w:rsidR="00221DB3" w:rsidRPr="00C707D4">
        <w:t>information</w:t>
      </w:r>
      <w:r w:rsidR="005838AF" w:rsidRPr="00C707D4">
        <w:t>.</w:t>
      </w:r>
      <w:r w:rsidR="00C707D4" w:rsidRPr="00C707D4">
        <w:t xml:space="preserve"> The ACS differs slightly from the CPS due to methodologies and timing of the surveys. In addition, the CPS statewide count is for veterans 20 </w:t>
      </w:r>
      <w:r w:rsidR="007035D8">
        <w:t>or</w:t>
      </w:r>
      <w:r w:rsidR="00C707D4" w:rsidRPr="00C707D4">
        <w:t xml:space="preserve"> over while the ACS counts veterans 18 </w:t>
      </w:r>
      <w:r w:rsidR="007035D8">
        <w:t>or</w:t>
      </w:r>
      <w:r w:rsidR="00C707D4" w:rsidRPr="00C707D4">
        <w:t xml:space="preserve"> over.</w:t>
      </w:r>
    </w:p>
    <w:p w:rsidR="00610AAD" w:rsidRDefault="00610AAD" w:rsidP="001E5CC6">
      <w:pPr>
        <w:pStyle w:val="Heading2"/>
      </w:pPr>
      <w:r w:rsidRPr="00610AAD">
        <w:t>Labor Force Participatio</w:t>
      </w:r>
      <w:r w:rsidR="00197FEB">
        <w:t>n</w:t>
      </w:r>
    </w:p>
    <w:p w:rsidR="00BF6F67" w:rsidRDefault="001073B6" w:rsidP="00662015">
      <w:pPr>
        <w:pStyle w:val="BodyText"/>
      </w:pPr>
      <w:r>
        <w:t xml:space="preserve">From 2004 to 2007, the </w:t>
      </w:r>
      <w:r w:rsidR="00AB2E3D">
        <w:t>rate at which veterans</w:t>
      </w:r>
      <w:r w:rsidR="00FD5A2F">
        <w:t xml:space="preserve">, age 20 </w:t>
      </w:r>
      <w:r w:rsidR="007035D8">
        <w:t>or</w:t>
      </w:r>
      <w:r w:rsidR="00FD5A2F">
        <w:t xml:space="preserve"> over,</w:t>
      </w:r>
      <w:r>
        <w:t xml:space="preserve"> participat</w:t>
      </w:r>
      <w:r w:rsidR="00AB2E3D">
        <w:t>ed in the labor force</w:t>
      </w:r>
      <w:r w:rsidR="005F1F73">
        <w:t xml:space="preserve"> (either working or actively looking for work)</w:t>
      </w:r>
      <w:r>
        <w:t xml:space="preserve"> remained constant at 58 to 59 percent. The rate dropped as the recession deepened while the rate of participation by nonveterans was little changed</w:t>
      </w:r>
      <w:r w:rsidR="000436DE">
        <w:t>.</w:t>
      </w:r>
      <w:r w:rsidR="00BF6F67">
        <w:t xml:space="preserve"> </w:t>
      </w:r>
      <w:r w:rsidR="00C47738">
        <w:t xml:space="preserve">Since the end of the recession, there has been little change in the veteran rate. </w:t>
      </w:r>
      <w:r w:rsidR="000B355D">
        <w:t xml:space="preserve">The declining veteran participation rate </w:t>
      </w:r>
      <w:r w:rsidR="00C47738">
        <w:t xml:space="preserve">since 2007 </w:t>
      </w:r>
      <w:r w:rsidR="000B355D">
        <w:t xml:space="preserve">was likely due in part to </w:t>
      </w:r>
      <w:r w:rsidR="00C47738">
        <w:t xml:space="preserve">(1) veterans having a </w:t>
      </w:r>
      <w:r w:rsidR="000B355D">
        <w:t xml:space="preserve">larger share </w:t>
      </w:r>
      <w:r w:rsidR="00C47738">
        <w:t xml:space="preserve">than nonveterans </w:t>
      </w:r>
      <w:r w:rsidR="000B355D">
        <w:t>of baby-boomers reaching retirement age (which lowers the overall rate)</w:t>
      </w:r>
      <w:r w:rsidR="00F375B3">
        <w:t xml:space="preserve"> and </w:t>
      </w:r>
      <w:r w:rsidR="00C47738">
        <w:t xml:space="preserve">(2) </w:t>
      </w:r>
      <w:r w:rsidR="002314AA">
        <w:t>a with-in age group decline in participation by veterans aged 55 to 64</w:t>
      </w:r>
      <w:r w:rsidR="00BF6F67">
        <w:t xml:space="preserve"> as </w:t>
      </w:r>
      <w:r w:rsidR="005758BA">
        <w:t xml:space="preserve">finding a </w:t>
      </w:r>
      <w:r w:rsidR="00BF6F67">
        <w:t xml:space="preserve">job </w:t>
      </w:r>
      <w:r w:rsidR="005758BA">
        <w:t>remained difficult</w:t>
      </w:r>
      <w:r w:rsidR="000B355D">
        <w:t xml:space="preserve"> </w:t>
      </w:r>
      <w:r w:rsidR="002314AA">
        <w:t xml:space="preserve">and </w:t>
      </w:r>
      <w:r w:rsidR="000B355D">
        <w:t xml:space="preserve">many </w:t>
      </w:r>
      <w:r w:rsidR="005758BA">
        <w:t xml:space="preserve">of these </w:t>
      </w:r>
      <w:r w:rsidR="00BF6F67">
        <w:t>veterans ceased looking for work.</w:t>
      </w:r>
    </w:p>
    <w:p w:rsidR="00436312" w:rsidRDefault="00882A0B" w:rsidP="00436312">
      <w:pPr>
        <w:pStyle w:val="BodyText"/>
        <w:jc w:val="center"/>
      </w:pPr>
      <w:r>
        <w:rPr>
          <w:noProof/>
        </w:rPr>
        <w:lastRenderedPageBreak/>
        <w:drawing>
          <wp:inline distT="0" distB="0" distL="0" distR="0">
            <wp:extent cx="4086225" cy="2400300"/>
            <wp:effectExtent l="0" t="0" r="9525" b="0"/>
            <wp:docPr id="1" name="Picture 1" descr="Maine Civilian Labor Force Participation Rates, age 20 and Over, Annual Averages&#10;Veteran&#10;2007 - 58.4%&#10;2008 - 56%&#10;2009 - 50.3%&#10;2010 - 50.9%&#10;2011 - 51.5%&#10;2012 - 50.7%&#10;Nonveteran&#10;2007 - 69%&#10;2008 - 69.4%&#10;2009 - 68.8%&#10;2010 - 68.3%&#10;2011 - 68.3%&#10;2012 -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Civilian Labor Force Participation Rates, age 20 and Over, Annual Averages&#10;Veteran&#10;2007 - 58.4%&#10;2008 - 56%&#10;2009 - 50.3%&#10;2010 - 50.9%&#10;2011 - 51.5%&#10;2012 - 50.7%&#10;Nonveteran&#10;2007 - 69%&#10;2008 - 69.4%&#10;2009 - 68.8%&#10;2010 - 68.3%&#10;2011 - 68.3%&#10;2012 - 6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6225" cy="2400300"/>
                    </a:xfrm>
                    <a:prstGeom prst="rect">
                      <a:avLst/>
                    </a:prstGeom>
                    <a:noFill/>
                    <a:ln>
                      <a:noFill/>
                    </a:ln>
                  </pic:spPr>
                </pic:pic>
              </a:graphicData>
            </a:graphic>
          </wp:inline>
        </w:drawing>
      </w:r>
    </w:p>
    <w:p w:rsidR="00662015" w:rsidRDefault="00AA4EE6" w:rsidP="00742645">
      <w:pPr>
        <w:pStyle w:val="BodyText"/>
      </w:pPr>
      <w:r w:rsidRPr="00662015">
        <w:t xml:space="preserve">Three-year average data from the </w:t>
      </w:r>
      <w:r w:rsidR="00046B15" w:rsidRPr="00662015">
        <w:t xml:space="preserve">ACS provides a more detailed look at </w:t>
      </w:r>
      <w:r w:rsidR="00D67B17" w:rsidRPr="00662015">
        <w:t xml:space="preserve">veteran </w:t>
      </w:r>
      <w:r w:rsidR="00046B15" w:rsidRPr="00662015">
        <w:t xml:space="preserve">participation rates by age group. Participation rates </w:t>
      </w:r>
      <w:r w:rsidR="000B355D">
        <w:t xml:space="preserve">were little changed </w:t>
      </w:r>
      <w:r w:rsidR="000B355D" w:rsidRPr="00662015">
        <w:t xml:space="preserve">between </w:t>
      </w:r>
      <w:r w:rsidR="002E7403">
        <w:t xml:space="preserve">the pre-recession years of </w:t>
      </w:r>
      <w:r w:rsidR="000B355D" w:rsidRPr="00662015">
        <w:t>2005-2007 and</w:t>
      </w:r>
      <w:r w:rsidR="002E7403">
        <w:t xml:space="preserve"> the post-recession years of </w:t>
      </w:r>
      <w:r w:rsidR="000B355D" w:rsidRPr="00662015">
        <w:t>200</w:t>
      </w:r>
      <w:r w:rsidR="000B355D">
        <w:t>9</w:t>
      </w:r>
      <w:r w:rsidR="000B355D" w:rsidRPr="00662015">
        <w:t>-201</w:t>
      </w:r>
      <w:r w:rsidR="000B355D">
        <w:t>1 for all age groups with the exception of veterans age 55 to 64.</w:t>
      </w:r>
      <w:r w:rsidR="008C1E11" w:rsidRPr="00662015">
        <w:t xml:space="preserve"> </w:t>
      </w:r>
    </w:p>
    <w:p w:rsidR="00E01507" w:rsidRDefault="00882A0B" w:rsidP="00E01507">
      <w:pPr>
        <w:pStyle w:val="BodyText"/>
        <w:jc w:val="center"/>
      </w:pPr>
      <w:r>
        <w:rPr>
          <w:noProof/>
        </w:rPr>
        <w:drawing>
          <wp:inline distT="0" distB="0" distL="0" distR="0">
            <wp:extent cx="4581525" cy="2743200"/>
            <wp:effectExtent l="0" t="0" r="9525" b="0"/>
            <wp:docPr id="2" name="Picture 2" descr="Maine Veteran Civilian Labor Force Participation Rates by Age, Three -Year Averages&#10;&#10;2005-2007&#10;18-34 - 82.1%&#10;35-54 - 85.1%&#10;55-64 - 63.8%&#10;65 and over - 15.9%&#10;&#10;2009-2011&#10;18-34 - 83.2%&#10;35-54 - 85.4%&#10;55-64 - 55.8%&#10;65 and over -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Veteran Civilian Labor Force Participation Rates by Age, Three -Year Averages&#10;&#10;2005-2007&#10;18-34 - 82.1%&#10;35-54 - 85.1%&#10;55-64 - 63.8%&#10;65 and over - 15.9%&#10;&#10;2009-2011&#10;18-34 - 83.2%&#10;35-54 - 85.4%&#10;55-64 - 55.8%&#10;65 and over - 1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371FE4" w:rsidRDefault="001073B6" w:rsidP="004B0EFD">
      <w:pPr>
        <w:pStyle w:val="BodyText"/>
      </w:pPr>
      <w:r>
        <w:t xml:space="preserve">The labor force participation rate for </w:t>
      </w:r>
      <w:r w:rsidR="00197FEB">
        <w:t>Maine veterans ha</w:t>
      </w:r>
      <w:r>
        <w:t>s</w:t>
      </w:r>
      <w:r w:rsidR="00197FEB">
        <w:t xml:space="preserve"> </w:t>
      </w:r>
      <w:r>
        <w:t xml:space="preserve">consistently been lower </w:t>
      </w:r>
      <w:r w:rsidR="00197FEB">
        <w:t xml:space="preserve">than the nonveteran </w:t>
      </w:r>
      <w:r>
        <w:t>rate</w:t>
      </w:r>
      <w:r w:rsidR="00197FEB">
        <w:t xml:space="preserve">. In </w:t>
      </w:r>
      <w:r w:rsidR="00706418">
        <w:t xml:space="preserve">large </w:t>
      </w:r>
      <w:r w:rsidR="00197FEB">
        <w:t xml:space="preserve">part, the lower rate of veteran participation is due to the age distribution of the veteran population. </w:t>
      </w:r>
      <w:r w:rsidR="007B0F8F">
        <w:t>Labor force participation drops as individuals age</w:t>
      </w:r>
      <w:r w:rsidR="00371C65">
        <w:t>d</w:t>
      </w:r>
      <w:r w:rsidR="007B0F8F">
        <w:t xml:space="preserve"> beyond the prime working years. </w:t>
      </w:r>
      <w:r w:rsidR="00197FEB">
        <w:t xml:space="preserve">Veterans are </w:t>
      </w:r>
      <w:r w:rsidR="002B048D">
        <w:t xml:space="preserve">likely to be </w:t>
      </w:r>
      <w:r w:rsidR="00197FEB">
        <w:t xml:space="preserve">older than nonveterans. </w:t>
      </w:r>
      <w:r w:rsidR="007B0F8F">
        <w:t>Over 67 percent of the veterans are 55 or older, reflecting veterans who served during World War II, the Korean War, and the Vietnam era.</w:t>
      </w:r>
    </w:p>
    <w:p w:rsidR="00347552" w:rsidRDefault="00882A0B" w:rsidP="00347552">
      <w:pPr>
        <w:pStyle w:val="BodyText"/>
        <w:jc w:val="center"/>
      </w:pPr>
      <w:r>
        <w:rPr>
          <w:noProof/>
        </w:rPr>
        <w:lastRenderedPageBreak/>
        <w:drawing>
          <wp:inline distT="0" distB="0" distL="0" distR="0">
            <wp:extent cx="4581525" cy="2743200"/>
            <wp:effectExtent l="0" t="0" r="9525" b="0"/>
            <wp:docPr id="3" name="Picture 3" descr="Maine Civilian Population age 18 and over, three-year average (2009-2011)&#10;Percent of total veterans and nonveterans population by age&#10;&#10;Nonveterans&#10;18-34 - 27.3%&#10;35-54 - 38.1%&#10;55-64 - 17.5%&#10;65 and over - 17.0%&#10;&#10;Veterans&#10;18-34 - 5.8%&#10;35-54 - 27.0%&#10;55-64 - 24.2%&#10;65 and over - 4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Civilian Population age 18 and over, three-year average (2009-2011)&#10;Percent of total veterans and nonveterans population by age&#10;&#10;Nonveterans&#10;18-34 - 27.3%&#10;35-54 - 38.1%&#10;55-64 - 17.5%&#10;65 and over - 17.0%&#10;&#10;Veterans&#10;18-34 - 5.8%&#10;35-54 - 27.0%&#10;55-64 - 24.2%&#10;65 and over - 43.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1073B6" w:rsidRDefault="00E35BB7" w:rsidP="004B0EFD">
      <w:pPr>
        <w:pStyle w:val="BodyText"/>
      </w:pPr>
      <w:r>
        <w:t xml:space="preserve">While the </w:t>
      </w:r>
      <w:r w:rsidR="00B147E3">
        <w:t xml:space="preserve">total veteran </w:t>
      </w:r>
      <w:r>
        <w:t>l</w:t>
      </w:r>
      <w:r w:rsidR="001073B6">
        <w:t>abor force participation rate</w:t>
      </w:r>
      <w:r>
        <w:t xml:space="preserve"> is significantly lower than the nonveteran rate, the rates d</w:t>
      </w:r>
      <w:r w:rsidR="001073B6">
        <w:t xml:space="preserve">o not </w:t>
      </w:r>
      <w:r w:rsidR="00CE1C6C">
        <w:t>differ</w:t>
      </w:r>
      <w:r w:rsidR="001073B6">
        <w:t xml:space="preserve"> substantially </w:t>
      </w:r>
      <w:r w:rsidR="00B147E3">
        <w:t>by age group</w:t>
      </w:r>
      <w:r w:rsidR="00E14C8C">
        <w:t>, with the exception of veterans aged 55 to 64</w:t>
      </w:r>
      <w:r w:rsidR="001073B6">
        <w:t>.</w:t>
      </w:r>
      <w:r w:rsidR="00CE1C6C">
        <w:t xml:space="preserve"> </w:t>
      </w:r>
      <w:r>
        <w:t>Even f</w:t>
      </w:r>
      <w:r w:rsidR="00F5339C">
        <w:t xml:space="preserve">or </w:t>
      </w:r>
      <w:r w:rsidR="005B36C9">
        <w:t xml:space="preserve">the population </w:t>
      </w:r>
      <w:r w:rsidR="00F5339C">
        <w:t>18 to 64 years of age, the participation rate</w:t>
      </w:r>
      <w:r>
        <w:t>s do not differ much;</w:t>
      </w:r>
      <w:r w:rsidR="00F5339C">
        <w:t xml:space="preserve"> 7</w:t>
      </w:r>
      <w:r w:rsidR="004270C7">
        <w:t>8.3</w:t>
      </w:r>
      <w:r w:rsidR="00F5339C">
        <w:t xml:space="preserve"> percent </w:t>
      </w:r>
      <w:r>
        <w:t xml:space="preserve">for </w:t>
      </w:r>
      <w:r w:rsidR="001B296F">
        <w:t>non</w:t>
      </w:r>
      <w:r>
        <w:t xml:space="preserve">veterans </w:t>
      </w:r>
      <w:r w:rsidR="00F5339C">
        <w:t>compared to the veteran rate of 7</w:t>
      </w:r>
      <w:r w:rsidR="004270C7">
        <w:t>2.6</w:t>
      </w:r>
      <w:r w:rsidR="00F5339C">
        <w:t xml:space="preserve"> percent</w:t>
      </w:r>
      <w:r>
        <w:t xml:space="preserve">. </w:t>
      </w:r>
      <w:r w:rsidR="00970386">
        <w:t xml:space="preserve">Adding in the population 65 and over of which veterans have a </w:t>
      </w:r>
      <w:r w:rsidR="00B147E3">
        <w:t>higher</w:t>
      </w:r>
      <w:r w:rsidR="00970386">
        <w:t xml:space="preserve"> share, the veteran participation rate, at</w:t>
      </w:r>
      <w:r w:rsidR="005B36C9">
        <w:t xml:space="preserve"> 4</w:t>
      </w:r>
      <w:r w:rsidR="004270C7">
        <w:t>8.7</w:t>
      </w:r>
      <w:r w:rsidR="005B36C9">
        <w:t xml:space="preserve"> percent</w:t>
      </w:r>
      <w:r w:rsidR="00B147E3">
        <w:t>,</w:t>
      </w:r>
      <w:r w:rsidR="005B36C9">
        <w:t xml:space="preserve"> </w:t>
      </w:r>
      <w:r w:rsidR="00970386">
        <w:t>is much lower than the nonveteran rate of</w:t>
      </w:r>
      <w:r w:rsidR="005B36C9">
        <w:t xml:space="preserve"> 67.</w:t>
      </w:r>
      <w:r w:rsidR="004270C7">
        <w:t>6</w:t>
      </w:r>
      <w:r w:rsidR="005B36C9">
        <w:t xml:space="preserve"> percent</w:t>
      </w:r>
      <w:r w:rsidR="00F5339C">
        <w:t>.</w:t>
      </w:r>
    </w:p>
    <w:p w:rsidR="00E7001C" w:rsidRDefault="00882A0B" w:rsidP="00B10BA0">
      <w:pPr>
        <w:pStyle w:val="BodyText"/>
        <w:jc w:val="center"/>
      </w:pPr>
      <w:r>
        <w:rPr>
          <w:noProof/>
        </w:rPr>
        <w:drawing>
          <wp:inline distT="0" distB="0" distL="0" distR="0">
            <wp:extent cx="5781675" cy="2752725"/>
            <wp:effectExtent l="0" t="0" r="9525" b="9525"/>
            <wp:docPr id="4" name="Picture 4" descr="Maine Civilian Labor Force Participation Rates, three-year averages, 2009-2011, by age cohort&#10;&#10;Nonveteran&#10;18-34 - 79.1%&#10;35-54 - 82.6%&#10;55-64 - 67.7%&#10;65 and over - 15.7%&#10;18-64 - 78.3%&#10;18 and over - 67.6%&#10;&#10;Veteran&#10;18-34 - 83.2%&#10;35-54 - 85.4%&#10;55-64 - 55.8%&#10;65 and over - 17.1%&#10;18-64 - 72.6%&#10;18 and over -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e Civilian Labor Force Participation Rates, three-year averages, 2009-2011, by age cohort&#10;&#10;Nonveteran&#10;18-34 - 79.1%&#10;35-54 - 82.6%&#10;55-64 - 67.7%&#10;65 and over - 15.7%&#10;18-64 - 78.3%&#10;18 and over - 67.6%&#10;&#10;Veteran&#10;18-34 - 83.2%&#10;35-54 - 85.4%&#10;55-64 - 55.8%&#10;65 and over - 17.1%&#10;18-64 - 72.6%&#10;18 and over - 4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1675" cy="2752725"/>
                    </a:xfrm>
                    <a:prstGeom prst="rect">
                      <a:avLst/>
                    </a:prstGeom>
                    <a:noFill/>
                    <a:ln>
                      <a:noFill/>
                    </a:ln>
                  </pic:spPr>
                </pic:pic>
              </a:graphicData>
            </a:graphic>
          </wp:inline>
        </w:drawing>
      </w:r>
    </w:p>
    <w:p w:rsidR="008E790A" w:rsidRDefault="004C6BC1" w:rsidP="00781A84">
      <w:pPr>
        <w:pStyle w:val="Heading2"/>
        <w:spacing w:after="0"/>
      </w:pPr>
      <w:r>
        <w:t>Unemployment</w:t>
      </w:r>
    </w:p>
    <w:p w:rsidR="00C86568" w:rsidRDefault="00C8059D" w:rsidP="00D06246">
      <w:pPr>
        <w:pStyle w:val="BodyText"/>
      </w:pPr>
      <w:r>
        <w:t xml:space="preserve">The </w:t>
      </w:r>
      <w:r w:rsidR="00314287">
        <w:t xml:space="preserve">Maine veteran unemployment rate </w:t>
      </w:r>
      <w:r>
        <w:t>fell below</w:t>
      </w:r>
      <w:r w:rsidR="00314287">
        <w:t xml:space="preserve"> the nonveteran statewide average</w:t>
      </w:r>
      <w:r>
        <w:t xml:space="preserve"> in 2012</w:t>
      </w:r>
      <w:r w:rsidR="00314287">
        <w:t>. In the recessionary period of the early 2000s the veteran unemployment rate exceeded the nonveteran rate. The veteran rate was at or below the nonveteran rate from 2003 through 2009</w:t>
      </w:r>
      <w:r w:rsidR="00F82BAC">
        <w:t>. Both</w:t>
      </w:r>
      <w:r w:rsidR="00D8399E">
        <w:t xml:space="preserve"> rates rose a</w:t>
      </w:r>
      <w:r w:rsidR="00314287">
        <w:t xml:space="preserve">s the recession began, </w:t>
      </w:r>
      <w:r w:rsidR="00F82BAC">
        <w:t xml:space="preserve">with </w:t>
      </w:r>
      <w:r w:rsidR="00D8399E">
        <w:t>the veteran rate exceed</w:t>
      </w:r>
      <w:r w:rsidR="00F82BAC">
        <w:t>ing</w:t>
      </w:r>
      <w:r w:rsidR="00314287">
        <w:t xml:space="preserve"> the nonveteran rate in 2010 and 2011</w:t>
      </w:r>
      <w:r>
        <w:t>, before falling below the nonveteran rate in 2012</w:t>
      </w:r>
      <w:r w:rsidR="00314287">
        <w:t>.</w:t>
      </w:r>
    </w:p>
    <w:p w:rsidR="00D06246" w:rsidRDefault="00882A0B" w:rsidP="00D06246">
      <w:pPr>
        <w:pStyle w:val="BodyText"/>
        <w:jc w:val="center"/>
      </w:pPr>
      <w:r>
        <w:rPr>
          <w:noProof/>
        </w:rPr>
        <w:lastRenderedPageBreak/>
        <w:drawing>
          <wp:inline distT="0" distB="0" distL="0" distR="0">
            <wp:extent cx="3819525" cy="2686050"/>
            <wp:effectExtent l="0" t="0" r="9525" b="0"/>
            <wp:docPr id="5" name="Picture 5" descr="Maine Unemployment Rates, age 20 and over, annual averages&#10;&#10;Nonveteran&#10;2007 - 4.2%&#10;2008 - 5%&#10;2009 - 7.3%&#10;2010 - 7.4%&#10;2011 - 7.4%&#10;2112 - 7%&#10;&#10;Veteran&#10;2007 - 3.2%&#10;2008 - 3.3%&#10;2009 - 6.6%&#10;2010 - 8.7%&#10;2011 - 7.6%&#10;2012 -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e Unemployment Rates, age 20 and over, annual averages&#10;&#10;Nonveteran&#10;2007 - 4.2%&#10;2008 - 5%&#10;2009 - 7.3%&#10;2010 - 7.4%&#10;2011 - 7.4%&#10;2112 - 7%&#10;&#10;Veteran&#10;2007 - 3.2%&#10;2008 - 3.3%&#10;2009 - 6.6%&#10;2010 - 8.7%&#10;2011 - 7.6%&#10;2012 -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9525" cy="2686050"/>
                    </a:xfrm>
                    <a:prstGeom prst="rect">
                      <a:avLst/>
                    </a:prstGeom>
                    <a:noFill/>
                    <a:ln>
                      <a:noFill/>
                    </a:ln>
                  </pic:spPr>
                </pic:pic>
              </a:graphicData>
            </a:graphic>
          </wp:inline>
        </w:drawing>
      </w:r>
    </w:p>
    <w:p w:rsidR="0039688C" w:rsidRDefault="005C285C" w:rsidP="0058418E">
      <w:pPr>
        <w:pStyle w:val="BodyText"/>
      </w:pPr>
      <w:r>
        <w:t>For each age group, the veteran unemployment rate was higher than the nonveteran rate with the exception of the 65</w:t>
      </w:r>
      <w:r w:rsidR="0039688C">
        <w:t xml:space="preserve"> and over</w:t>
      </w:r>
      <w:r>
        <w:t xml:space="preserve"> group. The high unemployment rate for veterans aged 18 to 34 </w:t>
      </w:r>
      <w:r w:rsidR="00BB300C">
        <w:t xml:space="preserve">results </w:t>
      </w:r>
      <w:r w:rsidR="00A3667D">
        <w:t>largely</w:t>
      </w:r>
      <w:r>
        <w:t xml:space="preserve"> </w:t>
      </w:r>
      <w:r w:rsidR="00BB300C">
        <w:t>from</w:t>
      </w:r>
      <w:r>
        <w:t xml:space="preserve"> the higher unemployment rate experienced by younger workers in general. </w:t>
      </w:r>
    </w:p>
    <w:p w:rsidR="00663D5D" w:rsidRDefault="00882A0B" w:rsidP="00663D5D">
      <w:pPr>
        <w:pStyle w:val="BodyText"/>
        <w:jc w:val="center"/>
      </w:pPr>
      <w:r>
        <w:rPr>
          <w:noProof/>
        </w:rPr>
        <w:drawing>
          <wp:inline distT="0" distB="0" distL="0" distR="0">
            <wp:extent cx="4581525" cy="2743200"/>
            <wp:effectExtent l="0" t="0" r="9525" b="0"/>
            <wp:docPr id="6" name="Picture 6" descr="Maine Unemployment Rates, 2009-2011 three-year average, by age&#10;&#10;Nonveteran&#10;18-34 - 11.3%&#10;35-54 - 6.3%&#10;55-64 - 4.6%&#10;65 and over - 6%&#10;&#10;Veteran&#10;18-34 - 11.5%&#10;35-54 - 6.7%&#10;55-64 - 5.9%&#10;65 and over -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e Unemployment Rates, 2009-2011 three-year average, by age&#10;&#10;Nonveteran&#10;18-34 - 11.3%&#10;35-54 - 6.3%&#10;55-64 - 4.6%&#10;65 and over - 6%&#10;&#10;Veteran&#10;18-34 - 11.5%&#10;35-54 - 6.7%&#10;55-64 - 5.9%&#10;65 and over -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D15791" w:rsidRDefault="004E0F65" w:rsidP="00A02127">
      <w:pPr>
        <w:pStyle w:val="Heading2"/>
        <w:spacing w:after="0"/>
      </w:pPr>
      <w:r>
        <w:t>County</w:t>
      </w:r>
      <w:r w:rsidR="008F64A1">
        <w:t xml:space="preserve"> Estimates</w:t>
      </w:r>
    </w:p>
    <w:p w:rsidR="00212F16" w:rsidRPr="00212F16" w:rsidRDefault="00354D0B" w:rsidP="0058418E">
      <w:pPr>
        <w:pStyle w:val="BodyText"/>
      </w:pPr>
      <w:r>
        <w:t xml:space="preserve">The rate of veteran participation in the labor force </w:t>
      </w:r>
      <w:r w:rsidR="0088767B">
        <w:t xml:space="preserve">(age 18 to 64) </w:t>
      </w:r>
      <w:r>
        <w:t>varies by county. While there is insufficient data to determine the exact reasons for this variation, the data available offers some possibilities.</w:t>
      </w:r>
      <w:r w:rsidR="00B96E06">
        <w:t xml:space="preserve"> </w:t>
      </w:r>
      <w:r w:rsidR="0088767B">
        <w:t>L</w:t>
      </w:r>
      <w:r w:rsidR="00212F16">
        <w:t>abor force participation rates</w:t>
      </w:r>
      <w:r w:rsidR="0088767B">
        <w:t xml:space="preserve"> for veterans </w:t>
      </w:r>
      <w:r w:rsidR="00212F16">
        <w:t>tend to be lower in rural counties where there are fewer job opportunities. The rates also tend to be lower in counties with a higher percentage of veterans with any disability</w:t>
      </w:r>
      <w:r>
        <w:t>.</w:t>
      </w:r>
    </w:p>
    <w:p w:rsidR="00E0631C" w:rsidRDefault="0065462D" w:rsidP="009805C6">
      <w:pPr>
        <w:pStyle w:val="Heading3"/>
      </w:pPr>
      <w:r>
        <w:t>Population</w:t>
      </w:r>
    </w:p>
    <w:p w:rsidR="00B71F04" w:rsidRDefault="00FD6F5A" w:rsidP="00177CE9">
      <w:pPr>
        <w:pStyle w:val="BodyText"/>
      </w:pPr>
      <w:r>
        <w:t>T</w:t>
      </w:r>
      <w:r w:rsidR="0065462D" w:rsidRPr="00E0631C">
        <w:t>he veteran population age 18 and over ranged from</w:t>
      </w:r>
      <w:r w:rsidR="00354D0B">
        <w:t xml:space="preserve"> </w:t>
      </w:r>
      <w:r w:rsidR="00440DD5">
        <w:t>3,028</w:t>
      </w:r>
      <w:r w:rsidR="00CD14DD">
        <w:t xml:space="preserve"> i</w:t>
      </w:r>
      <w:r w:rsidR="0065462D" w:rsidRPr="00E0631C">
        <w:t xml:space="preserve">n </w:t>
      </w:r>
      <w:r w:rsidR="00CD14DD">
        <w:t>Franklin</w:t>
      </w:r>
      <w:r w:rsidR="0065462D" w:rsidRPr="00E0631C">
        <w:t xml:space="preserve"> County to 22,</w:t>
      </w:r>
      <w:r w:rsidR="00440DD5">
        <w:t>759</w:t>
      </w:r>
      <w:r w:rsidR="0065462D" w:rsidRPr="00E0631C">
        <w:t xml:space="preserve"> in Cumberland County. The veteran population as a percent of the total population was highest in Sagadahoc</w:t>
      </w:r>
      <w:r w:rsidR="00A65B31" w:rsidRPr="00E0631C">
        <w:t xml:space="preserve">, </w:t>
      </w:r>
      <w:r w:rsidR="0065462D" w:rsidRPr="00E0631C">
        <w:lastRenderedPageBreak/>
        <w:t>Washington</w:t>
      </w:r>
      <w:r w:rsidR="00A65B31" w:rsidRPr="00E0631C">
        <w:t>,</w:t>
      </w:r>
      <w:r w:rsidR="0065462D" w:rsidRPr="00E0631C">
        <w:t xml:space="preserve"> </w:t>
      </w:r>
      <w:r w:rsidR="00A65B31" w:rsidRPr="00E0631C">
        <w:t xml:space="preserve">and </w:t>
      </w:r>
      <w:r w:rsidR="00440DD5">
        <w:t>Waldo</w:t>
      </w:r>
      <w:r w:rsidR="00A65B31" w:rsidRPr="00E0631C">
        <w:t xml:space="preserve"> </w:t>
      </w:r>
      <w:r w:rsidR="0065462D" w:rsidRPr="00E0631C">
        <w:t xml:space="preserve">counties, </w:t>
      </w:r>
      <w:r w:rsidR="00A65B31" w:rsidRPr="00E0631C">
        <w:t>at 15.</w:t>
      </w:r>
      <w:r w:rsidR="00440DD5">
        <w:t>2</w:t>
      </w:r>
      <w:r w:rsidR="00A65B31" w:rsidRPr="00E0631C">
        <w:t xml:space="preserve">, </w:t>
      </w:r>
      <w:r w:rsidR="00440DD5">
        <w:t>14.9</w:t>
      </w:r>
      <w:r w:rsidR="00A65B31" w:rsidRPr="00E0631C">
        <w:t>,</w:t>
      </w:r>
      <w:r w:rsidR="0065462D" w:rsidRPr="00E0631C">
        <w:t xml:space="preserve"> and 1</w:t>
      </w:r>
      <w:r w:rsidR="00440DD5">
        <w:t>4.9</w:t>
      </w:r>
      <w:r w:rsidR="0065462D" w:rsidRPr="00E0631C">
        <w:t xml:space="preserve"> percent respectively.</w:t>
      </w:r>
      <w:r w:rsidR="00B45379" w:rsidRPr="00E0631C">
        <w:t xml:space="preserve"> Piscataquis County data is </w:t>
      </w:r>
      <w:r>
        <w:t>n</w:t>
      </w:r>
      <w:r w:rsidR="00B45379" w:rsidRPr="00E0631C">
        <w:t>ot available due to lack of an adequate sample.</w:t>
      </w:r>
    </w:p>
    <w:tbl>
      <w:tblPr>
        <w:tblW w:w="4931" w:type="dxa"/>
        <w:jc w:val="center"/>
        <w:tblInd w:w="93" w:type="dxa"/>
        <w:tblLook w:val="04A0" w:firstRow="1" w:lastRow="0" w:firstColumn="1" w:lastColumn="0" w:noHBand="0" w:noVBand="1"/>
      </w:tblPr>
      <w:tblGrid>
        <w:gridCol w:w="1547"/>
        <w:gridCol w:w="1708"/>
        <w:gridCol w:w="1676"/>
      </w:tblGrid>
      <w:tr w:rsidR="00BD66AF" w:rsidRPr="001B7EB3" w:rsidTr="007E1FCF">
        <w:trPr>
          <w:trHeight w:val="144"/>
          <w:jc w:val="center"/>
        </w:trPr>
        <w:tc>
          <w:tcPr>
            <w:tcW w:w="4931" w:type="dxa"/>
            <w:gridSpan w:val="3"/>
            <w:tcBorders>
              <w:top w:val="single" w:sz="4" w:space="0" w:color="auto"/>
              <w:left w:val="single" w:sz="4" w:space="0" w:color="auto"/>
              <w:bottom w:val="nil"/>
              <w:right w:val="single" w:sz="4" w:space="0" w:color="000000"/>
            </w:tcBorders>
            <w:shd w:val="clear" w:color="auto" w:fill="auto"/>
            <w:noWrap/>
            <w:hideMark/>
          </w:tcPr>
          <w:p w:rsidR="00BD66AF" w:rsidRPr="001B7EB3" w:rsidRDefault="00BD66AF">
            <w:pPr>
              <w:jc w:val="center"/>
              <w:rPr>
                <w:rFonts w:ascii="Calibri" w:hAnsi="Calibri" w:cs="Calibri"/>
                <w:b/>
                <w:bCs/>
                <w:color w:val="000000"/>
                <w:sz w:val="20"/>
                <w:szCs w:val="20"/>
              </w:rPr>
            </w:pPr>
            <w:r w:rsidRPr="001B7EB3">
              <w:rPr>
                <w:rFonts w:ascii="Calibri" w:hAnsi="Calibri" w:cs="Calibri"/>
                <w:b/>
                <w:bCs/>
                <w:color w:val="000000"/>
                <w:sz w:val="20"/>
                <w:szCs w:val="20"/>
              </w:rPr>
              <w:t>Veteran Population by Maine County</w:t>
            </w:r>
          </w:p>
        </w:tc>
      </w:tr>
      <w:tr w:rsidR="00BD66AF" w:rsidRPr="001B7EB3" w:rsidTr="007E1FCF">
        <w:trPr>
          <w:trHeight w:val="144"/>
          <w:jc w:val="center"/>
        </w:trPr>
        <w:tc>
          <w:tcPr>
            <w:tcW w:w="4931" w:type="dxa"/>
            <w:gridSpan w:val="3"/>
            <w:tcBorders>
              <w:top w:val="nil"/>
              <w:left w:val="single" w:sz="4" w:space="0" w:color="auto"/>
              <w:bottom w:val="nil"/>
              <w:right w:val="single" w:sz="4" w:space="0" w:color="000000"/>
            </w:tcBorders>
            <w:shd w:val="clear" w:color="auto" w:fill="auto"/>
            <w:noWrap/>
            <w:vAlign w:val="bottom"/>
            <w:hideMark/>
          </w:tcPr>
          <w:p w:rsidR="00BD66AF" w:rsidRPr="001B7EB3" w:rsidRDefault="00BD66AF">
            <w:pPr>
              <w:jc w:val="center"/>
              <w:rPr>
                <w:rFonts w:ascii="Calibri" w:hAnsi="Calibri" w:cs="Calibri"/>
                <w:b/>
                <w:bCs/>
                <w:color w:val="000000"/>
                <w:sz w:val="20"/>
                <w:szCs w:val="20"/>
              </w:rPr>
            </w:pPr>
            <w:r w:rsidRPr="001B7EB3">
              <w:rPr>
                <w:rFonts w:ascii="Calibri" w:hAnsi="Calibri" w:cs="Calibri"/>
                <w:b/>
                <w:bCs/>
                <w:color w:val="000000"/>
                <w:sz w:val="20"/>
                <w:szCs w:val="20"/>
              </w:rPr>
              <w:t>Age 18 or Over, 2009-2011 Averages</w:t>
            </w:r>
          </w:p>
        </w:tc>
      </w:tr>
      <w:tr w:rsidR="00BD66AF" w:rsidRPr="001B7EB3" w:rsidTr="007E1FCF">
        <w:trPr>
          <w:trHeight w:val="144"/>
          <w:jc w:val="center"/>
        </w:trPr>
        <w:tc>
          <w:tcPr>
            <w:tcW w:w="15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66AF" w:rsidRPr="001B7EB3" w:rsidRDefault="00BD66AF">
            <w:pPr>
              <w:jc w:val="center"/>
              <w:rPr>
                <w:rFonts w:ascii="Calibri" w:hAnsi="Calibri" w:cs="Calibri"/>
                <w:b/>
                <w:bCs/>
                <w:color w:val="000000"/>
                <w:sz w:val="20"/>
                <w:szCs w:val="20"/>
              </w:rPr>
            </w:pPr>
            <w:r w:rsidRPr="001B7EB3">
              <w:rPr>
                <w:rFonts w:ascii="Calibri" w:hAnsi="Calibri" w:cs="Calibri"/>
                <w:b/>
                <w:bCs/>
                <w:color w:val="000000"/>
                <w:sz w:val="20"/>
                <w:szCs w:val="20"/>
              </w:rPr>
              <w:t>County</w:t>
            </w:r>
          </w:p>
        </w:tc>
        <w:tc>
          <w:tcPr>
            <w:tcW w:w="1708" w:type="dxa"/>
            <w:tcBorders>
              <w:top w:val="single" w:sz="4" w:space="0" w:color="auto"/>
              <w:left w:val="nil"/>
              <w:bottom w:val="nil"/>
              <w:right w:val="single" w:sz="4" w:space="0" w:color="auto"/>
            </w:tcBorders>
            <w:shd w:val="clear" w:color="auto" w:fill="auto"/>
            <w:noWrap/>
            <w:vAlign w:val="bottom"/>
            <w:hideMark/>
          </w:tcPr>
          <w:p w:rsidR="00BD66AF" w:rsidRPr="001B7EB3" w:rsidRDefault="00BD66AF">
            <w:pPr>
              <w:jc w:val="center"/>
              <w:rPr>
                <w:rFonts w:ascii="Calibri" w:hAnsi="Calibri" w:cs="Calibri"/>
                <w:b/>
                <w:bCs/>
                <w:color w:val="000000"/>
                <w:sz w:val="20"/>
                <w:szCs w:val="20"/>
              </w:rPr>
            </w:pPr>
            <w:r w:rsidRPr="001B7EB3">
              <w:rPr>
                <w:rFonts w:ascii="Calibri" w:hAnsi="Calibri" w:cs="Calibri"/>
                <w:b/>
                <w:bCs/>
                <w:color w:val="000000"/>
                <w:sz w:val="20"/>
                <w:szCs w:val="20"/>
              </w:rPr>
              <w:t>Veteran</w:t>
            </w:r>
          </w:p>
        </w:tc>
        <w:tc>
          <w:tcPr>
            <w:tcW w:w="1676" w:type="dxa"/>
            <w:tcBorders>
              <w:top w:val="single" w:sz="4" w:space="0" w:color="auto"/>
              <w:left w:val="nil"/>
              <w:bottom w:val="nil"/>
              <w:right w:val="single" w:sz="4" w:space="0" w:color="auto"/>
            </w:tcBorders>
            <w:shd w:val="clear" w:color="auto" w:fill="auto"/>
            <w:noWrap/>
            <w:vAlign w:val="bottom"/>
            <w:hideMark/>
          </w:tcPr>
          <w:p w:rsidR="00BD66AF" w:rsidRPr="001B7EB3" w:rsidRDefault="00BD66AF">
            <w:pPr>
              <w:jc w:val="center"/>
              <w:rPr>
                <w:rFonts w:ascii="Calibri" w:hAnsi="Calibri" w:cs="Calibri"/>
                <w:b/>
                <w:bCs/>
                <w:color w:val="000000"/>
                <w:sz w:val="20"/>
                <w:szCs w:val="20"/>
              </w:rPr>
            </w:pPr>
            <w:r w:rsidRPr="001B7EB3">
              <w:rPr>
                <w:rFonts w:ascii="Calibri" w:hAnsi="Calibri" w:cs="Calibri"/>
                <w:b/>
                <w:bCs/>
                <w:color w:val="000000"/>
                <w:sz w:val="20"/>
                <w:szCs w:val="20"/>
              </w:rPr>
              <w:t>Percent of</w:t>
            </w:r>
          </w:p>
        </w:tc>
      </w:tr>
      <w:tr w:rsidR="00BD66AF" w:rsidRPr="001B7EB3" w:rsidTr="007E1FCF">
        <w:trPr>
          <w:trHeight w:val="144"/>
          <w:jc w:val="center"/>
        </w:trPr>
        <w:tc>
          <w:tcPr>
            <w:tcW w:w="1547" w:type="dxa"/>
            <w:vMerge/>
            <w:tcBorders>
              <w:top w:val="single" w:sz="4" w:space="0" w:color="auto"/>
              <w:left w:val="single" w:sz="4" w:space="0" w:color="auto"/>
              <w:bottom w:val="single" w:sz="4" w:space="0" w:color="000000"/>
              <w:right w:val="single" w:sz="4" w:space="0" w:color="auto"/>
            </w:tcBorders>
            <w:vAlign w:val="center"/>
            <w:hideMark/>
          </w:tcPr>
          <w:p w:rsidR="00BD66AF" w:rsidRPr="001B7EB3" w:rsidRDefault="00BD66AF">
            <w:pPr>
              <w:rPr>
                <w:rFonts w:ascii="Calibri" w:hAnsi="Calibri" w:cs="Calibri"/>
                <w:b/>
                <w:bCs/>
                <w:color w:val="000000"/>
                <w:sz w:val="20"/>
                <w:szCs w:val="20"/>
              </w:rPr>
            </w:pPr>
          </w:p>
        </w:tc>
        <w:tc>
          <w:tcPr>
            <w:tcW w:w="1708" w:type="dxa"/>
            <w:tcBorders>
              <w:top w:val="nil"/>
              <w:left w:val="nil"/>
              <w:bottom w:val="single" w:sz="4" w:space="0" w:color="auto"/>
              <w:right w:val="single" w:sz="4" w:space="0" w:color="auto"/>
            </w:tcBorders>
            <w:shd w:val="clear" w:color="auto" w:fill="auto"/>
            <w:noWrap/>
            <w:vAlign w:val="bottom"/>
            <w:hideMark/>
          </w:tcPr>
          <w:p w:rsidR="00BD66AF" w:rsidRPr="001B7EB3" w:rsidRDefault="00BD66AF">
            <w:pPr>
              <w:jc w:val="center"/>
              <w:rPr>
                <w:rFonts w:ascii="Calibri" w:hAnsi="Calibri" w:cs="Calibri"/>
                <w:b/>
                <w:bCs/>
                <w:color w:val="000000"/>
                <w:sz w:val="20"/>
                <w:szCs w:val="20"/>
              </w:rPr>
            </w:pPr>
            <w:r w:rsidRPr="001B7EB3">
              <w:rPr>
                <w:rFonts w:ascii="Calibri" w:hAnsi="Calibri" w:cs="Calibri"/>
                <w:b/>
                <w:bCs/>
                <w:color w:val="000000"/>
                <w:sz w:val="20"/>
                <w:szCs w:val="20"/>
              </w:rPr>
              <w:t>Population</w:t>
            </w:r>
          </w:p>
        </w:tc>
        <w:tc>
          <w:tcPr>
            <w:tcW w:w="1676" w:type="dxa"/>
            <w:tcBorders>
              <w:top w:val="nil"/>
              <w:left w:val="nil"/>
              <w:bottom w:val="single" w:sz="4" w:space="0" w:color="auto"/>
              <w:right w:val="single" w:sz="4" w:space="0" w:color="auto"/>
            </w:tcBorders>
            <w:shd w:val="clear" w:color="auto" w:fill="auto"/>
            <w:noWrap/>
            <w:vAlign w:val="bottom"/>
            <w:hideMark/>
          </w:tcPr>
          <w:p w:rsidR="00BD66AF" w:rsidRPr="001B7EB3" w:rsidRDefault="00BD66AF">
            <w:pPr>
              <w:jc w:val="center"/>
              <w:rPr>
                <w:rFonts w:ascii="Calibri" w:hAnsi="Calibri" w:cs="Calibri"/>
                <w:b/>
                <w:bCs/>
                <w:color w:val="000000"/>
                <w:sz w:val="20"/>
                <w:szCs w:val="20"/>
              </w:rPr>
            </w:pPr>
            <w:r w:rsidRPr="001B7EB3">
              <w:rPr>
                <w:rFonts w:ascii="Calibri" w:hAnsi="Calibri" w:cs="Calibri"/>
                <w:b/>
                <w:bCs/>
                <w:color w:val="000000"/>
                <w:sz w:val="20"/>
                <w:szCs w:val="20"/>
              </w:rPr>
              <w:t>Total Population</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Cumberland</w:t>
            </w:r>
          </w:p>
        </w:tc>
        <w:tc>
          <w:tcPr>
            <w:tcW w:w="1708" w:type="dxa"/>
            <w:tcBorders>
              <w:top w:val="nil"/>
              <w:left w:val="nil"/>
              <w:bottom w:val="nil"/>
              <w:right w:val="nil"/>
            </w:tcBorders>
            <w:shd w:val="clear" w:color="auto" w:fill="auto"/>
            <w:noWrap/>
            <w:vAlign w:val="bottom"/>
            <w:hideMark/>
          </w:tcPr>
          <w:p w:rsidR="00BD66AF" w:rsidRPr="001B7EB3" w:rsidRDefault="00BD66AF" w:rsidP="007E1FCF">
            <w:pPr>
              <w:ind w:firstLineChars="200" w:firstLine="400"/>
              <w:jc w:val="both"/>
              <w:rPr>
                <w:rFonts w:ascii="Calibri" w:hAnsi="Calibri" w:cs="Calibri"/>
                <w:color w:val="000000"/>
                <w:sz w:val="20"/>
                <w:szCs w:val="20"/>
              </w:rPr>
            </w:pPr>
            <w:r w:rsidRPr="001B7EB3">
              <w:rPr>
                <w:rFonts w:ascii="Calibri" w:hAnsi="Calibri" w:cs="Calibri"/>
                <w:color w:val="000000"/>
                <w:sz w:val="20"/>
                <w:szCs w:val="20"/>
              </w:rPr>
              <w:t>22,759</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10.2%</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York</w:t>
            </w:r>
          </w:p>
        </w:tc>
        <w:tc>
          <w:tcPr>
            <w:tcW w:w="1708" w:type="dxa"/>
            <w:tcBorders>
              <w:top w:val="nil"/>
              <w:left w:val="nil"/>
              <w:bottom w:val="nil"/>
              <w:right w:val="nil"/>
            </w:tcBorders>
            <w:shd w:val="clear" w:color="auto" w:fill="auto"/>
            <w:noWrap/>
            <w:vAlign w:val="bottom"/>
            <w:hideMark/>
          </w:tcPr>
          <w:p w:rsidR="00BD66AF" w:rsidRPr="001B7EB3" w:rsidRDefault="00BD66AF" w:rsidP="007E1FCF">
            <w:pPr>
              <w:ind w:firstLineChars="200" w:firstLine="400"/>
              <w:jc w:val="both"/>
              <w:rPr>
                <w:rFonts w:ascii="Calibri" w:hAnsi="Calibri" w:cs="Calibri"/>
                <w:color w:val="000000"/>
                <w:sz w:val="20"/>
                <w:szCs w:val="20"/>
              </w:rPr>
            </w:pPr>
            <w:r w:rsidRPr="001B7EB3">
              <w:rPr>
                <w:rFonts w:ascii="Calibri" w:hAnsi="Calibri" w:cs="Calibri"/>
                <w:color w:val="000000"/>
                <w:sz w:val="20"/>
                <w:szCs w:val="20"/>
              </w:rPr>
              <w:t>19,663</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12.7%</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Penobscot</w:t>
            </w:r>
          </w:p>
        </w:tc>
        <w:tc>
          <w:tcPr>
            <w:tcW w:w="1708" w:type="dxa"/>
            <w:tcBorders>
              <w:top w:val="nil"/>
              <w:left w:val="nil"/>
              <w:bottom w:val="nil"/>
              <w:right w:val="nil"/>
            </w:tcBorders>
            <w:shd w:val="clear" w:color="auto" w:fill="auto"/>
            <w:noWrap/>
            <w:vAlign w:val="bottom"/>
            <w:hideMark/>
          </w:tcPr>
          <w:p w:rsidR="00BD66AF" w:rsidRPr="001B7EB3" w:rsidRDefault="00BD66AF" w:rsidP="007E1FCF">
            <w:pPr>
              <w:ind w:firstLineChars="200" w:firstLine="400"/>
              <w:jc w:val="both"/>
              <w:rPr>
                <w:rFonts w:ascii="Calibri" w:hAnsi="Calibri" w:cs="Calibri"/>
                <w:color w:val="000000"/>
                <w:sz w:val="20"/>
                <w:szCs w:val="20"/>
              </w:rPr>
            </w:pPr>
            <w:r w:rsidRPr="001B7EB3">
              <w:rPr>
                <w:rFonts w:ascii="Calibri" w:hAnsi="Calibri" w:cs="Calibri"/>
                <w:color w:val="000000"/>
                <w:sz w:val="20"/>
                <w:szCs w:val="20"/>
              </w:rPr>
              <w:t>14,597</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11.8%</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Kennebec</w:t>
            </w:r>
          </w:p>
        </w:tc>
        <w:tc>
          <w:tcPr>
            <w:tcW w:w="1708" w:type="dxa"/>
            <w:tcBorders>
              <w:top w:val="nil"/>
              <w:left w:val="nil"/>
              <w:bottom w:val="nil"/>
              <w:right w:val="nil"/>
            </w:tcBorders>
            <w:shd w:val="clear" w:color="auto" w:fill="auto"/>
            <w:noWrap/>
            <w:vAlign w:val="bottom"/>
            <w:hideMark/>
          </w:tcPr>
          <w:p w:rsidR="00BD66AF" w:rsidRPr="001B7EB3" w:rsidRDefault="00BD66AF" w:rsidP="007E1FCF">
            <w:pPr>
              <w:ind w:firstLineChars="200" w:firstLine="400"/>
              <w:jc w:val="both"/>
              <w:rPr>
                <w:rFonts w:ascii="Calibri" w:hAnsi="Calibri" w:cs="Calibri"/>
                <w:color w:val="000000"/>
                <w:sz w:val="20"/>
                <w:szCs w:val="20"/>
              </w:rPr>
            </w:pPr>
            <w:r w:rsidRPr="001B7EB3">
              <w:rPr>
                <w:rFonts w:ascii="Calibri" w:hAnsi="Calibri" w:cs="Calibri"/>
                <w:color w:val="000000"/>
                <w:sz w:val="20"/>
                <w:szCs w:val="20"/>
              </w:rPr>
              <w:t>12,624</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13.1%</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Androscoggin</w:t>
            </w:r>
          </w:p>
        </w:tc>
        <w:tc>
          <w:tcPr>
            <w:tcW w:w="1708" w:type="dxa"/>
            <w:tcBorders>
              <w:top w:val="nil"/>
              <w:left w:val="nil"/>
              <w:bottom w:val="nil"/>
              <w:right w:val="nil"/>
            </w:tcBorders>
            <w:shd w:val="clear" w:color="auto" w:fill="auto"/>
            <w:noWrap/>
            <w:vAlign w:val="bottom"/>
            <w:hideMark/>
          </w:tcPr>
          <w:p w:rsidR="00BD66AF" w:rsidRPr="001B7EB3" w:rsidRDefault="00BD66AF" w:rsidP="007E1FCF">
            <w:pPr>
              <w:ind w:firstLineChars="200" w:firstLine="400"/>
              <w:jc w:val="both"/>
              <w:rPr>
                <w:rFonts w:ascii="Calibri" w:hAnsi="Calibri" w:cs="Calibri"/>
                <w:color w:val="000000"/>
                <w:sz w:val="20"/>
                <w:szCs w:val="20"/>
              </w:rPr>
            </w:pPr>
            <w:r w:rsidRPr="001B7EB3">
              <w:rPr>
                <w:rFonts w:ascii="Calibri" w:hAnsi="Calibri" w:cs="Calibri"/>
                <w:color w:val="000000"/>
                <w:sz w:val="20"/>
                <w:szCs w:val="20"/>
              </w:rPr>
              <w:t>10,429</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12.5%</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Aroostook</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7,365</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12.8%</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Oxford</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5,883</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12.9%</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Hancock</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5,475</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12.3%</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Somerset</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5,325</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13.0%</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Waldo</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4,558</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14.9%</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Knox</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4,256</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13.2%</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Sagadahoc</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4,217</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15.2%</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Washington</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3,930</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14.9%</w:t>
            </w:r>
          </w:p>
        </w:tc>
      </w:tr>
      <w:tr w:rsidR="00BD66AF" w:rsidRPr="001B7EB3" w:rsidTr="007E1FCF">
        <w:trPr>
          <w:trHeight w:val="144"/>
          <w:jc w:val="center"/>
        </w:trPr>
        <w:tc>
          <w:tcPr>
            <w:tcW w:w="1547"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Lincoln</w:t>
            </w:r>
          </w:p>
        </w:tc>
        <w:tc>
          <w:tcPr>
            <w:tcW w:w="1708" w:type="dxa"/>
            <w:tcBorders>
              <w:top w:val="nil"/>
              <w:left w:val="nil"/>
              <w:bottom w:val="nil"/>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3,805</w:t>
            </w:r>
          </w:p>
        </w:tc>
        <w:tc>
          <w:tcPr>
            <w:tcW w:w="1676" w:type="dxa"/>
            <w:tcBorders>
              <w:top w:val="nil"/>
              <w:left w:val="single" w:sz="4" w:space="0" w:color="auto"/>
              <w:bottom w:val="nil"/>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13.6%</w:t>
            </w:r>
          </w:p>
        </w:tc>
      </w:tr>
      <w:tr w:rsidR="00BD66AF" w:rsidRPr="001B7EB3" w:rsidTr="007E1FCF">
        <w:trPr>
          <w:trHeight w:val="144"/>
          <w:jc w:val="center"/>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BD66AF" w:rsidRPr="001B7EB3" w:rsidRDefault="00BD66AF">
            <w:pPr>
              <w:rPr>
                <w:rFonts w:ascii="Calibri" w:hAnsi="Calibri" w:cs="Calibri"/>
                <w:color w:val="000000"/>
                <w:sz w:val="20"/>
                <w:szCs w:val="20"/>
              </w:rPr>
            </w:pPr>
            <w:r w:rsidRPr="001B7EB3">
              <w:rPr>
                <w:rFonts w:ascii="Calibri" w:hAnsi="Calibri" w:cs="Calibri"/>
                <w:color w:val="000000"/>
                <w:sz w:val="20"/>
                <w:szCs w:val="20"/>
              </w:rPr>
              <w:t>Franklin</w:t>
            </w:r>
          </w:p>
        </w:tc>
        <w:tc>
          <w:tcPr>
            <w:tcW w:w="1708" w:type="dxa"/>
            <w:tcBorders>
              <w:top w:val="nil"/>
              <w:left w:val="nil"/>
              <w:bottom w:val="single" w:sz="4" w:space="0" w:color="auto"/>
              <w:right w:val="nil"/>
            </w:tcBorders>
            <w:shd w:val="clear" w:color="auto" w:fill="auto"/>
            <w:noWrap/>
            <w:vAlign w:val="bottom"/>
            <w:hideMark/>
          </w:tcPr>
          <w:p w:rsidR="00BD66AF" w:rsidRPr="001B7EB3" w:rsidRDefault="007E1FCF" w:rsidP="007E1FCF">
            <w:pPr>
              <w:ind w:firstLineChars="200" w:firstLine="400"/>
              <w:jc w:val="both"/>
              <w:rPr>
                <w:rFonts w:ascii="Calibri" w:hAnsi="Calibri" w:cs="Calibri"/>
                <w:color w:val="000000"/>
                <w:sz w:val="20"/>
                <w:szCs w:val="20"/>
              </w:rPr>
            </w:pPr>
            <w:r>
              <w:rPr>
                <w:rFonts w:ascii="Calibri" w:hAnsi="Calibri" w:cs="Calibri"/>
                <w:color w:val="000000"/>
                <w:sz w:val="20"/>
                <w:szCs w:val="20"/>
              </w:rPr>
              <w:t xml:space="preserve">  </w:t>
            </w:r>
            <w:r w:rsidR="00BD66AF" w:rsidRPr="001B7EB3">
              <w:rPr>
                <w:rFonts w:ascii="Calibri" w:hAnsi="Calibri" w:cs="Calibri"/>
                <w:color w:val="000000"/>
                <w:sz w:val="20"/>
                <w:szCs w:val="20"/>
              </w:rPr>
              <w:t>3,028</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BD66AF" w:rsidRPr="001B7EB3" w:rsidRDefault="00BD66AF" w:rsidP="007E1FCF">
            <w:pPr>
              <w:jc w:val="center"/>
              <w:rPr>
                <w:rFonts w:ascii="Calibri" w:hAnsi="Calibri" w:cs="Calibri"/>
                <w:color w:val="000000"/>
                <w:sz w:val="20"/>
                <w:szCs w:val="20"/>
              </w:rPr>
            </w:pPr>
            <w:r w:rsidRPr="001B7EB3">
              <w:rPr>
                <w:rFonts w:ascii="Calibri" w:hAnsi="Calibri" w:cs="Calibri"/>
                <w:color w:val="000000"/>
                <w:sz w:val="20"/>
                <w:szCs w:val="20"/>
              </w:rPr>
              <w:t>12.3%</w:t>
            </w:r>
          </w:p>
        </w:tc>
      </w:tr>
      <w:tr w:rsidR="00BD66AF" w:rsidRPr="001B7EB3" w:rsidTr="007E1FCF">
        <w:trPr>
          <w:trHeight w:val="144"/>
          <w:jc w:val="center"/>
        </w:trPr>
        <w:tc>
          <w:tcPr>
            <w:tcW w:w="4931" w:type="dxa"/>
            <w:gridSpan w:val="3"/>
            <w:tcBorders>
              <w:top w:val="nil"/>
              <w:left w:val="single" w:sz="4" w:space="0" w:color="auto"/>
              <w:bottom w:val="nil"/>
              <w:right w:val="nil"/>
            </w:tcBorders>
            <w:shd w:val="clear" w:color="auto" w:fill="auto"/>
            <w:noWrap/>
            <w:vAlign w:val="bottom"/>
            <w:hideMark/>
          </w:tcPr>
          <w:p w:rsidR="00BD66AF" w:rsidRPr="001B7EB3" w:rsidRDefault="00BD66AF">
            <w:pPr>
              <w:rPr>
                <w:rFonts w:ascii="Calibri" w:hAnsi="Calibri" w:cs="Calibri"/>
                <w:color w:val="000000"/>
                <w:sz w:val="16"/>
                <w:szCs w:val="16"/>
              </w:rPr>
            </w:pPr>
            <w:r w:rsidRPr="001B7EB3">
              <w:rPr>
                <w:rFonts w:ascii="Calibri" w:hAnsi="Calibri" w:cs="Calibri"/>
                <w:color w:val="000000"/>
                <w:sz w:val="16"/>
                <w:szCs w:val="16"/>
              </w:rPr>
              <w:t>Source: American Community Survey, 2009-2011.</w:t>
            </w:r>
          </w:p>
        </w:tc>
      </w:tr>
    </w:tbl>
    <w:p w:rsidR="00FB3EE4" w:rsidRDefault="00FB3EE4" w:rsidP="007B4129">
      <w:pPr>
        <w:pStyle w:val="Heading3"/>
      </w:pPr>
      <w:r>
        <w:t>Labor Force Participation</w:t>
      </w:r>
    </w:p>
    <w:p w:rsidR="00D077CA" w:rsidRDefault="006D4AB8" w:rsidP="007F6C8E">
      <w:pPr>
        <w:spacing w:after="120"/>
      </w:pPr>
      <w:r w:rsidRPr="0058418E">
        <w:rPr>
          <w:rStyle w:val="BodyTextChar"/>
        </w:rPr>
        <w:t xml:space="preserve">Veterans </w:t>
      </w:r>
      <w:r w:rsidR="0088767B" w:rsidRPr="0058418E">
        <w:rPr>
          <w:rStyle w:val="BodyTextChar"/>
        </w:rPr>
        <w:t xml:space="preserve">age 18 to 64 </w:t>
      </w:r>
      <w:r w:rsidRPr="0058418E">
        <w:rPr>
          <w:rStyle w:val="BodyTextChar"/>
        </w:rPr>
        <w:t xml:space="preserve">were least likely to participate in the labor force in </w:t>
      </w:r>
      <w:r w:rsidR="002946C9">
        <w:rPr>
          <w:rStyle w:val="BodyTextChar"/>
        </w:rPr>
        <w:t xml:space="preserve">Lincoln, Washington, </w:t>
      </w:r>
      <w:r w:rsidRPr="0058418E">
        <w:rPr>
          <w:rStyle w:val="BodyTextChar"/>
        </w:rPr>
        <w:t xml:space="preserve">Franklin, Somerset, </w:t>
      </w:r>
      <w:r w:rsidR="002946C9">
        <w:rPr>
          <w:rStyle w:val="BodyTextChar"/>
        </w:rPr>
        <w:t xml:space="preserve">Oxford, </w:t>
      </w:r>
      <w:r w:rsidRPr="0058418E">
        <w:rPr>
          <w:rStyle w:val="BodyTextChar"/>
        </w:rPr>
        <w:t xml:space="preserve">and </w:t>
      </w:r>
      <w:r w:rsidR="002946C9">
        <w:rPr>
          <w:rStyle w:val="BodyTextChar"/>
        </w:rPr>
        <w:t>Knox</w:t>
      </w:r>
      <w:r w:rsidRPr="0058418E">
        <w:rPr>
          <w:rStyle w:val="BodyTextChar"/>
        </w:rPr>
        <w:t xml:space="preserve"> counties – counties that are </w:t>
      </w:r>
      <w:r w:rsidR="00DB3A45" w:rsidRPr="0058418E">
        <w:rPr>
          <w:rStyle w:val="BodyTextChar"/>
        </w:rPr>
        <w:t xml:space="preserve">more </w:t>
      </w:r>
      <w:r w:rsidRPr="0058418E">
        <w:rPr>
          <w:rStyle w:val="BodyTextChar"/>
        </w:rPr>
        <w:t xml:space="preserve">rural with fewer job opportunities. </w:t>
      </w:r>
      <w:r w:rsidR="002A35D3" w:rsidRPr="0058418E">
        <w:rPr>
          <w:rStyle w:val="BodyTextChar"/>
        </w:rPr>
        <w:t>Veterans generally had t</w:t>
      </w:r>
      <w:r w:rsidR="00013AC2" w:rsidRPr="0058418E">
        <w:rPr>
          <w:rStyle w:val="BodyTextChar"/>
        </w:rPr>
        <w:t>he highest rates of participation in counties with relatively high levels of economic activity</w:t>
      </w:r>
      <w:r w:rsidR="00381454">
        <w:t>.</w:t>
      </w:r>
    </w:p>
    <w:tbl>
      <w:tblPr>
        <w:tblW w:w="5235" w:type="dxa"/>
        <w:jc w:val="center"/>
        <w:tblInd w:w="93" w:type="dxa"/>
        <w:tblLook w:val="04A0" w:firstRow="1" w:lastRow="0" w:firstColumn="1" w:lastColumn="0" w:noHBand="0" w:noVBand="1"/>
      </w:tblPr>
      <w:tblGrid>
        <w:gridCol w:w="1365"/>
        <w:gridCol w:w="1890"/>
        <w:gridCol w:w="1980"/>
      </w:tblGrid>
      <w:tr w:rsidR="00D077CA" w:rsidRPr="00D077CA" w:rsidTr="00BD66AF">
        <w:trPr>
          <w:trHeight w:val="144"/>
          <w:jc w:val="center"/>
        </w:trPr>
        <w:tc>
          <w:tcPr>
            <w:tcW w:w="523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077CA" w:rsidRPr="00D077CA" w:rsidRDefault="00D077CA">
            <w:pPr>
              <w:jc w:val="center"/>
              <w:rPr>
                <w:rFonts w:ascii="Calibri" w:hAnsi="Calibri" w:cs="Calibri"/>
                <w:b/>
                <w:bCs/>
                <w:color w:val="000000"/>
                <w:sz w:val="20"/>
                <w:szCs w:val="20"/>
              </w:rPr>
            </w:pPr>
            <w:r w:rsidRPr="00D077CA">
              <w:rPr>
                <w:rFonts w:ascii="Calibri" w:hAnsi="Calibri" w:cs="Calibri"/>
                <w:b/>
                <w:bCs/>
                <w:color w:val="000000"/>
                <w:sz w:val="20"/>
                <w:szCs w:val="20"/>
              </w:rPr>
              <w:t>Veterans in the Civilian Labor Force by Maine County</w:t>
            </w:r>
          </w:p>
        </w:tc>
      </w:tr>
      <w:tr w:rsidR="00D077CA" w:rsidRPr="00D077CA" w:rsidTr="00BD66AF">
        <w:trPr>
          <w:trHeight w:val="144"/>
          <w:jc w:val="center"/>
        </w:trPr>
        <w:tc>
          <w:tcPr>
            <w:tcW w:w="523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D077CA" w:rsidRPr="00D077CA" w:rsidRDefault="00D077CA">
            <w:pPr>
              <w:jc w:val="center"/>
              <w:rPr>
                <w:rFonts w:ascii="Calibri" w:hAnsi="Calibri" w:cs="Calibri"/>
                <w:b/>
                <w:bCs/>
                <w:color w:val="000000"/>
                <w:sz w:val="20"/>
                <w:szCs w:val="20"/>
              </w:rPr>
            </w:pPr>
            <w:r w:rsidRPr="00D077CA">
              <w:rPr>
                <w:rFonts w:ascii="Calibri" w:hAnsi="Calibri" w:cs="Calibri"/>
                <w:b/>
                <w:bCs/>
                <w:color w:val="000000"/>
                <w:sz w:val="20"/>
                <w:szCs w:val="20"/>
              </w:rPr>
              <w:t>2009-2011 Averages, Age 18 to 64</w:t>
            </w:r>
          </w:p>
        </w:tc>
      </w:tr>
      <w:tr w:rsidR="00D077CA" w:rsidRPr="00D077CA" w:rsidTr="00BD66AF">
        <w:trPr>
          <w:trHeight w:val="144"/>
          <w:jc w:val="center"/>
        </w:trPr>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77CA" w:rsidRPr="00D077CA" w:rsidRDefault="00D077CA">
            <w:pPr>
              <w:jc w:val="center"/>
              <w:rPr>
                <w:rFonts w:ascii="Calibri" w:hAnsi="Calibri" w:cs="Calibri"/>
                <w:b/>
                <w:bCs/>
                <w:color w:val="000000"/>
                <w:sz w:val="20"/>
                <w:szCs w:val="20"/>
              </w:rPr>
            </w:pPr>
            <w:r w:rsidRPr="00D077CA">
              <w:rPr>
                <w:rFonts w:ascii="Calibri" w:hAnsi="Calibri" w:cs="Calibri"/>
                <w:b/>
                <w:bCs/>
                <w:color w:val="000000"/>
                <w:sz w:val="20"/>
                <w:szCs w:val="20"/>
              </w:rPr>
              <w:t>County</w:t>
            </w:r>
          </w:p>
        </w:tc>
        <w:tc>
          <w:tcPr>
            <w:tcW w:w="38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7CA" w:rsidRPr="00D077CA" w:rsidRDefault="00D077CA">
            <w:pPr>
              <w:jc w:val="center"/>
              <w:rPr>
                <w:rFonts w:ascii="Calibri" w:hAnsi="Calibri" w:cs="Calibri"/>
                <w:b/>
                <w:bCs/>
                <w:color w:val="000000"/>
                <w:sz w:val="20"/>
                <w:szCs w:val="20"/>
              </w:rPr>
            </w:pPr>
            <w:r w:rsidRPr="00D077CA">
              <w:rPr>
                <w:rFonts w:ascii="Calibri" w:hAnsi="Calibri" w:cs="Calibri"/>
                <w:b/>
                <w:bCs/>
                <w:color w:val="000000"/>
                <w:sz w:val="20"/>
                <w:szCs w:val="20"/>
              </w:rPr>
              <w:t>Labor Force</w:t>
            </w:r>
          </w:p>
        </w:tc>
      </w:tr>
      <w:tr w:rsidR="00D077CA" w:rsidRPr="00D077CA" w:rsidTr="00BD66AF">
        <w:trPr>
          <w:trHeight w:val="144"/>
          <w:jc w:val="center"/>
        </w:trPr>
        <w:tc>
          <w:tcPr>
            <w:tcW w:w="1365" w:type="dxa"/>
            <w:vMerge/>
            <w:tcBorders>
              <w:top w:val="nil"/>
              <w:left w:val="single" w:sz="4" w:space="0" w:color="auto"/>
              <w:bottom w:val="single" w:sz="4" w:space="0" w:color="000000"/>
              <w:right w:val="single" w:sz="4" w:space="0" w:color="auto"/>
            </w:tcBorders>
            <w:vAlign w:val="center"/>
            <w:hideMark/>
          </w:tcPr>
          <w:p w:rsidR="00D077CA" w:rsidRPr="00D077CA" w:rsidRDefault="00D077CA">
            <w:pPr>
              <w:rPr>
                <w:rFonts w:ascii="Calibri" w:hAnsi="Calibri" w:cs="Calibri"/>
                <w:b/>
                <w:bCs/>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bottom"/>
            <w:hideMark/>
          </w:tcPr>
          <w:p w:rsidR="00D077CA" w:rsidRPr="00D077CA" w:rsidRDefault="00D077CA">
            <w:pPr>
              <w:jc w:val="center"/>
              <w:rPr>
                <w:rFonts w:ascii="Calibri" w:hAnsi="Calibri" w:cs="Calibri"/>
                <w:b/>
                <w:bCs/>
                <w:color w:val="000000"/>
                <w:sz w:val="20"/>
                <w:szCs w:val="20"/>
              </w:rPr>
            </w:pPr>
            <w:r w:rsidRPr="00D077CA">
              <w:rPr>
                <w:rFonts w:ascii="Calibri" w:hAnsi="Calibri" w:cs="Calibri"/>
                <w:b/>
                <w:bCs/>
                <w:color w:val="000000"/>
                <w:sz w:val="20"/>
                <w:szCs w:val="20"/>
              </w:rPr>
              <w:t>Participation Rate</w:t>
            </w:r>
          </w:p>
        </w:tc>
        <w:tc>
          <w:tcPr>
            <w:tcW w:w="1980" w:type="dxa"/>
            <w:tcBorders>
              <w:top w:val="nil"/>
              <w:left w:val="nil"/>
              <w:bottom w:val="single" w:sz="4" w:space="0" w:color="auto"/>
              <w:right w:val="single" w:sz="4" w:space="0" w:color="auto"/>
            </w:tcBorders>
            <w:shd w:val="clear" w:color="auto" w:fill="auto"/>
            <w:noWrap/>
            <w:vAlign w:val="bottom"/>
            <w:hideMark/>
          </w:tcPr>
          <w:p w:rsidR="00D077CA" w:rsidRPr="00D077CA" w:rsidRDefault="00D077CA">
            <w:pPr>
              <w:jc w:val="center"/>
              <w:rPr>
                <w:rFonts w:ascii="Calibri" w:hAnsi="Calibri" w:cs="Calibri"/>
                <w:b/>
                <w:bCs/>
                <w:color w:val="000000"/>
                <w:sz w:val="20"/>
                <w:szCs w:val="20"/>
              </w:rPr>
            </w:pPr>
            <w:r w:rsidRPr="00D077CA">
              <w:rPr>
                <w:rFonts w:ascii="Calibri" w:hAnsi="Calibri" w:cs="Calibri"/>
                <w:b/>
                <w:bCs/>
                <w:color w:val="000000"/>
                <w:sz w:val="20"/>
                <w:szCs w:val="20"/>
              </w:rPr>
              <w:t>Number</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Cumberland</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79.7%</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D077CA" w:rsidP="002D2C8F">
            <w:pPr>
              <w:jc w:val="center"/>
              <w:rPr>
                <w:rFonts w:ascii="Calibri" w:hAnsi="Calibri" w:cs="Calibri"/>
                <w:color w:val="000000"/>
                <w:sz w:val="20"/>
                <w:szCs w:val="20"/>
              </w:rPr>
            </w:pPr>
            <w:r w:rsidRPr="00D077CA">
              <w:rPr>
                <w:rFonts w:ascii="Calibri" w:hAnsi="Calibri" w:cs="Calibri"/>
                <w:color w:val="000000"/>
                <w:sz w:val="20"/>
                <w:szCs w:val="20"/>
              </w:rPr>
              <w:t>10,292</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Sagadahoc</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77.8%</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773537">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1,971</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York</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76.1%</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8,147</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Hancock</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75.4%</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2,134</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Androscoggin</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74.8%</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4,737</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Kennebec</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72.7%</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5,484</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Aroostook</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71.2%</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3,214</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Penobscot</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70.4%</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6,057</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Waldo</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70.4%</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1,842</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Knox</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69.7%</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1,466</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Oxford</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69.0%</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2,233</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Somerset</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67.7%</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2,084</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Franklin</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67.6%</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1,110</w:t>
            </w:r>
          </w:p>
        </w:tc>
      </w:tr>
      <w:tr w:rsidR="00D077CA" w:rsidRPr="00D077CA" w:rsidTr="00BD66AF">
        <w:trPr>
          <w:trHeight w:val="144"/>
          <w:jc w:val="center"/>
        </w:trPr>
        <w:tc>
          <w:tcPr>
            <w:tcW w:w="1365" w:type="dxa"/>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Washington</w:t>
            </w:r>
          </w:p>
        </w:tc>
        <w:tc>
          <w:tcPr>
            <w:tcW w:w="1890" w:type="dxa"/>
            <w:tcBorders>
              <w:top w:val="nil"/>
              <w:left w:val="single" w:sz="4" w:space="0" w:color="auto"/>
              <w:bottom w:val="nil"/>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66.0%</w:t>
            </w:r>
          </w:p>
        </w:tc>
        <w:tc>
          <w:tcPr>
            <w:tcW w:w="1980" w:type="dxa"/>
            <w:tcBorders>
              <w:top w:val="nil"/>
              <w:left w:val="nil"/>
              <w:bottom w:val="nil"/>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1,558</w:t>
            </w:r>
          </w:p>
        </w:tc>
      </w:tr>
      <w:tr w:rsidR="00D077CA" w:rsidRPr="00D077CA" w:rsidTr="00BD66AF">
        <w:trPr>
          <w:trHeight w:val="144"/>
          <w:jc w:val="center"/>
        </w:trPr>
        <w:tc>
          <w:tcPr>
            <w:tcW w:w="1365" w:type="dxa"/>
            <w:tcBorders>
              <w:top w:val="nil"/>
              <w:left w:val="single" w:sz="4" w:space="0" w:color="auto"/>
              <w:bottom w:val="single" w:sz="4" w:space="0" w:color="auto"/>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20"/>
                <w:szCs w:val="20"/>
              </w:rPr>
              <w:t>Lincoln</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D077CA" w:rsidRPr="00D077CA" w:rsidRDefault="00D077CA" w:rsidP="00773537">
            <w:pPr>
              <w:jc w:val="center"/>
              <w:rPr>
                <w:rFonts w:ascii="Calibri" w:hAnsi="Calibri" w:cs="Calibri"/>
                <w:color w:val="000000"/>
                <w:sz w:val="20"/>
                <w:szCs w:val="20"/>
              </w:rPr>
            </w:pPr>
            <w:r w:rsidRPr="00D077CA">
              <w:rPr>
                <w:rFonts w:ascii="Calibri" w:hAnsi="Calibri" w:cs="Calibri"/>
                <w:color w:val="000000"/>
                <w:sz w:val="20"/>
                <w:szCs w:val="20"/>
              </w:rPr>
              <w:t>65.3%</w:t>
            </w:r>
          </w:p>
        </w:tc>
        <w:tc>
          <w:tcPr>
            <w:tcW w:w="1980" w:type="dxa"/>
            <w:tcBorders>
              <w:top w:val="nil"/>
              <w:left w:val="nil"/>
              <w:bottom w:val="single" w:sz="4" w:space="0" w:color="auto"/>
              <w:right w:val="single" w:sz="4" w:space="0" w:color="auto"/>
            </w:tcBorders>
            <w:shd w:val="clear" w:color="auto" w:fill="auto"/>
            <w:noWrap/>
            <w:vAlign w:val="bottom"/>
            <w:hideMark/>
          </w:tcPr>
          <w:p w:rsidR="00D077CA" w:rsidRPr="00D077CA" w:rsidRDefault="00773537" w:rsidP="002D2C8F">
            <w:pPr>
              <w:jc w:val="center"/>
              <w:rPr>
                <w:rFonts w:ascii="Calibri" w:hAnsi="Calibri" w:cs="Calibri"/>
                <w:color w:val="000000"/>
                <w:sz w:val="20"/>
                <w:szCs w:val="20"/>
              </w:rPr>
            </w:pPr>
            <w:r>
              <w:rPr>
                <w:rFonts w:ascii="Calibri" w:hAnsi="Calibri" w:cs="Calibri"/>
                <w:color w:val="000000"/>
                <w:sz w:val="20"/>
                <w:szCs w:val="20"/>
              </w:rPr>
              <w:t xml:space="preserve"> </w:t>
            </w:r>
            <w:r w:rsidR="00D077CA" w:rsidRPr="00D077CA">
              <w:rPr>
                <w:rFonts w:ascii="Calibri" w:hAnsi="Calibri" w:cs="Calibri"/>
                <w:color w:val="000000"/>
                <w:sz w:val="20"/>
                <w:szCs w:val="20"/>
              </w:rPr>
              <w:t>1,413</w:t>
            </w:r>
          </w:p>
        </w:tc>
      </w:tr>
      <w:tr w:rsidR="00D077CA" w:rsidRPr="00D077CA" w:rsidTr="00BD66AF">
        <w:trPr>
          <w:trHeight w:val="144"/>
          <w:jc w:val="center"/>
        </w:trPr>
        <w:tc>
          <w:tcPr>
            <w:tcW w:w="5235" w:type="dxa"/>
            <w:gridSpan w:val="3"/>
            <w:tcBorders>
              <w:top w:val="nil"/>
              <w:left w:val="single" w:sz="4" w:space="0" w:color="auto"/>
              <w:bottom w:val="nil"/>
              <w:right w:val="nil"/>
            </w:tcBorders>
            <w:shd w:val="clear" w:color="auto" w:fill="auto"/>
            <w:noWrap/>
            <w:vAlign w:val="bottom"/>
            <w:hideMark/>
          </w:tcPr>
          <w:p w:rsidR="00D077CA" w:rsidRPr="00D077CA" w:rsidRDefault="00D077CA">
            <w:pPr>
              <w:rPr>
                <w:rFonts w:ascii="Calibri" w:hAnsi="Calibri" w:cs="Calibri"/>
                <w:color w:val="000000"/>
                <w:sz w:val="20"/>
                <w:szCs w:val="20"/>
              </w:rPr>
            </w:pPr>
            <w:r w:rsidRPr="00D077CA">
              <w:rPr>
                <w:rFonts w:ascii="Calibri" w:hAnsi="Calibri" w:cs="Calibri"/>
                <w:color w:val="000000"/>
                <w:sz w:val="16"/>
                <w:szCs w:val="16"/>
              </w:rPr>
              <w:t>Source: American Community Survey, 2009-2011</w:t>
            </w:r>
            <w:r w:rsidRPr="00D077CA">
              <w:rPr>
                <w:rFonts w:ascii="Calibri" w:hAnsi="Calibri" w:cs="Calibri"/>
                <w:color w:val="000000"/>
                <w:sz w:val="20"/>
                <w:szCs w:val="20"/>
              </w:rPr>
              <w:t>.</w:t>
            </w:r>
          </w:p>
        </w:tc>
      </w:tr>
    </w:tbl>
    <w:p w:rsidR="006A6118" w:rsidRDefault="006A6118" w:rsidP="006A6118">
      <w:pPr>
        <w:pStyle w:val="Heading3"/>
      </w:pPr>
      <w:r>
        <w:lastRenderedPageBreak/>
        <w:t>Unemployment</w:t>
      </w:r>
    </w:p>
    <w:p w:rsidR="006A6118" w:rsidRDefault="006A6118" w:rsidP="00C926A4">
      <w:pPr>
        <w:pStyle w:val="BodyText"/>
      </w:pPr>
      <w:r>
        <w:t>Unemployment rates for Maine veterans ranged from 3.5 percent in Franklin County to 10.7 percent in Androscoggin County. In 10 of the 15 counties</w:t>
      </w:r>
      <w:r w:rsidR="00327028">
        <w:t xml:space="preserve"> for which there was data</w:t>
      </w:r>
      <w:r>
        <w:t>, the nonveteran unemployment rate was higher than the veteran rate.</w:t>
      </w:r>
    </w:p>
    <w:p w:rsidR="006A6118" w:rsidRDefault="006A6118" w:rsidP="006A6118"/>
    <w:tbl>
      <w:tblPr>
        <w:tblW w:w="4980" w:type="dxa"/>
        <w:jc w:val="center"/>
        <w:tblInd w:w="93" w:type="dxa"/>
        <w:tblLook w:val="04A0" w:firstRow="1" w:lastRow="0" w:firstColumn="1" w:lastColumn="0" w:noHBand="0" w:noVBand="1"/>
      </w:tblPr>
      <w:tblGrid>
        <w:gridCol w:w="1989"/>
        <w:gridCol w:w="1149"/>
        <w:gridCol w:w="1842"/>
      </w:tblGrid>
      <w:tr w:rsidR="006A6118" w:rsidRPr="006A6118" w:rsidTr="00BD66AF">
        <w:trPr>
          <w:trHeight w:val="20"/>
          <w:jc w:val="center"/>
        </w:trPr>
        <w:tc>
          <w:tcPr>
            <w:tcW w:w="49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A6118" w:rsidRPr="006A6118" w:rsidRDefault="006A6118">
            <w:pPr>
              <w:jc w:val="center"/>
              <w:rPr>
                <w:rFonts w:ascii="Calibri" w:hAnsi="Calibri" w:cs="Calibri"/>
                <w:b/>
                <w:bCs/>
                <w:color w:val="000000"/>
                <w:sz w:val="20"/>
                <w:szCs w:val="20"/>
              </w:rPr>
            </w:pPr>
            <w:r w:rsidRPr="006A6118">
              <w:rPr>
                <w:rFonts w:ascii="Calibri" w:hAnsi="Calibri" w:cs="Calibri"/>
                <w:b/>
                <w:bCs/>
                <w:color w:val="000000"/>
                <w:sz w:val="20"/>
                <w:szCs w:val="20"/>
              </w:rPr>
              <w:t>Unemployment Rate by Maine County</w:t>
            </w:r>
          </w:p>
        </w:tc>
      </w:tr>
      <w:tr w:rsidR="006A6118" w:rsidRPr="006A6118" w:rsidTr="00BD66AF">
        <w:trPr>
          <w:trHeight w:val="20"/>
          <w:jc w:val="center"/>
        </w:trPr>
        <w:tc>
          <w:tcPr>
            <w:tcW w:w="49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A6118" w:rsidRPr="006A6118" w:rsidRDefault="006A6118">
            <w:pPr>
              <w:jc w:val="center"/>
              <w:rPr>
                <w:rFonts w:ascii="Calibri" w:hAnsi="Calibri" w:cs="Calibri"/>
                <w:b/>
                <w:bCs/>
                <w:color w:val="000000"/>
                <w:sz w:val="20"/>
                <w:szCs w:val="20"/>
              </w:rPr>
            </w:pPr>
            <w:r w:rsidRPr="006A6118">
              <w:rPr>
                <w:rFonts w:ascii="Calibri" w:hAnsi="Calibri" w:cs="Calibri"/>
                <w:b/>
                <w:bCs/>
                <w:color w:val="000000"/>
                <w:sz w:val="20"/>
                <w:szCs w:val="20"/>
              </w:rPr>
              <w:t>2009-2011 Averages, Age 18 to 64</w:t>
            </w:r>
          </w:p>
        </w:tc>
      </w:tr>
      <w:tr w:rsidR="006A6118" w:rsidRPr="006A6118" w:rsidTr="00BD66AF">
        <w:trPr>
          <w:trHeight w:val="20"/>
          <w:jc w:val="center"/>
        </w:trPr>
        <w:tc>
          <w:tcPr>
            <w:tcW w:w="1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6118" w:rsidRPr="006A6118" w:rsidRDefault="006A6118">
            <w:pPr>
              <w:jc w:val="center"/>
              <w:rPr>
                <w:rFonts w:ascii="Calibri" w:hAnsi="Calibri" w:cs="Calibri"/>
                <w:b/>
                <w:bCs/>
                <w:color w:val="000000"/>
                <w:sz w:val="20"/>
                <w:szCs w:val="20"/>
              </w:rPr>
            </w:pPr>
            <w:r w:rsidRPr="006A6118">
              <w:rPr>
                <w:rFonts w:ascii="Calibri" w:hAnsi="Calibri" w:cs="Calibri"/>
                <w:b/>
                <w:bCs/>
                <w:color w:val="000000"/>
                <w:sz w:val="20"/>
                <w:szCs w:val="20"/>
              </w:rPr>
              <w:t>County</w:t>
            </w:r>
          </w:p>
        </w:tc>
        <w:tc>
          <w:tcPr>
            <w:tcW w:w="29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6118" w:rsidRPr="006A6118" w:rsidRDefault="006A6118">
            <w:pPr>
              <w:jc w:val="center"/>
              <w:rPr>
                <w:rFonts w:ascii="Calibri" w:hAnsi="Calibri" w:cs="Calibri"/>
                <w:b/>
                <w:bCs/>
                <w:color w:val="000000"/>
                <w:sz w:val="20"/>
                <w:szCs w:val="20"/>
              </w:rPr>
            </w:pPr>
            <w:r w:rsidRPr="006A6118">
              <w:rPr>
                <w:rFonts w:ascii="Calibri" w:hAnsi="Calibri" w:cs="Calibri"/>
                <w:b/>
                <w:bCs/>
                <w:color w:val="000000"/>
                <w:sz w:val="20"/>
                <w:szCs w:val="20"/>
              </w:rPr>
              <w:t>Unemployment Rate</w:t>
            </w:r>
          </w:p>
        </w:tc>
      </w:tr>
      <w:tr w:rsidR="006A6118" w:rsidRPr="006A6118" w:rsidTr="00FE705F">
        <w:trPr>
          <w:trHeight w:val="20"/>
          <w:jc w:val="center"/>
        </w:trPr>
        <w:tc>
          <w:tcPr>
            <w:tcW w:w="1989" w:type="dxa"/>
            <w:vMerge/>
            <w:tcBorders>
              <w:top w:val="nil"/>
              <w:left w:val="single" w:sz="4" w:space="0" w:color="auto"/>
              <w:bottom w:val="single" w:sz="4" w:space="0" w:color="000000"/>
              <w:right w:val="single" w:sz="4" w:space="0" w:color="auto"/>
            </w:tcBorders>
            <w:vAlign w:val="center"/>
            <w:hideMark/>
          </w:tcPr>
          <w:p w:rsidR="006A6118" w:rsidRPr="006A6118" w:rsidRDefault="006A6118">
            <w:pPr>
              <w:rPr>
                <w:rFonts w:ascii="Calibri" w:hAnsi="Calibri" w:cs="Calibri"/>
                <w:b/>
                <w:bCs/>
                <w:color w:val="000000"/>
                <w:sz w:val="20"/>
                <w:szCs w:val="20"/>
              </w:rPr>
            </w:pPr>
          </w:p>
        </w:tc>
        <w:tc>
          <w:tcPr>
            <w:tcW w:w="1149" w:type="dxa"/>
            <w:tcBorders>
              <w:top w:val="nil"/>
              <w:left w:val="nil"/>
              <w:bottom w:val="single" w:sz="4" w:space="0" w:color="auto"/>
              <w:right w:val="single" w:sz="4" w:space="0" w:color="auto"/>
            </w:tcBorders>
            <w:shd w:val="clear" w:color="auto" w:fill="auto"/>
            <w:noWrap/>
            <w:vAlign w:val="bottom"/>
            <w:hideMark/>
          </w:tcPr>
          <w:p w:rsidR="006A6118" w:rsidRPr="006A6118" w:rsidRDefault="006A6118">
            <w:pPr>
              <w:jc w:val="center"/>
              <w:rPr>
                <w:rFonts w:ascii="Calibri" w:hAnsi="Calibri" w:cs="Calibri"/>
                <w:b/>
                <w:bCs/>
                <w:color w:val="000000"/>
                <w:sz w:val="20"/>
                <w:szCs w:val="20"/>
              </w:rPr>
            </w:pPr>
            <w:r w:rsidRPr="006A6118">
              <w:rPr>
                <w:rFonts w:ascii="Calibri" w:hAnsi="Calibri" w:cs="Calibri"/>
                <w:b/>
                <w:bCs/>
                <w:color w:val="000000"/>
                <w:sz w:val="20"/>
                <w:szCs w:val="20"/>
              </w:rPr>
              <w:t>Veteran</w:t>
            </w:r>
          </w:p>
        </w:tc>
        <w:tc>
          <w:tcPr>
            <w:tcW w:w="1842" w:type="dxa"/>
            <w:tcBorders>
              <w:top w:val="nil"/>
              <w:left w:val="nil"/>
              <w:bottom w:val="single" w:sz="4" w:space="0" w:color="auto"/>
              <w:right w:val="single" w:sz="4" w:space="0" w:color="auto"/>
            </w:tcBorders>
            <w:shd w:val="clear" w:color="auto" w:fill="auto"/>
            <w:noWrap/>
            <w:vAlign w:val="bottom"/>
            <w:hideMark/>
          </w:tcPr>
          <w:p w:rsidR="006A6118" w:rsidRPr="006A6118" w:rsidRDefault="006A6118">
            <w:pPr>
              <w:jc w:val="center"/>
              <w:rPr>
                <w:rFonts w:ascii="Calibri" w:hAnsi="Calibri" w:cs="Calibri"/>
                <w:b/>
                <w:bCs/>
                <w:color w:val="000000"/>
                <w:sz w:val="20"/>
                <w:szCs w:val="20"/>
              </w:rPr>
            </w:pPr>
            <w:r w:rsidRPr="006A6118">
              <w:rPr>
                <w:rFonts w:ascii="Calibri" w:hAnsi="Calibri" w:cs="Calibri"/>
                <w:b/>
                <w:bCs/>
                <w:color w:val="000000"/>
                <w:sz w:val="20"/>
                <w:szCs w:val="20"/>
              </w:rPr>
              <w:t>Nonveteran</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Androscoggin</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10.7%</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10.1%</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Lincoln</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9.8%</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6.2%</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Somerset</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9.4%</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9.3%</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Waldo</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8.8%</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9.4%</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Oxford</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8.6%</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10.0%</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Knox</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8.3%</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4.5%</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York</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7.6%</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7.8%</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Penobscot</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6.9%</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7.9%</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Washington</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6.9%</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12.2%</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Kennebec</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6.8%</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8.2%</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Cumberland</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6.2%</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6.1%</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Aroostook</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6.0%</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7.4%</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Hancock</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5.1%</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7.6%</w:t>
            </w:r>
          </w:p>
        </w:tc>
      </w:tr>
      <w:tr w:rsidR="006A6118" w:rsidRPr="006A6118" w:rsidTr="00FE705F">
        <w:trPr>
          <w:trHeight w:val="20"/>
          <w:jc w:val="center"/>
        </w:trPr>
        <w:tc>
          <w:tcPr>
            <w:tcW w:w="1989" w:type="dxa"/>
            <w:tcBorders>
              <w:top w:val="nil"/>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Sagadahoc</w:t>
            </w:r>
          </w:p>
        </w:tc>
        <w:tc>
          <w:tcPr>
            <w:tcW w:w="1149" w:type="dxa"/>
            <w:tcBorders>
              <w:top w:val="nil"/>
              <w:left w:val="single" w:sz="4" w:space="0" w:color="auto"/>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4.4%</w:t>
            </w:r>
          </w:p>
        </w:tc>
        <w:tc>
          <w:tcPr>
            <w:tcW w:w="1842" w:type="dxa"/>
            <w:tcBorders>
              <w:top w:val="nil"/>
              <w:left w:val="nil"/>
              <w:bottom w:val="nil"/>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5.8%</w:t>
            </w:r>
          </w:p>
        </w:tc>
      </w:tr>
      <w:tr w:rsidR="006A6118" w:rsidRPr="006A6118" w:rsidTr="00FE705F">
        <w:trPr>
          <w:trHeight w:val="20"/>
          <w:jc w:val="center"/>
        </w:trPr>
        <w:tc>
          <w:tcPr>
            <w:tcW w:w="1989" w:type="dxa"/>
            <w:tcBorders>
              <w:top w:val="nil"/>
              <w:left w:val="single" w:sz="4" w:space="0" w:color="auto"/>
              <w:bottom w:val="single" w:sz="4" w:space="0" w:color="auto"/>
              <w:right w:val="nil"/>
            </w:tcBorders>
            <w:shd w:val="clear" w:color="auto" w:fill="auto"/>
            <w:noWrap/>
            <w:vAlign w:val="bottom"/>
            <w:hideMark/>
          </w:tcPr>
          <w:p w:rsidR="006A6118" w:rsidRPr="006A6118" w:rsidRDefault="006A6118">
            <w:pPr>
              <w:rPr>
                <w:rFonts w:ascii="Calibri" w:hAnsi="Calibri" w:cs="Calibri"/>
                <w:color w:val="000000"/>
                <w:sz w:val="20"/>
                <w:szCs w:val="20"/>
              </w:rPr>
            </w:pPr>
            <w:r w:rsidRPr="006A6118">
              <w:rPr>
                <w:rFonts w:ascii="Calibri" w:hAnsi="Calibri" w:cs="Calibri"/>
                <w:color w:val="000000"/>
                <w:sz w:val="20"/>
                <w:szCs w:val="20"/>
              </w:rPr>
              <w:t>Franklin</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3.5%</w:t>
            </w:r>
          </w:p>
        </w:tc>
        <w:tc>
          <w:tcPr>
            <w:tcW w:w="1842" w:type="dxa"/>
            <w:tcBorders>
              <w:top w:val="nil"/>
              <w:left w:val="nil"/>
              <w:bottom w:val="single" w:sz="4" w:space="0" w:color="auto"/>
              <w:right w:val="single" w:sz="4" w:space="0" w:color="auto"/>
            </w:tcBorders>
            <w:shd w:val="clear" w:color="auto" w:fill="auto"/>
            <w:noWrap/>
            <w:vAlign w:val="bottom"/>
            <w:hideMark/>
          </w:tcPr>
          <w:p w:rsidR="006A6118" w:rsidRPr="006A6118" w:rsidRDefault="006A6118">
            <w:pPr>
              <w:jc w:val="center"/>
              <w:rPr>
                <w:rFonts w:ascii="Calibri" w:hAnsi="Calibri" w:cs="Calibri"/>
                <w:color w:val="000000"/>
                <w:sz w:val="20"/>
                <w:szCs w:val="20"/>
              </w:rPr>
            </w:pPr>
            <w:r w:rsidRPr="006A6118">
              <w:rPr>
                <w:rFonts w:ascii="Calibri" w:hAnsi="Calibri" w:cs="Calibri"/>
                <w:color w:val="000000"/>
                <w:sz w:val="20"/>
                <w:szCs w:val="20"/>
              </w:rPr>
              <w:t>9.4%</w:t>
            </w:r>
          </w:p>
        </w:tc>
      </w:tr>
      <w:tr w:rsidR="006A6118" w:rsidRPr="006A6118" w:rsidTr="00BD66AF">
        <w:trPr>
          <w:trHeight w:val="20"/>
          <w:jc w:val="center"/>
        </w:trPr>
        <w:tc>
          <w:tcPr>
            <w:tcW w:w="4980" w:type="dxa"/>
            <w:gridSpan w:val="3"/>
            <w:tcBorders>
              <w:top w:val="single" w:sz="4" w:space="0" w:color="auto"/>
              <w:left w:val="single" w:sz="4" w:space="0" w:color="auto"/>
              <w:bottom w:val="nil"/>
              <w:right w:val="nil"/>
            </w:tcBorders>
            <w:shd w:val="clear" w:color="auto" w:fill="auto"/>
            <w:noWrap/>
            <w:vAlign w:val="bottom"/>
            <w:hideMark/>
          </w:tcPr>
          <w:p w:rsidR="006A6118" w:rsidRPr="006A6118" w:rsidRDefault="006A6118">
            <w:pPr>
              <w:rPr>
                <w:rFonts w:ascii="Calibri" w:hAnsi="Calibri" w:cs="Calibri"/>
                <w:color w:val="000000"/>
                <w:sz w:val="16"/>
                <w:szCs w:val="16"/>
              </w:rPr>
            </w:pPr>
            <w:r w:rsidRPr="006A6118">
              <w:rPr>
                <w:rFonts w:ascii="Calibri" w:hAnsi="Calibri" w:cs="Calibri"/>
                <w:color w:val="000000"/>
                <w:sz w:val="16"/>
                <w:szCs w:val="16"/>
              </w:rPr>
              <w:t>Source: American Community Survey, 2009-2011.</w:t>
            </w:r>
          </w:p>
        </w:tc>
      </w:tr>
    </w:tbl>
    <w:p w:rsidR="00FA21E7" w:rsidRDefault="007C44A7" w:rsidP="009805C6">
      <w:pPr>
        <w:pStyle w:val="Heading3"/>
      </w:pPr>
      <w:r>
        <w:t>Disability</w:t>
      </w:r>
    </w:p>
    <w:p w:rsidR="00877DC0" w:rsidRDefault="00877DC0" w:rsidP="00C65834">
      <w:pPr>
        <w:pStyle w:val="BodyText"/>
      </w:pPr>
      <w:r>
        <w:t>Vet</w:t>
      </w:r>
      <w:r w:rsidR="007C44A7">
        <w:t xml:space="preserve">erans were more likely to </w:t>
      </w:r>
      <w:r w:rsidR="00FF5564">
        <w:t>have a</w:t>
      </w:r>
      <w:r w:rsidR="007C44A7">
        <w:t xml:space="preserve"> disab</w:t>
      </w:r>
      <w:r w:rsidR="00FF5564">
        <w:t>ility</w:t>
      </w:r>
      <w:r w:rsidR="00301B47">
        <w:t xml:space="preserve"> (any disability)</w:t>
      </w:r>
      <w:r w:rsidR="007C44A7">
        <w:t xml:space="preserve"> </w:t>
      </w:r>
      <w:r w:rsidR="00C34A0E">
        <w:t xml:space="preserve">as a group </w:t>
      </w:r>
      <w:r w:rsidR="007C44A7">
        <w:t xml:space="preserve">than nonveterans. </w:t>
      </w:r>
      <w:r>
        <w:t xml:space="preserve">Two factors account for this: (1) veterans are more likely to </w:t>
      </w:r>
      <w:r w:rsidR="00FF5564">
        <w:t>have a</w:t>
      </w:r>
      <w:r>
        <w:t xml:space="preserve"> disab</w:t>
      </w:r>
      <w:r w:rsidR="00FF5564">
        <w:t>ility</w:t>
      </w:r>
      <w:r w:rsidR="002572CA">
        <w:t xml:space="preserve"> in each age group</w:t>
      </w:r>
      <w:r>
        <w:t xml:space="preserve"> and (2) the</w:t>
      </w:r>
      <w:r w:rsidR="00EF14CF">
        <w:t xml:space="preserve"> age distribution of the two populations, with veterans being older on average.</w:t>
      </w:r>
    </w:p>
    <w:p w:rsidR="00295C1D" w:rsidRDefault="00882A0B" w:rsidP="003777A0">
      <w:pPr>
        <w:pStyle w:val="BodyText"/>
        <w:spacing w:after="480"/>
        <w:jc w:val="center"/>
      </w:pPr>
      <w:r>
        <w:rPr>
          <w:noProof/>
        </w:rPr>
        <w:drawing>
          <wp:inline distT="0" distB="0" distL="0" distR="0">
            <wp:extent cx="4581525" cy="2743200"/>
            <wp:effectExtent l="0" t="0" r="9525" b="0"/>
            <wp:docPr id="7" name="Picture 7" descr="Percent of Maine population with any disability, three-year averages (2009-2011)&#10;&#10;Percent of population by age for veterans and nonveterans&#10;&#10;Nonveterans&#10;18-34 - 8.5%&#10;35-54 - 12.4%&#10;55-64 - 18.4%&#10;65 and over - 39.3%&#10;Total - 17.0%&#10;&#10;Veterans&#10;18-34 - 13.6%&#10;35-54 - 15.0%&#10;55-64 - 29.9%&#10;65 and over - 44.6%&#10;Total - 31.2%" title="Veterans have a higher rate of disability than nonveterans in Maine, 2009-2011 ave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7647AB" w:rsidRDefault="007C44A7" w:rsidP="003777A0">
      <w:pPr>
        <w:pStyle w:val="BodyText"/>
      </w:pPr>
      <w:r>
        <w:lastRenderedPageBreak/>
        <w:t>All counties had a veteran disability rate of at least 2</w:t>
      </w:r>
      <w:r w:rsidR="007647AB">
        <w:t>4</w:t>
      </w:r>
      <w:r>
        <w:t xml:space="preserve"> percent, with the highest rate in</w:t>
      </w:r>
      <w:r w:rsidR="007647AB">
        <w:t xml:space="preserve"> Somerset County</w:t>
      </w:r>
      <w:r w:rsidR="00F233D0">
        <w:t xml:space="preserve"> (36.1 percent).</w:t>
      </w:r>
    </w:p>
    <w:tbl>
      <w:tblPr>
        <w:tblW w:w="4480" w:type="dxa"/>
        <w:jc w:val="center"/>
        <w:tblInd w:w="93" w:type="dxa"/>
        <w:tblLook w:val="04A0" w:firstRow="1" w:lastRow="0" w:firstColumn="1" w:lastColumn="0" w:noHBand="0" w:noVBand="1"/>
      </w:tblPr>
      <w:tblGrid>
        <w:gridCol w:w="1789"/>
        <w:gridCol w:w="1091"/>
        <w:gridCol w:w="1600"/>
      </w:tblGrid>
      <w:tr w:rsidR="007647AB" w:rsidRPr="00925BC6" w:rsidTr="00BD66AF">
        <w:trPr>
          <w:trHeight w:val="20"/>
          <w:jc w:val="center"/>
        </w:trPr>
        <w:tc>
          <w:tcPr>
            <w:tcW w:w="44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647AB" w:rsidRPr="00925BC6" w:rsidRDefault="007647AB">
            <w:pPr>
              <w:jc w:val="center"/>
              <w:rPr>
                <w:rFonts w:ascii="Calibri" w:hAnsi="Calibri" w:cs="Calibri"/>
                <w:b/>
                <w:bCs/>
                <w:color w:val="000000"/>
                <w:sz w:val="20"/>
                <w:szCs w:val="20"/>
              </w:rPr>
            </w:pPr>
            <w:r w:rsidRPr="00925BC6">
              <w:rPr>
                <w:rFonts w:ascii="Calibri" w:hAnsi="Calibri" w:cs="Calibri"/>
                <w:b/>
                <w:bCs/>
                <w:color w:val="000000"/>
                <w:sz w:val="20"/>
                <w:szCs w:val="20"/>
              </w:rPr>
              <w:t xml:space="preserve">Percent of Population With Any Disability </w:t>
            </w:r>
          </w:p>
        </w:tc>
      </w:tr>
      <w:tr w:rsidR="007647AB" w:rsidRPr="00925BC6" w:rsidTr="00BD66AF">
        <w:trPr>
          <w:trHeight w:val="20"/>
          <w:jc w:val="center"/>
        </w:trPr>
        <w:tc>
          <w:tcPr>
            <w:tcW w:w="4480" w:type="dxa"/>
            <w:gridSpan w:val="3"/>
            <w:tcBorders>
              <w:top w:val="nil"/>
              <w:left w:val="single" w:sz="4" w:space="0" w:color="auto"/>
              <w:bottom w:val="nil"/>
              <w:right w:val="single" w:sz="4" w:space="0" w:color="000000"/>
            </w:tcBorders>
            <w:shd w:val="clear" w:color="auto" w:fill="auto"/>
            <w:noWrap/>
            <w:vAlign w:val="bottom"/>
            <w:hideMark/>
          </w:tcPr>
          <w:p w:rsidR="007647AB" w:rsidRPr="00925BC6" w:rsidRDefault="007647AB">
            <w:pPr>
              <w:jc w:val="center"/>
              <w:rPr>
                <w:rFonts w:ascii="Calibri" w:hAnsi="Calibri" w:cs="Calibri"/>
                <w:b/>
                <w:bCs/>
                <w:color w:val="000000"/>
                <w:sz w:val="20"/>
                <w:szCs w:val="20"/>
              </w:rPr>
            </w:pPr>
            <w:r w:rsidRPr="00925BC6">
              <w:rPr>
                <w:rFonts w:ascii="Calibri" w:hAnsi="Calibri" w:cs="Calibri"/>
                <w:b/>
                <w:bCs/>
                <w:color w:val="000000"/>
                <w:sz w:val="20"/>
                <w:szCs w:val="20"/>
              </w:rPr>
              <w:t>by Maine County, 2009-2011 Averages</w:t>
            </w:r>
          </w:p>
        </w:tc>
      </w:tr>
      <w:tr w:rsidR="007647AB" w:rsidRPr="00925BC6" w:rsidTr="00BD66AF">
        <w:trPr>
          <w:trHeight w:val="20"/>
          <w:jc w:val="center"/>
        </w:trPr>
        <w:tc>
          <w:tcPr>
            <w:tcW w:w="44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7647AB" w:rsidRPr="00925BC6" w:rsidRDefault="007647AB">
            <w:pPr>
              <w:jc w:val="center"/>
              <w:rPr>
                <w:rFonts w:ascii="Calibri" w:hAnsi="Calibri" w:cs="Calibri"/>
                <w:b/>
                <w:bCs/>
                <w:color w:val="000000"/>
                <w:sz w:val="20"/>
                <w:szCs w:val="20"/>
              </w:rPr>
            </w:pPr>
            <w:r w:rsidRPr="00925BC6">
              <w:rPr>
                <w:rFonts w:ascii="Calibri" w:hAnsi="Calibri" w:cs="Calibri"/>
                <w:b/>
                <w:bCs/>
                <w:color w:val="000000"/>
                <w:sz w:val="20"/>
                <w:szCs w:val="20"/>
              </w:rPr>
              <w:t>(age 18 and over)</w:t>
            </w:r>
          </w:p>
        </w:tc>
      </w:tr>
      <w:tr w:rsidR="007647AB" w:rsidRPr="00925BC6" w:rsidTr="00BD66AF">
        <w:trPr>
          <w:trHeight w:val="20"/>
          <w:jc w:val="center"/>
        </w:trPr>
        <w:tc>
          <w:tcPr>
            <w:tcW w:w="1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47AB" w:rsidRPr="00925BC6" w:rsidRDefault="007647AB">
            <w:pPr>
              <w:jc w:val="center"/>
              <w:rPr>
                <w:rFonts w:ascii="Calibri" w:hAnsi="Calibri" w:cs="Calibri"/>
                <w:b/>
                <w:bCs/>
                <w:color w:val="000000"/>
                <w:sz w:val="20"/>
                <w:szCs w:val="20"/>
              </w:rPr>
            </w:pPr>
            <w:r w:rsidRPr="00925BC6">
              <w:rPr>
                <w:rFonts w:ascii="Calibri" w:hAnsi="Calibri" w:cs="Calibri"/>
                <w:b/>
                <w:bCs/>
                <w:color w:val="000000"/>
                <w:sz w:val="20"/>
                <w:szCs w:val="20"/>
              </w:rPr>
              <w:t>County</w:t>
            </w:r>
          </w:p>
        </w:tc>
        <w:tc>
          <w:tcPr>
            <w:tcW w:w="26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AB" w:rsidRPr="00925BC6" w:rsidRDefault="007647AB">
            <w:pPr>
              <w:jc w:val="center"/>
              <w:rPr>
                <w:rFonts w:ascii="Calibri" w:hAnsi="Calibri" w:cs="Calibri"/>
                <w:b/>
                <w:bCs/>
                <w:color w:val="000000"/>
                <w:sz w:val="20"/>
                <w:szCs w:val="20"/>
              </w:rPr>
            </w:pPr>
            <w:r w:rsidRPr="00925BC6">
              <w:rPr>
                <w:rFonts w:ascii="Calibri" w:hAnsi="Calibri" w:cs="Calibri"/>
                <w:b/>
                <w:bCs/>
                <w:color w:val="000000"/>
                <w:sz w:val="20"/>
                <w:szCs w:val="20"/>
              </w:rPr>
              <w:t>Disability Rate</w:t>
            </w:r>
          </w:p>
        </w:tc>
      </w:tr>
      <w:tr w:rsidR="007647AB" w:rsidRPr="00925BC6" w:rsidTr="00BD66AF">
        <w:trPr>
          <w:trHeight w:val="20"/>
          <w:jc w:val="center"/>
        </w:trPr>
        <w:tc>
          <w:tcPr>
            <w:tcW w:w="1789" w:type="dxa"/>
            <w:vMerge/>
            <w:tcBorders>
              <w:top w:val="nil"/>
              <w:left w:val="single" w:sz="4" w:space="0" w:color="auto"/>
              <w:bottom w:val="single" w:sz="4" w:space="0" w:color="000000"/>
              <w:right w:val="single" w:sz="4" w:space="0" w:color="auto"/>
            </w:tcBorders>
            <w:vAlign w:val="center"/>
            <w:hideMark/>
          </w:tcPr>
          <w:p w:rsidR="007647AB" w:rsidRPr="00925BC6" w:rsidRDefault="007647AB">
            <w:pPr>
              <w:rPr>
                <w:rFonts w:ascii="Calibri" w:hAnsi="Calibri" w:cs="Calibri"/>
                <w:b/>
                <w:bCs/>
                <w:color w:val="000000"/>
                <w:sz w:val="20"/>
                <w:szCs w:val="20"/>
              </w:rPr>
            </w:pPr>
          </w:p>
        </w:tc>
        <w:tc>
          <w:tcPr>
            <w:tcW w:w="1091" w:type="dxa"/>
            <w:tcBorders>
              <w:top w:val="nil"/>
              <w:left w:val="nil"/>
              <w:bottom w:val="single" w:sz="4" w:space="0" w:color="auto"/>
              <w:right w:val="single" w:sz="4" w:space="0" w:color="auto"/>
            </w:tcBorders>
            <w:shd w:val="clear" w:color="auto" w:fill="auto"/>
            <w:noWrap/>
            <w:vAlign w:val="bottom"/>
            <w:hideMark/>
          </w:tcPr>
          <w:p w:rsidR="007647AB" w:rsidRPr="00925BC6" w:rsidRDefault="007647AB">
            <w:pPr>
              <w:jc w:val="center"/>
              <w:rPr>
                <w:rFonts w:ascii="Calibri" w:hAnsi="Calibri" w:cs="Calibri"/>
                <w:b/>
                <w:bCs/>
                <w:color w:val="000000"/>
                <w:sz w:val="20"/>
                <w:szCs w:val="20"/>
              </w:rPr>
            </w:pPr>
            <w:r w:rsidRPr="00925BC6">
              <w:rPr>
                <w:rFonts w:ascii="Calibri" w:hAnsi="Calibri" w:cs="Calibri"/>
                <w:b/>
                <w:bCs/>
                <w:color w:val="000000"/>
                <w:sz w:val="20"/>
                <w:szCs w:val="20"/>
              </w:rPr>
              <w:t>Veteran</w:t>
            </w:r>
          </w:p>
        </w:tc>
        <w:tc>
          <w:tcPr>
            <w:tcW w:w="1600" w:type="dxa"/>
            <w:tcBorders>
              <w:top w:val="nil"/>
              <w:left w:val="nil"/>
              <w:bottom w:val="single" w:sz="4" w:space="0" w:color="auto"/>
              <w:right w:val="single" w:sz="4" w:space="0" w:color="auto"/>
            </w:tcBorders>
            <w:shd w:val="clear" w:color="auto" w:fill="auto"/>
            <w:noWrap/>
            <w:vAlign w:val="bottom"/>
            <w:hideMark/>
          </w:tcPr>
          <w:p w:rsidR="007647AB" w:rsidRPr="00925BC6" w:rsidRDefault="007647AB">
            <w:pPr>
              <w:jc w:val="center"/>
              <w:rPr>
                <w:rFonts w:ascii="Calibri" w:hAnsi="Calibri" w:cs="Calibri"/>
                <w:b/>
                <w:bCs/>
                <w:color w:val="000000"/>
                <w:sz w:val="20"/>
                <w:szCs w:val="20"/>
              </w:rPr>
            </w:pPr>
            <w:r w:rsidRPr="00925BC6">
              <w:rPr>
                <w:rFonts w:ascii="Calibri" w:hAnsi="Calibri" w:cs="Calibri"/>
                <w:b/>
                <w:bCs/>
                <w:color w:val="000000"/>
                <w:sz w:val="20"/>
                <w:szCs w:val="20"/>
              </w:rPr>
              <w:t>Nonveteran</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Somerset</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36.1%</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19.9%</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Penobscot</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35.6%</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18.4%</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Oxford</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35.4%</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20.1%</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Lincoln</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33.7%</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15.3%</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Aroostook</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33.3%</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24.2%</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Hancock</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33.3%</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14.8%</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Waldo</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32.8%</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17.5%</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Washington</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32.6%</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23.7%</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Androscoggin</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31.7%</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17.1%</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Franklin</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30.4%</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17.2%</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Knox</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28.8%</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17.0%</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Kennebec</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27.7%</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17.0%</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Sagadahoc</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27.7%</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16.2%</w:t>
            </w:r>
          </w:p>
        </w:tc>
      </w:tr>
      <w:tr w:rsidR="007647AB" w:rsidRPr="00925BC6" w:rsidTr="00BD66AF">
        <w:trPr>
          <w:trHeight w:val="20"/>
          <w:jc w:val="center"/>
        </w:trPr>
        <w:tc>
          <w:tcPr>
            <w:tcW w:w="1789" w:type="dxa"/>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Cumberland</w:t>
            </w:r>
          </w:p>
        </w:tc>
        <w:tc>
          <w:tcPr>
            <w:tcW w:w="1091" w:type="dxa"/>
            <w:tcBorders>
              <w:top w:val="nil"/>
              <w:left w:val="single" w:sz="4" w:space="0" w:color="auto"/>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24.2%</w:t>
            </w:r>
          </w:p>
        </w:tc>
        <w:tc>
          <w:tcPr>
            <w:tcW w:w="1600" w:type="dxa"/>
            <w:tcBorders>
              <w:top w:val="nil"/>
              <w:left w:val="nil"/>
              <w:bottom w:val="nil"/>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12.5%</w:t>
            </w:r>
          </w:p>
        </w:tc>
      </w:tr>
      <w:tr w:rsidR="007647AB" w:rsidRPr="00925BC6" w:rsidTr="00BD66AF">
        <w:trPr>
          <w:trHeight w:val="20"/>
          <w:jc w:val="center"/>
        </w:trPr>
        <w:tc>
          <w:tcPr>
            <w:tcW w:w="1789" w:type="dxa"/>
            <w:tcBorders>
              <w:top w:val="nil"/>
              <w:left w:val="single" w:sz="4" w:space="0" w:color="auto"/>
              <w:bottom w:val="single" w:sz="4" w:space="0" w:color="auto"/>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20"/>
                <w:szCs w:val="20"/>
              </w:rPr>
              <w:t>York</w:t>
            </w: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24.2%</w:t>
            </w:r>
          </w:p>
        </w:tc>
        <w:tc>
          <w:tcPr>
            <w:tcW w:w="1600" w:type="dxa"/>
            <w:tcBorders>
              <w:top w:val="nil"/>
              <w:left w:val="nil"/>
              <w:bottom w:val="single" w:sz="4" w:space="0" w:color="auto"/>
              <w:right w:val="single" w:sz="4" w:space="0" w:color="auto"/>
            </w:tcBorders>
            <w:shd w:val="clear" w:color="auto" w:fill="auto"/>
            <w:noWrap/>
            <w:vAlign w:val="bottom"/>
            <w:hideMark/>
          </w:tcPr>
          <w:p w:rsidR="007647AB" w:rsidRPr="00925BC6" w:rsidRDefault="007647AB">
            <w:pPr>
              <w:jc w:val="center"/>
              <w:rPr>
                <w:rFonts w:ascii="Calibri" w:hAnsi="Calibri" w:cs="Calibri"/>
                <w:color w:val="000000"/>
                <w:sz w:val="20"/>
                <w:szCs w:val="20"/>
              </w:rPr>
            </w:pPr>
            <w:r w:rsidRPr="00925BC6">
              <w:rPr>
                <w:rFonts w:ascii="Calibri" w:hAnsi="Calibri" w:cs="Calibri"/>
                <w:color w:val="000000"/>
                <w:sz w:val="20"/>
                <w:szCs w:val="20"/>
              </w:rPr>
              <w:t>13.9%</w:t>
            </w:r>
          </w:p>
        </w:tc>
      </w:tr>
      <w:tr w:rsidR="007647AB" w:rsidRPr="00925BC6" w:rsidTr="00BD66AF">
        <w:trPr>
          <w:trHeight w:val="20"/>
          <w:jc w:val="center"/>
        </w:trPr>
        <w:tc>
          <w:tcPr>
            <w:tcW w:w="4480" w:type="dxa"/>
            <w:gridSpan w:val="3"/>
            <w:tcBorders>
              <w:top w:val="nil"/>
              <w:left w:val="single" w:sz="4" w:space="0" w:color="auto"/>
              <w:bottom w:val="nil"/>
              <w:right w:val="nil"/>
            </w:tcBorders>
            <w:shd w:val="clear" w:color="auto" w:fill="auto"/>
            <w:noWrap/>
            <w:vAlign w:val="bottom"/>
            <w:hideMark/>
          </w:tcPr>
          <w:p w:rsidR="007647AB" w:rsidRPr="00925BC6" w:rsidRDefault="007647AB">
            <w:pPr>
              <w:rPr>
                <w:rFonts w:ascii="Calibri" w:hAnsi="Calibri" w:cs="Calibri"/>
                <w:color w:val="000000"/>
                <w:sz w:val="20"/>
                <w:szCs w:val="20"/>
              </w:rPr>
            </w:pPr>
            <w:r w:rsidRPr="00925BC6">
              <w:rPr>
                <w:rFonts w:ascii="Calibri" w:hAnsi="Calibri" w:cs="Calibri"/>
                <w:color w:val="000000"/>
                <w:sz w:val="16"/>
                <w:szCs w:val="16"/>
              </w:rPr>
              <w:t>Source: American Community Survey, 2009-2011</w:t>
            </w:r>
            <w:r w:rsidRPr="00925BC6">
              <w:rPr>
                <w:rFonts w:ascii="Calibri" w:hAnsi="Calibri" w:cs="Calibri"/>
                <w:color w:val="000000"/>
                <w:sz w:val="20"/>
                <w:szCs w:val="20"/>
              </w:rPr>
              <w:t>.</w:t>
            </w:r>
          </w:p>
        </w:tc>
      </w:tr>
    </w:tbl>
    <w:p w:rsidR="007647AB" w:rsidRDefault="007647AB" w:rsidP="00663D5D">
      <w:pPr>
        <w:pStyle w:val="BodyText"/>
      </w:pPr>
    </w:p>
    <w:sectPr w:rsidR="007647AB" w:rsidSect="009D3DE6">
      <w:headerReference w:type="default" r:id="rId17"/>
      <w:footerReference w:type="default" r:id="rId18"/>
      <w:footerReference w:type="first" r:id="rId19"/>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CB" w:rsidRDefault="000E7CCB">
      <w:r>
        <w:separator/>
      </w:r>
    </w:p>
  </w:endnote>
  <w:endnote w:type="continuationSeparator" w:id="0">
    <w:p w:rsidR="000E7CCB" w:rsidRDefault="000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ovarese Bk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1D" w:rsidRDefault="00295C1D">
    <w:pPr>
      <w:pStyle w:val="Footer"/>
      <w:jc w:val="center"/>
    </w:pPr>
    <w:r>
      <w:t xml:space="preserve">Page </w:t>
    </w:r>
    <w:r>
      <w:rPr>
        <w:b/>
      </w:rPr>
      <w:fldChar w:fldCharType="begin"/>
    </w:r>
    <w:r>
      <w:rPr>
        <w:b/>
      </w:rPr>
      <w:instrText xml:space="preserve"> PAGE </w:instrText>
    </w:r>
    <w:r>
      <w:rPr>
        <w:b/>
      </w:rPr>
      <w:fldChar w:fldCharType="separate"/>
    </w:r>
    <w:r w:rsidR="00E052EE">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E052EE">
      <w:rPr>
        <w:b/>
        <w:noProof/>
      </w:rPr>
      <w:t>7</w:t>
    </w:r>
    <w:r>
      <w:rPr>
        <w:b/>
      </w:rPr>
      <w:fldChar w:fldCharType="end"/>
    </w:r>
  </w:p>
  <w:p w:rsidR="00295C1D" w:rsidRPr="00716620" w:rsidRDefault="00295C1D" w:rsidP="0071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1D" w:rsidRPr="00CD5816" w:rsidRDefault="00295C1D">
    <w:pPr>
      <w:pStyle w:val="Footer"/>
      <w:jc w:val="center"/>
      <w:rPr>
        <w:sz w:val="20"/>
        <w:szCs w:val="20"/>
      </w:rPr>
    </w:pPr>
    <w:r w:rsidRPr="00CD5816">
      <w:rPr>
        <w:sz w:val="20"/>
        <w:szCs w:val="20"/>
      </w:rPr>
      <w:t xml:space="preserve">Page </w:t>
    </w:r>
    <w:r w:rsidRPr="00CD5816">
      <w:rPr>
        <w:b/>
        <w:sz w:val="20"/>
        <w:szCs w:val="20"/>
      </w:rPr>
      <w:fldChar w:fldCharType="begin"/>
    </w:r>
    <w:r w:rsidRPr="00CD5816">
      <w:rPr>
        <w:b/>
        <w:sz w:val="20"/>
        <w:szCs w:val="20"/>
      </w:rPr>
      <w:instrText xml:space="preserve"> PAGE </w:instrText>
    </w:r>
    <w:r w:rsidRPr="00CD5816">
      <w:rPr>
        <w:b/>
        <w:sz w:val="20"/>
        <w:szCs w:val="20"/>
      </w:rPr>
      <w:fldChar w:fldCharType="separate"/>
    </w:r>
    <w:r w:rsidR="00E052EE">
      <w:rPr>
        <w:b/>
        <w:noProof/>
        <w:sz w:val="20"/>
        <w:szCs w:val="20"/>
      </w:rPr>
      <w:t>1</w:t>
    </w:r>
    <w:r w:rsidRPr="00CD5816">
      <w:rPr>
        <w:b/>
        <w:sz w:val="20"/>
        <w:szCs w:val="20"/>
      </w:rPr>
      <w:fldChar w:fldCharType="end"/>
    </w:r>
    <w:r w:rsidRPr="00CD5816">
      <w:rPr>
        <w:sz w:val="20"/>
        <w:szCs w:val="20"/>
      </w:rPr>
      <w:t xml:space="preserve"> of </w:t>
    </w:r>
    <w:r w:rsidRPr="00CD5816">
      <w:rPr>
        <w:b/>
        <w:sz w:val="20"/>
        <w:szCs w:val="20"/>
      </w:rPr>
      <w:fldChar w:fldCharType="begin"/>
    </w:r>
    <w:r w:rsidRPr="00CD5816">
      <w:rPr>
        <w:b/>
        <w:sz w:val="20"/>
        <w:szCs w:val="20"/>
      </w:rPr>
      <w:instrText xml:space="preserve"> NUMPAGES  </w:instrText>
    </w:r>
    <w:r w:rsidRPr="00CD5816">
      <w:rPr>
        <w:b/>
        <w:sz w:val="20"/>
        <w:szCs w:val="20"/>
      </w:rPr>
      <w:fldChar w:fldCharType="separate"/>
    </w:r>
    <w:r w:rsidR="00E052EE">
      <w:rPr>
        <w:b/>
        <w:noProof/>
        <w:sz w:val="20"/>
        <w:szCs w:val="20"/>
      </w:rPr>
      <w:t>7</w:t>
    </w:r>
    <w:r w:rsidRPr="00CD5816">
      <w:rPr>
        <w:b/>
        <w:sz w:val="20"/>
        <w:szCs w:val="20"/>
      </w:rPr>
      <w:fldChar w:fldCharType="end"/>
    </w:r>
  </w:p>
  <w:p w:rsidR="00295C1D" w:rsidRDefault="0029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CB" w:rsidRDefault="000E7CCB">
      <w:r>
        <w:separator/>
      </w:r>
    </w:p>
  </w:footnote>
  <w:footnote w:type="continuationSeparator" w:id="0">
    <w:p w:rsidR="000E7CCB" w:rsidRDefault="000E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1D" w:rsidRDefault="00295C1D" w:rsidP="00D10ED0">
    <w:pPr>
      <w:pStyle w:val="Footer"/>
      <w:tabs>
        <w:tab w:val="clear" w:pos="4320"/>
        <w:tab w:val="clear" w:pos="8640"/>
        <w:tab w:val="left" w:pos="2880"/>
        <w:tab w:val="left" w:pos="5760"/>
        <w:tab w:val="right" w:pos="10260"/>
      </w:tabs>
      <w:rPr>
        <w:rFonts w:ascii="Novarese Bk BT" w:hAnsi="Novarese Bk BT"/>
        <w:sz w:val="20"/>
        <w:szCs w:val="20"/>
      </w:rPr>
    </w:pPr>
    <w:r w:rsidRPr="00797E78">
      <w:rPr>
        <w:rFonts w:ascii="Novarese Bk BT" w:hAnsi="Novarese Bk BT"/>
        <w:sz w:val="20"/>
        <w:szCs w:val="20"/>
      </w:rPr>
      <w:t>Phone (207) 623-7900</w:t>
    </w:r>
    <w:r w:rsidRPr="00797E78">
      <w:rPr>
        <w:rFonts w:ascii="Novarese Bk BT" w:hAnsi="Novarese Bk BT"/>
        <w:sz w:val="20"/>
        <w:szCs w:val="20"/>
      </w:rPr>
      <w:tab/>
      <w:t>TTY 1-800-794-1110</w:t>
    </w:r>
    <w:r w:rsidRPr="00797E78">
      <w:rPr>
        <w:rFonts w:ascii="Novarese Bk BT" w:hAnsi="Novarese Bk BT"/>
        <w:sz w:val="20"/>
        <w:szCs w:val="20"/>
      </w:rPr>
      <w:tab/>
      <w:t>FAX (207) 287-2947</w:t>
    </w:r>
    <w:r>
      <w:rPr>
        <w:rFonts w:ascii="Novarese Bk BT" w:hAnsi="Novarese Bk BT"/>
        <w:sz w:val="20"/>
        <w:szCs w:val="20"/>
      </w:rPr>
      <w:tab/>
    </w:r>
    <w:hyperlink r:id="rId1" w:history="1">
      <w:r w:rsidRPr="00C42C4F">
        <w:rPr>
          <w:rStyle w:val="Hyperlink"/>
          <w:rFonts w:ascii="Novarese Bk BT" w:hAnsi="Novarese Bk BT"/>
          <w:sz w:val="20"/>
          <w:szCs w:val="20"/>
        </w:rPr>
        <w:t>www.maine.gov/labor/cwri</w:t>
      </w:r>
    </w:hyperlink>
  </w:p>
  <w:p w:rsidR="00295C1D" w:rsidRDefault="00295C1D" w:rsidP="00AC16AD">
    <w:pPr>
      <w:pStyle w:val="Footer"/>
      <w:pBdr>
        <w:top w:val="single" w:sz="4" w:space="1" w:color="auto"/>
      </w:pBdr>
      <w:tabs>
        <w:tab w:val="clear" w:pos="4320"/>
        <w:tab w:val="clear" w:pos="8640"/>
        <w:tab w:val="left" w:pos="2880"/>
        <w:tab w:val="left" w:pos="57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C"/>
    <w:multiLevelType w:val="singleLevel"/>
    <w:tmpl w:val="5F0844FC"/>
    <w:lvl w:ilvl="0">
      <w:start w:val="1"/>
      <w:numFmt w:val="decimal"/>
      <w:lvlText w:val="%1."/>
      <w:lvlJc w:val="left"/>
      <w:pPr>
        <w:tabs>
          <w:tab w:val="num" w:pos="1800"/>
        </w:tabs>
        <w:ind w:left="1800" w:hanging="360"/>
      </w:pPr>
    </w:lvl>
  </w:abstractNum>
  <w:abstractNum w:abstractNumId="1">
    <w:nsid w:val="FFFFFF7D"/>
    <w:multiLevelType w:val="singleLevel"/>
    <w:tmpl w:val="9FD05F46"/>
    <w:lvl w:ilvl="0">
      <w:start w:val="1"/>
      <w:numFmt w:val="decimal"/>
      <w:lvlText w:val="%1."/>
      <w:lvlJc w:val="left"/>
      <w:pPr>
        <w:tabs>
          <w:tab w:val="num" w:pos="1440"/>
        </w:tabs>
        <w:ind w:left="1440" w:hanging="360"/>
      </w:pPr>
    </w:lvl>
  </w:abstractNum>
  <w:abstractNum w:abstractNumId="2">
    <w:nsid w:val="FFFFFF7E"/>
    <w:multiLevelType w:val="singleLevel"/>
    <w:tmpl w:val="CD6EA40A"/>
    <w:lvl w:ilvl="0">
      <w:start w:val="1"/>
      <w:numFmt w:val="decimal"/>
      <w:lvlText w:val="%1."/>
      <w:lvlJc w:val="left"/>
      <w:pPr>
        <w:tabs>
          <w:tab w:val="num" w:pos="1080"/>
        </w:tabs>
        <w:ind w:left="1080" w:hanging="360"/>
      </w:pPr>
    </w:lvl>
  </w:abstractNum>
  <w:abstractNum w:abstractNumId="3">
    <w:nsid w:val="FFFFFF7F"/>
    <w:multiLevelType w:val="singleLevel"/>
    <w:tmpl w:val="DB721D40"/>
    <w:lvl w:ilvl="0">
      <w:start w:val="1"/>
      <w:numFmt w:val="decimal"/>
      <w:lvlText w:val="%1."/>
      <w:lvlJc w:val="left"/>
      <w:pPr>
        <w:tabs>
          <w:tab w:val="num" w:pos="720"/>
        </w:tabs>
        <w:ind w:left="720" w:hanging="360"/>
      </w:pPr>
    </w:lvl>
  </w:abstractNum>
  <w:abstractNum w:abstractNumId="4">
    <w:nsid w:val="FFFFFF80"/>
    <w:multiLevelType w:val="singleLevel"/>
    <w:tmpl w:val="55947F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9CD9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62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3408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50CAAC"/>
    <w:lvl w:ilvl="0">
      <w:start w:val="1"/>
      <w:numFmt w:val="decimal"/>
      <w:lvlText w:val="%1."/>
      <w:lvlJc w:val="left"/>
      <w:pPr>
        <w:tabs>
          <w:tab w:val="num" w:pos="360"/>
        </w:tabs>
        <w:ind w:left="360" w:hanging="360"/>
      </w:pPr>
    </w:lvl>
  </w:abstractNum>
  <w:abstractNum w:abstractNumId="9">
    <w:nsid w:val="FFFFFF89"/>
    <w:multiLevelType w:val="singleLevel"/>
    <w:tmpl w:val="0596B4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037D2"/>
    <w:multiLevelType w:val="hybridMultilevel"/>
    <w:tmpl w:val="89D4F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660B30"/>
    <w:multiLevelType w:val="hybridMultilevel"/>
    <w:tmpl w:val="CE36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356BD6"/>
    <w:multiLevelType w:val="hybridMultilevel"/>
    <w:tmpl w:val="2EA6F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AC1DD4"/>
    <w:multiLevelType w:val="hybridMultilevel"/>
    <w:tmpl w:val="3202BD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4B1BE8"/>
    <w:multiLevelType w:val="hybridMultilevel"/>
    <w:tmpl w:val="7C9A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D4A89"/>
    <w:multiLevelType w:val="hybridMultilevel"/>
    <w:tmpl w:val="56625C98"/>
    <w:lvl w:ilvl="0" w:tplc="868C4904">
      <w:start w:val="1"/>
      <w:numFmt w:val="bullet"/>
      <w:lvlText w:val=""/>
      <w:lvlPicBulletId w:val="0"/>
      <w:lvlJc w:val="left"/>
      <w:pPr>
        <w:tabs>
          <w:tab w:val="num" w:pos="720"/>
        </w:tabs>
        <w:ind w:left="720" w:hanging="360"/>
      </w:pPr>
      <w:rPr>
        <w:rFonts w:ascii="Symbol" w:hAnsi="Symbol" w:hint="default"/>
      </w:rPr>
    </w:lvl>
    <w:lvl w:ilvl="1" w:tplc="7D1ADFC6" w:tentative="1">
      <w:start w:val="1"/>
      <w:numFmt w:val="bullet"/>
      <w:lvlText w:val=""/>
      <w:lvlJc w:val="left"/>
      <w:pPr>
        <w:tabs>
          <w:tab w:val="num" w:pos="1440"/>
        </w:tabs>
        <w:ind w:left="1440" w:hanging="360"/>
      </w:pPr>
      <w:rPr>
        <w:rFonts w:ascii="Symbol" w:hAnsi="Symbol" w:hint="default"/>
      </w:rPr>
    </w:lvl>
    <w:lvl w:ilvl="2" w:tplc="6338DA76" w:tentative="1">
      <w:start w:val="1"/>
      <w:numFmt w:val="bullet"/>
      <w:lvlText w:val=""/>
      <w:lvlJc w:val="left"/>
      <w:pPr>
        <w:tabs>
          <w:tab w:val="num" w:pos="2160"/>
        </w:tabs>
        <w:ind w:left="2160" w:hanging="360"/>
      </w:pPr>
      <w:rPr>
        <w:rFonts w:ascii="Symbol" w:hAnsi="Symbol" w:hint="default"/>
      </w:rPr>
    </w:lvl>
    <w:lvl w:ilvl="3" w:tplc="85C2F70A" w:tentative="1">
      <w:start w:val="1"/>
      <w:numFmt w:val="bullet"/>
      <w:lvlText w:val=""/>
      <w:lvlJc w:val="left"/>
      <w:pPr>
        <w:tabs>
          <w:tab w:val="num" w:pos="2880"/>
        </w:tabs>
        <w:ind w:left="2880" w:hanging="360"/>
      </w:pPr>
      <w:rPr>
        <w:rFonts w:ascii="Symbol" w:hAnsi="Symbol" w:hint="default"/>
      </w:rPr>
    </w:lvl>
    <w:lvl w:ilvl="4" w:tplc="C0F40B2C" w:tentative="1">
      <w:start w:val="1"/>
      <w:numFmt w:val="bullet"/>
      <w:lvlText w:val=""/>
      <w:lvlJc w:val="left"/>
      <w:pPr>
        <w:tabs>
          <w:tab w:val="num" w:pos="3600"/>
        </w:tabs>
        <w:ind w:left="3600" w:hanging="360"/>
      </w:pPr>
      <w:rPr>
        <w:rFonts w:ascii="Symbol" w:hAnsi="Symbol" w:hint="default"/>
      </w:rPr>
    </w:lvl>
    <w:lvl w:ilvl="5" w:tplc="05D05844" w:tentative="1">
      <w:start w:val="1"/>
      <w:numFmt w:val="bullet"/>
      <w:lvlText w:val=""/>
      <w:lvlJc w:val="left"/>
      <w:pPr>
        <w:tabs>
          <w:tab w:val="num" w:pos="4320"/>
        </w:tabs>
        <w:ind w:left="4320" w:hanging="360"/>
      </w:pPr>
      <w:rPr>
        <w:rFonts w:ascii="Symbol" w:hAnsi="Symbol" w:hint="default"/>
      </w:rPr>
    </w:lvl>
    <w:lvl w:ilvl="6" w:tplc="808E41D2" w:tentative="1">
      <w:start w:val="1"/>
      <w:numFmt w:val="bullet"/>
      <w:lvlText w:val=""/>
      <w:lvlJc w:val="left"/>
      <w:pPr>
        <w:tabs>
          <w:tab w:val="num" w:pos="5040"/>
        </w:tabs>
        <w:ind w:left="5040" w:hanging="360"/>
      </w:pPr>
      <w:rPr>
        <w:rFonts w:ascii="Symbol" w:hAnsi="Symbol" w:hint="default"/>
      </w:rPr>
    </w:lvl>
    <w:lvl w:ilvl="7" w:tplc="8490E856" w:tentative="1">
      <w:start w:val="1"/>
      <w:numFmt w:val="bullet"/>
      <w:lvlText w:val=""/>
      <w:lvlJc w:val="left"/>
      <w:pPr>
        <w:tabs>
          <w:tab w:val="num" w:pos="5760"/>
        </w:tabs>
        <w:ind w:left="5760" w:hanging="360"/>
      </w:pPr>
      <w:rPr>
        <w:rFonts w:ascii="Symbol" w:hAnsi="Symbol" w:hint="default"/>
      </w:rPr>
    </w:lvl>
    <w:lvl w:ilvl="8" w:tplc="DB028980" w:tentative="1">
      <w:start w:val="1"/>
      <w:numFmt w:val="bullet"/>
      <w:lvlText w:val=""/>
      <w:lvlJc w:val="left"/>
      <w:pPr>
        <w:tabs>
          <w:tab w:val="num" w:pos="6480"/>
        </w:tabs>
        <w:ind w:left="6480" w:hanging="360"/>
      </w:pPr>
      <w:rPr>
        <w:rFonts w:ascii="Symbol" w:hAnsi="Symbol" w:hint="default"/>
      </w:rPr>
    </w:lvl>
  </w:abstractNum>
  <w:abstractNum w:abstractNumId="16">
    <w:nsid w:val="58E04880"/>
    <w:multiLevelType w:val="hybridMultilevel"/>
    <w:tmpl w:val="5AE4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B92D4F"/>
    <w:multiLevelType w:val="hybridMultilevel"/>
    <w:tmpl w:val="E9C6C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35508F"/>
    <w:multiLevelType w:val="hybridMultilevel"/>
    <w:tmpl w:val="6E288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10"/>
  </w:num>
  <w:num w:numId="16">
    <w:abstractNumId w:val="13"/>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7C"/>
    <w:rsid w:val="0000092C"/>
    <w:rsid w:val="000016A0"/>
    <w:rsid w:val="000066F7"/>
    <w:rsid w:val="00012277"/>
    <w:rsid w:val="00012CDD"/>
    <w:rsid w:val="00013AC2"/>
    <w:rsid w:val="00013D60"/>
    <w:rsid w:val="00014133"/>
    <w:rsid w:val="00016E4F"/>
    <w:rsid w:val="00017350"/>
    <w:rsid w:val="00017490"/>
    <w:rsid w:val="000200A0"/>
    <w:rsid w:val="000269F5"/>
    <w:rsid w:val="000273E1"/>
    <w:rsid w:val="00031C2A"/>
    <w:rsid w:val="00034583"/>
    <w:rsid w:val="00035634"/>
    <w:rsid w:val="00037A81"/>
    <w:rsid w:val="00041317"/>
    <w:rsid w:val="00041DA2"/>
    <w:rsid w:val="000426A3"/>
    <w:rsid w:val="00042D36"/>
    <w:rsid w:val="000436DE"/>
    <w:rsid w:val="00044244"/>
    <w:rsid w:val="0004516E"/>
    <w:rsid w:val="00045BB2"/>
    <w:rsid w:val="00046B15"/>
    <w:rsid w:val="00050120"/>
    <w:rsid w:val="0005012A"/>
    <w:rsid w:val="000502BA"/>
    <w:rsid w:val="00051D59"/>
    <w:rsid w:val="00051DE0"/>
    <w:rsid w:val="000527F1"/>
    <w:rsid w:val="00053CB5"/>
    <w:rsid w:val="00054369"/>
    <w:rsid w:val="00054A31"/>
    <w:rsid w:val="00061A71"/>
    <w:rsid w:val="000627B5"/>
    <w:rsid w:val="00062BB8"/>
    <w:rsid w:val="00062E30"/>
    <w:rsid w:val="0006427C"/>
    <w:rsid w:val="000647CC"/>
    <w:rsid w:val="0006489D"/>
    <w:rsid w:val="000648C0"/>
    <w:rsid w:val="000679C3"/>
    <w:rsid w:val="00070EB3"/>
    <w:rsid w:val="0007122F"/>
    <w:rsid w:val="00072A73"/>
    <w:rsid w:val="000744A5"/>
    <w:rsid w:val="000760AE"/>
    <w:rsid w:val="000771FB"/>
    <w:rsid w:val="00077F06"/>
    <w:rsid w:val="00082427"/>
    <w:rsid w:val="00082A64"/>
    <w:rsid w:val="00090005"/>
    <w:rsid w:val="0009222D"/>
    <w:rsid w:val="000940FB"/>
    <w:rsid w:val="000947F4"/>
    <w:rsid w:val="00094E9D"/>
    <w:rsid w:val="000958D3"/>
    <w:rsid w:val="000A0FD4"/>
    <w:rsid w:val="000A359F"/>
    <w:rsid w:val="000A3CAB"/>
    <w:rsid w:val="000A5F8E"/>
    <w:rsid w:val="000B054F"/>
    <w:rsid w:val="000B12D9"/>
    <w:rsid w:val="000B2489"/>
    <w:rsid w:val="000B2670"/>
    <w:rsid w:val="000B283D"/>
    <w:rsid w:val="000B355D"/>
    <w:rsid w:val="000B5B73"/>
    <w:rsid w:val="000B5CB0"/>
    <w:rsid w:val="000B6557"/>
    <w:rsid w:val="000C013D"/>
    <w:rsid w:val="000C0735"/>
    <w:rsid w:val="000C0D32"/>
    <w:rsid w:val="000C1838"/>
    <w:rsid w:val="000C2D4D"/>
    <w:rsid w:val="000C3660"/>
    <w:rsid w:val="000C52E4"/>
    <w:rsid w:val="000C537F"/>
    <w:rsid w:val="000C6937"/>
    <w:rsid w:val="000C6ABB"/>
    <w:rsid w:val="000C7B4F"/>
    <w:rsid w:val="000C7D2F"/>
    <w:rsid w:val="000D3153"/>
    <w:rsid w:val="000D32D0"/>
    <w:rsid w:val="000D3CA2"/>
    <w:rsid w:val="000D47B6"/>
    <w:rsid w:val="000D48CF"/>
    <w:rsid w:val="000E0BD0"/>
    <w:rsid w:val="000E0C61"/>
    <w:rsid w:val="000E14CD"/>
    <w:rsid w:val="000E1A5C"/>
    <w:rsid w:val="000E24C9"/>
    <w:rsid w:val="000E409D"/>
    <w:rsid w:val="000E5BB3"/>
    <w:rsid w:val="000E6641"/>
    <w:rsid w:val="000E6FF9"/>
    <w:rsid w:val="000E7CCB"/>
    <w:rsid w:val="000F0CFF"/>
    <w:rsid w:val="000F107B"/>
    <w:rsid w:val="000F2DAE"/>
    <w:rsid w:val="000F3D23"/>
    <w:rsid w:val="000F602F"/>
    <w:rsid w:val="000F76E1"/>
    <w:rsid w:val="00100286"/>
    <w:rsid w:val="00100463"/>
    <w:rsid w:val="00104146"/>
    <w:rsid w:val="00105C99"/>
    <w:rsid w:val="00105E5B"/>
    <w:rsid w:val="00107153"/>
    <w:rsid w:val="001073B6"/>
    <w:rsid w:val="001079A8"/>
    <w:rsid w:val="00107FE3"/>
    <w:rsid w:val="001109B5"/>
    <w:rsid w:val="00113058"/>
    <w:rsid w:val="001145BC"/>
    <w:rsid w:val="00116DD0"/>
    <w:rsid w:val="001208C3"/>
    <w:rsid w:val="0012181C"/>
    <w:rsid w:val="00121852"/>
    <w:rsid w:val="00124B72"/>
    <w:rsid w:val="0012654A"/>
    <w:rsid w:val="00127443"/>
    <w:rsid w:val="00127447"/>
    <w:rsid w:val="00127877"/>
    <w:rsid w:val="0013442C"/>
    <w:rsid w:val="001347AB"/>
    <w:rsid w:val="00134E1D"/>
    <w:rsid w:val="00135333"/>
    <w:rsid w:val="001373BE"/>
    <w:rsid w:val="001376D2"/>
    <w:rsid w:val="001378A4"/>
    <w:rsid w:val="00140118"/>
    <w:rsid w:val="00142584"/>
    <w:rsid w:val="00143BF1"/>
    <w:rsid w:val="00143E43"/>
    <w:rsid w:val="00144040"/>
    <w:rsid w:val="001468DF"/>
    <w:rsid w:val="001509AE"/>
    <w:rsid w:val="00151A82"/>
    <w:rsid w:val="00154238"/>
    <w:rsid w:val="00154905"/>
    <w:rsid w:val="00155068"/>
    <w:rsid w:val="00155123"/>
    <w:rsid w:val="001558E9"/>
    <w:rsid w:val="00156AA3"/>
    <w:rsid w:val="001609C5"/>
    <w:rsid w:val="00160E3A"/>
    <w:rsid w:val="001618FF"/>
    <w:rsid w:val="001626A3"/>
    <w:rsid w:val="00162EB1"/>
    <w:rsid w:val="00163E9A"/>
    <w:rsid w:val="001651A3"/>
    <w:rsid w:val="00165D77"/>
    <w:rsid w:val="00165E4F"/>
    <w:rsid w:val="00165FCF"/>
    <w:rsid w:val="0016693A"/>
    <w:rsid w:val="001716D9"/>
    <w:rsid w:val="00174BC2"/>
    <w:rsid w:val="00174D27"/>
    <w:rsid w:val="00175E7D"/>
    <w:rsid w:val="00176E06"/>
    <w:rsid w:val="001778EA"/>
    <w:rsid w:val="00177CE9"/>
    <w:rsid w:val="001825F1"/>
    <w:rsid w:val="0018274F"/>
    <w:rsid w:val="00184B52"/>
    <w:rsid w:val="00186509"/>
    <w:rsid w:val="00186DCB"/>
    <w:rsid w:val="001906B8"/>
    <w:rsid w:val="00190E77"/>
    <w:rsid w:val="0019477E"/>
    <w:rsid w:val="00195337"/>
    <w:rsid w:val="00196387"/>
    <w:rsid w:val="001978EB"/>
    <w:rsid w:val="00197C4F"/>
    <w:rsid w:val="00197FEB"/>
    <w:rsid w:val="001A0829"/>
    <w:rsid w:val="001A0852"/>
    <w:rsid w:val="001A08D4"/>
    <w:rsid w:val="001A1A41"/>
    <w:rsid w:val="001A28DD"/>
    <w:rsid w:val="001A47C8"/>
    <w:rsid w:val="001A53CB"/>
    <w:rsid w:val="001A5895"/>
    <w:rsid w:val="001B296F"/>
    <w:rsid w:val="001B2E1C"/>
    <w:rsid w:val="001B388F"/>
    <w:rsid w:val="001B4EC7"/>
    <w:rsid w:val="001B5A1E"/>
    <w:rsid w:val="001B697C"/>
    <w:rsid w:val="001B7EB3"/>
    <w:rsid w:val="001C031A"/>
    <w:rsid w:val="001C0B8A"/>
    <w:rsid w:val="001C0BF1"/>
    <w:rsid w:val="001C0FF5"/>
    <w:rsid w:val="001C14A4"/>
    <w:rsid w:val="001C14B5"/>
    <w:rsid w:val="001C213D"/>
    <w:rsid w:val="001D01A8"/>
    <w:rsid w:val="001D236D"/>
    <w:rsid w:val="001D4C3A"/>
    <w:rsid w:val="001D5720"/>
    <w:rsid w:val="001E0AE9"/>
    <w:rsid w:val="001E0F18"/>
    <w:rsid w:val="001E0F1C"/>
    <w:rsid w:val="001E2595"/>
    <w:rsid w:val="001E28B3"/>
    <w:rsid w:val="001E324A"/>
    <w:rsid w:val="001E33F6"/>
    <w:rsid w:val="001E34D2"/>
    <w:rsid w:val="001E3D8A"/>
    <w:rsid w:val="001E4CE8"/>
    <w:rsid w:val="001E5CC6"/>
    <w:rsid w:val="001E6513"/>
    <w:rsid w:val="001E6B31"/>
    <w:rsid w:val="001E7CA6"/>
    <w:rsid w:val="001F23C6"/>
    <w:rsid w:val="001F2BFC"/>
    <w:rsid w:val="001F4A6A"/>
    <w:rsid w:val="001F5960"/>
    <w:rsid w:val="002014E0"/>
    <w:rsid w:val="002045FA"/>
    <w:rsid w:val="002069E2"/>
    <w:rsid w:val="0021063F"/>
    <w:rsid w:val="00211BDD"/>
    <w:rsid w:val="002121AF"/>
    <w:rsid w:val="00212532"/>
    <w:rsid w:val="00212F16"/>
    <w:rsid w:val="0021508B"/>
    <w:rsid w:val="002150FD"/>
    <w:rsid w:val="00215C12"/>
    <w:rsid w:val="00217D72"/>
    <w:rsid w:val="0022042C"/>
    <w:rsid w:val="00220971"/>
    <w:rsid w:val="00220FBC"/>
    <w:rsid w:val="00221DB3"/>
    <w:rsid w:val="002233D7"/>
    <w:rsid w:val="0022725D"/>
    <w:rsid w:val="00227CA5"/>
    <w:rsid w:val="0023000F"/>
    <w:rsid w:val="002307B7"/>
    <w:rsid w:val="0023090D"/>
    <w:rsid w:val="00230E2B"/>
    <w:rsid w:val="002314AA"/>
    <w:rsid w:val="00231920"/>
    <w:rsid w:val="00231BED"/>
    <w:rsid w:val="00232D93"/>
    <w:rsid w:val="00233799"/>
    <w:rsid w:val="00235B2F"/>
    <w:rsid w:val="00237436"/>
    <w:rsid w:val="00240372"/>
    <w:rsid w:val="00241676"/>
    <w:rsid w:val="0024215B"/>
    <w:rsid w:val="00242A7A"/>
    <w:rsid w:val="00242D14"/>
    <w:rsid w:val="00244019"/>
    <w:rsid w:val="002501DC"/>
    <w:rsid w:val="00250470"/>
    <w:rsid w:val="00250CF9"/>
    <w:rsid w:val="002523BD"/>
    <w:rsid w:val="00255B1B"/>
    <w:rsid w:val="00255EBF"/>
    <w:rsid w:val="0025685C"/>
    <w:rsid w:val="00256C1D"/>
    <w:rsid w:val="002572CA"/>
    <w:rsid w:val="002575D3"/>
    <w:rsid w:val="0026010B"/>
    <w:rsid w:val="002604F8"/>
    <w:rsid w:val="00261839"/>
    <w:rsid w:val="002629D7"/>
    <w:rsid w:val="00262F65"/>
    <w:rsid w:val="00264AA1"/>
    <w:rsid w:val="00264FEE"/>
    <w:rsid w:val="00265EBD"/>
    <w:rsid w:val="00266CC8"/>
    <w:rsid w:val="00271D0D"/>
    <w:rsid w:val="00271D60"/>
    <w:rsid w:val="002729FE"/>
    <w:rsid w:val="00273216"/>
    <w:rsid w:val="00273CF5"/>
    <w:rsid w:val="002752B2"/>
    <w:rsid w:val="00276306"/>
    <w:rsid w:val="00280777"/>
    <w:rsid w:val="00282F24"/>
    <w:rsid w:val="002833C9"/>
    <w:rsid w:val="002833F9"/>
    <w:rsid w:val="002860BD"/>
    <w:rsid w:val="0028723D"/>
    <w:rsid w:val="002874E8"/>
    <w:rsid w:val="002909E7"/>
    <w:rsid w:val="00291285"/>
    <w:rsid w:val="00291454"/>
    <w:rsid w:val="002915EA"/>
    <w:rsid w:val="00292222"/>
    <w:rsid w:val="002933CB"/>
    <w:rsid w:val="002942CA"/>
    <w:rsid w:val="00294430"/>
    <w:rsid w:val="002946C9"/>
    <w:rsid w:val="00295C1D"/>
    <w:rsid w:val="00295C54"/>
    <w:rsid w:val="00296DA4"/>
    <w:rsid w:val="002973C4"/>
    <w:rsid w:val="00297D2D"/>
    <w:rsid w:val="00297E32"/>
    <w:rsid w:val="002A0B55"/>
    <w:rsid w:val="002A123A"/>
    <w:rsid w:val="002A1A43"/>
    <w:rsid w:val="002A1FB4"/>
    <w:rsid w:val="002A35D3"/>
    <w:rsid w:val="002A49C6"/>
    <w:rsid w:val="002A4AF6"/>
    <w:rsid w:val="002A576A"/>
    <w:rsid w:val="002A7D62"/>
    <w:rsid w:val="002B048D"/>
    <w:rsid w:val="002B0F16"/>
    <w:rsid w:val="002B1734"/>
    <w:rsid w:val="002B3D47"/>
    <w:rsid w:val="002B48A6"/>
    <w:rsid w:val="002B5189"/>
    <w:rsid w:val="002B5C4F"/>
    <w:rsid w:val="002B6893"/>
    <w:rsid w:val="002C0ED9"/>
    <w:rsid w:val="002C1659"/>
    <w:rsid w:val="002C1738"/>
    <w:rsid w:val="002C43FA"/>
    <w:rsid w:val="002C45FA"/>
    <w:rsid w:val="002C566C"/>
    <w:rsid w:val="002C5726"/>
    <w:rsid w:val="002C5C3A"/>
    <w:rsid w:val="002C61BB"/>
    <w:rsid w:val="002C7707"/>
    <w:rsid w:val="002D0D65"/>
    <w:rsid w:val="002D2C8F"/>
    <w:rsid w:val="002D33B6"/>
    <w:rsid w:val="002D3E75"/>
    <w:rsid w:val="002D56B4"/>
    <w:rsid w:val="002D6A77"/>
    <w:rsid w:val="002D7939"/>
    <w:rsid w:val="002E082F"/>
    <w:rsid w:val="002E11DD"/>
    <w:rsid w:val="002E2ABF"/>
    <w:rsid w:val="002E2C88"/>
    <w:rsid w:val="002E3923"/>
    <w:rsid w:val="002E3CB6"/>
    <w:rsid w:val="002E5F24"/>
    <w:rsid w:val="002E65BF"/>
    <w:rsid w:val="002E6743"/>
    <w:rsid w:val="002E7403"/>
    <w:rsid w:val="002E7B5B"/>
    <w:rsid w:val="002F06FA"/>
    <w:rsid w:val="002F175D"/>
    <w:rsid w:val="002F3819"/>
    <w:rsid w:val="002F48C1"/>
    <w:rsid w:val="002F6818"/>
    <w:rsid w:val="002F6C31"/>
    <w:rsid w:val="0030007D"/>
    <w:rsid w:val="003001A0"/>
    <w:rsid w:val="00301B47"/>
    <w:rsid w:val="003035C0"/>
    <w:rsid w:val="00305CA5"/>
    <w:rsid w:val="00305D8D"/>
    <w:rsid w:val="0030748D"/>
    <w:rsid w:val="00307CF2"/>
    <w:rsid w:val="00311A2C"/>
    <w:rsid w:val="00314287"/>
    <w:rsid w:val="003151A4"/>
    <w:rsid w:val="00315821"/>
    <w:rsid w:val="003159C0"/>
    <w:rsid w:val="00317BF0"/>
    <w:rsid w:val="00317F5D"/>
    <w:rsid w:val="003221BB"/>
    <w:rsid w:val="00322764"/>
    <w:rsid w:val="00324082"/>
    <w:rsid w:val="00327028"/>
    <w:rsid w:val="00331198"/>
    <w:rsid w:val="00331B5E"/>
    <w:rsid w:val="00332552"/>
    <w:rsid w:val="00334648"/>
    <w:rsid w:val="00334D53"/>
    <w:rsid w:val="00337668"/>
    <w:rsid w:val="003435D7"/>
    <w:rsid w:val="0034459F"/>
    <w:rsid w:val="003453B8"/>
    <w:rsid w:val="00345C9A"/>
    <w:rsid w:val="00345E5F"/>
    <w:rsid w:val="003466EF"/>
    <w:rsid w:val="003472AF"/>
    <w:rsid w:val="00347552"/>
    <w:rsid w:val="0034771E"/>
    <w:rsid w:val="00351B13"/>
    <w:rsid w:val="00351EA5"/>
    <w:rsid w:val="00352223"/>
    <w:rsid w:val="00354D0B"/>
    <w:rsid w:val="00355173"/>
    <w:rsid w:val="00355CDF"/>
    <w:rsid w:val="00355D6C"/>
    <w:rsid w:val="0035629C"/>
    <w:rsid w:val="0035638E"/>
    <w:rsid w:val="00356D38"/>
    <w:rsid w:val="003571C9"/>
    <w:rsid w:val="003606F8"/>
    <w:rsid w:val="003623E0"/>
    <w:rsid w:val="0036350A"/>
    <w:rsid w:val="0036359A"/>
    <w:rsid w:val="00363CA4"/>
    <w:rsid w:val="00363D1D"/>
    <w:rsid w:val="00363D73"/>
    <w:rsid w:val="003651FC"/>
    <w:rsid w:val="00367DC6"/>
    <w:rsid w:val="00370BD7"/>
    <w:rsid w:val="00371C65"/>
    <w:rsid w:val="00371FE4"/>
    <w:rsid w:val="00376A46"/>
    <w:rsid w:val="003777A0"/>
    <w:rsid w:val="00380716"/>
    <w:rsid w:val="0038093B"/>
    <w:rsid w:val="00381454"/>
    <w:rsid w:val="00383694"/>
    <w:rsid w:val="00383BAE"/>
    <w:rsid w:val="00384591"/>
    <w:rsid w:val="00384DE0"/>
    <w:rsid w:val="00386AAB"/>
    <w:rsid w:val="0039021D"/>
    <w:rsid w:val="003916EC"/>
    <w:rsid w:val="00393436"/>
    <w:rsid w:val="00395E73"/>
    <w:rsid w:val="0039688C"/>
    <w:rsid w:val="0039688F"/>
    <w:rsid w:val="00397F99"/>
    <w:rsid w:val="003A0001"/>
    <w:rsid w:val="003A0B68"/>
    <w:rsid w:val="003A4248"/>
    <w:rsid w:val="003A7537"/>
    <w:rsid w:val="003A7BF1"/>
    <w:rsid w:val="003B0781"/>
    <w:rsid w:val="003B0E6A"/>
    <w:rsid w:val="003B1B36"/>
    <w:rsid w:val="003B2F35"/>
    <w:rsid w:val="003B3260"/>
    <w:rsid w:val="003B36F9"/>
    <w:rsid w:val="003B4258"/>
    <w:rsid w:val="003B462A"/>
    <w:rsid w:val="003B50C7"/>
    <w:rsid w:val="003B73B6"/>
    <w:rsid w:val="003B767E"/>
    <w:rsid w:val="003C0932"/>
    <w:rsid w:val="003C18BE"/>
    <w:rsid w:val="003C1ECB"/>
    <w:rsid w:val="003C3194"/>
    <w:rsid w:val="003C3684"/>
    <w:rsid w:val="003C3DCD"/>
    <w:rsid w:val="003C7066"/>
    <w:rsid w:val="003D053F"/>
    <w:rsid w:val="003D05B4"/>
    <w:rsid w:val="003D1C46"/>
    <w:rsid w:val="003D3206"/>
    <w:rsid w:val="003D5A99"/>
    <w:rsid w:val="003E0DDF"/>
    <w:rsid w:val="003E1158"/>
    <w:rsid w:val="003E11E6"/>
    <w:rsid w:val="003E2BAD"/>
    <w:rsid w:val="003E3DDD"/>
    <w:rsid w:val="003E57F1"/>
    <w:rsid w:val="003E5FB9"/>
    <w:rsid w:val="003E6CA9"/>
    <w:rsid w:val="003E6E76"/>
    <w:rsid w:val="003F0EF9"/>
    <w:rsid w:val="003F3251"/>
    <w:rsid w:val="003F35DC"/>
    <w:rsid w:val="003F5384"/>
    <w:rsid w:val="003F6825"/>
    <w:rsid w:val="003F692D"/>
    <w:rsid w:val="004024C9"/>
    <w:rsid w:val="0040345A"/>
    <w:rsid w:val="004040AA"/>
    <w:rsid w:val="004056B2"/>
    <w:rsid w:val="00405B44"/>
    <w:rsid w:val="00406132"/>
    <w:rsid w:val="0041187F"/>
    <w:rsid w:val="00411A90"/>
    <w:rsid w:val="00411C6B"/>
    <w:rsid w:val="00413AF5"/>
    <w:rsid w:val="0041472B"/>
    <w:rsid w:val="0041660E"/>
    <w:rsid w:val="0041746B"/>
    <w:rsid w:val="004201CD"/>
    <w:rsid w:val="0042064F"/>
    <w:rsid w:val="004222BF"/>
    <w:rsid w:val="00422436"/>
    <w:rsid w:val="004228BF"/>
    <w:rsid w:val="0042292B"/>
    <w:rsid w:val="00422F65"/>
    <w:rsid w:val="00423093"/>
    <w:rsid w:val="00425984"/>
    <w:rsid w:val="004266D2"/>
    <w:rsid w:val="004270C7"/>
    <w:rsid w:val="0043005D"/>
    <w:rsid w:val="004306E3"/>
    <w:rsid w:val="0043129C"/>
    <w:rsid w:val="00433D8B"/>
    <w:rsid w:val="00436312"/>
    <w:rsid w:val="00440DD5"/>
    <w:rsid w:val="004423A0"/>
    <w:rsid w:val="00442416"/>
    <w:rsid w:val="00443122"/>
    <w:rsid w:val="004432D9"/>
    <w:rsid w:val="004439CC"/>
    <w:rsid w:val="00446637"/>
    <w:rsid w:val="00446987"/>
    <w:rsid w:val="00447EE5"/>
    <w:rsid w:val="00452C2F"/>
    <w:rsid w:val="00452FE1"/>
    <w:rsid w:val="0045323C"/>
    <w:rsid w:val="00454883"/>
    <w:rsid w:val="00455136"/>
    <w:rsid w:val="0045573C"/>
    <w:rsid w:val="0046028E"/>
    <w:rsid w:val="00460D2A"/>
    <w:rsid w:val="00462C71"/>
    <w:rsid w:val="00463B24"/>
    <w:rsid w:val="00465700"/>
    <w:rsid w:val="0046572E"/>
    <w:rsid w:val="00465785"/>
    <w:rsid w:val="004712F9"/>
    <w:rsid w:val="004714D1"/>
    <w:rsid w:val="00473AF9"/>
    <w:rsid w:val="0047479B"/>
    <w:rsid w:val="00474ABE"/>
    <w:rsid w:val="00474F06"/>
    <w:rsid w:val="004757A1"/>
    <w:rsid w:val="00475E0E"/>
    <w:rsid w:val="00477276"/>
    <w:rsid w:val="0048058A"/>
    <w:rsid w:val="00481416"/>
    <w:rsid w:val="004815BF"/>
    <w:rsid w:val="004830B4"/>
    <w:rsid w:val="00483667"/>
    <w:rsid w:val="00484A3F"/>
    <w:rsid w:val="004860D2"/>
    <w:rsid w:val="00487C92"/>
    <w:rsid w:val="00490EB0"/>
    <w:rsid w:val="00491937"/>
    <w:rsid w:val="0049668A"/>
    <w:rsid w:val="00497F62"/>
    <w:rsid w:val="004A03EC"/>
    <w:rsid w:val="004A1A79"/>
    <w:rsid w:val="004A2CBD"/>
    <w:rsid w:val="004A3D12"/>
    <w:rsid w:val="004A3FE9"/>
    <w:rsid w:val="004A42D6"/>
    <w:rsid w:val="004B0B50"/>
    <w:rsid w:val="004B0EFD"/>
    <w:rsid w:val="004C096C"/>
    <w:rsid w:val="004C0C81"/>
    <w:rsid w:val="004C1F1A"/>
    <w:rsid w:val="004C3BA4"/>
    <w:rsid w:val="004C6144"/>
    <w:rsid w:val="004C6BC1"/>
    <w:rsid w:val="004D0CDB"/>
    <w:rsid w:val="004D1044"/>
    <w:rsid w:val="004D1272"/>
    <w:rsid w:val="004D2071"/>
    <w:rsid w:val="004D3CFD"/>
    <w:rsid w:val="004E0107"/>
    <w:rsid w:val="004E0F65"/>
    <w:rsid w:val="004E28AE"/>
    <w:rsid w:val="004E3BDD"/>
    <w:rsid w:val="004E638E"/>
    <w:rsid w:val="004E73A1"/>
    <w:rsid w:val="004F02B8"/>
    <w:rsid w:val="004F3F41"/>
    <w:rsid w:val="004F6EF3"/>
    <w:rsid w:val="004F7FE6"/>
    <w:rsid w:val="00500416"/>
    <w:rsid w:val="00500E62"/>
    <w:rsid w:val="0050292D"/>
    <w:rsid w:val="005068F0"/>
    <w:rsid w:val="00506A5D"/>
    <w:rsid w:val="00507485"/>
    <w:rsid w:val="0051195D"/>
    <w:rsid w:val="005128E4"/>
    <w:rsid w:val="0051295A"/>
    <w:rsid w:val="005135D4"/>
    <w:rsid w:val="00513790"/>
    <w:rsid w:val="00513A90"/>
    <w:rsid w:val="005143C3"/>
    <w:rsid w:val="00515381"/>
    <w:rsid w:val="0051640C"/>
    <w:rsid w:val="00516815"/>
    <w:rsid w:val="00517E8D"/>
    <w:rsid w:val="00517F22"/>
    <w:rsid w:val="00517FC0"/>
    <w:rsid w:val="0052023D"/>
    <w:rsid w:val="00520F88"/>
    <w:rsid w:val="005216F0"/>
    <w:rsid w:val="00522795"/>
    <w:rsid w:val="005262B3"/>
    <w:rsid w:val="005263E9"/>
    <w:rsid w:val="00526515"/>
    <w:rsid w:val="00526F9F"/>
    <w:rsid w:val="00527606"/>
    <w:rsid w:val="00530F42"/>
    <w:rsid w:val="0053243F"/>
    <w:rsid w:val="00534865"/>
    <w:rsid w:val="00536A91"/>
    <w:rsid w:val="00536ED5"/>
    <w:rsid w:val="00537287"/>
    <w:rsid w:val="0054004F"/>
    <w:rsid w:val="00541A54"/>
    <w:rsid w:val="005443F3"/>
    <w:rsid w:val="00545E69"/>
    <w:rsid w:val="005514ED"/>
    <w:rsid w:val="00555776"/>
    <w:rsid w:val="00557423"/>
    <w:rsid w:val="00562292"/>
    <w:rsid w:val="00562E5C"/>
    <w:rsid w:val="005631C6"/>
    <w:rsid w:val="00564AF6"/>
    <w:rsid w:val="005659BA"/>
    <w:rsid w:val="005663D8"/>
    <w:rsid w:val="00567117"/>
    <w:rsid w:val="00570C98"/>
    <w:rsid w:val="005724CB"/>
    <w:rsid w:val="00574F27"/>
    <w:rsid w:val="005758BA"/>
    <w:rsid w:val="00576FA1"/>
    <w:rsid w:val="00577BFB"/>
    <w:rsid w:val="00582193"/>
    <w:rsid w:val="005823C3"/>
    <w:rsid w:val="005838AF"/>
    <w:rsid w:val="0058418E"/>
    <w:rsid w:val="005860DB"/>
    <w:rsid w:val="00587DA8"/>
    <w:rsid w:val="00590552"/>
    <w:rsid w:val="00594F2A"/>
    <w:rsid w:val="00595008"/>
    <w:rsid w:val="005970D4"/>
    <w:rsid w:val="005A155E"/>
    <w:rsid w:val="005A1B5C"/>
    <w:rsid w:val="005A22E3"/>
    <w:rsid w:val="005A3805"/>
    <w:rsid w:val="005A4D1E"/>
    <w:rsid w:val="005A55D0"/>
    <w:rsid w:val="005A591F"/>
    <w:rsid w:val="005A6914"/>
    <w:rsid w:val="005A6BCF"/>
    <w:rsid w:val="005A7632"/>
    <w:rsid w:val="005A7B33"/>
    <w:rsid w:val="005B238D"/>
    <w:rsid w:val="005B2FF2"/>
    <w:rsid w:val="005B36C9"/>
    <w:rsid w:val="005B3968"/>
    <w:rsid w:val="005B54BF"/>
    <w:rsid w:val="005B5847"/>
    <w:rsid w:val="005B64DF"/>
    <w:rsid w:val="005B781D"/>
    <w:rsid w:val="005B7C0E"/>
    <w:rsid w:val="005C0B1F"/>
    <w:rsid w:val="005C1263"/>
    <w:rsid w:val="005C1D31"/>
    <w:rsid w:val="005C2377"/>
    <w:rsid w:val="005C285C"/>
    <w:rsid w:val="005C2CE3"/>
    <w:rsid w:val="005C2EDD"/>
    <w:rsid w:val="005C7A49"/>
    <w:rsid w:val="005C7B51"/>
    <w:rsid w:val="005D0BBC"/>
    <w:rsid w:val="005D2105"/>
    <w:rsid w:val="005E016A"/>
    <w:rsid w:val="005E0CF1"/>
    <w:rsid w:val="005E19BA"/>
    <w:rsid w:val="005E35C5"/>
    <w:rsid w:val="005E5168"/>
    <w:rsid w:val="005E5BE7"/>
    <w:rsid w:val="005E799A"/>
    <w:rsid w:val="005F1F73"/>
    <w:rsid w:val="005F2683"/>
    <w:rsid w:val="005F2C3C"/>
    <w:rsid w:val="005F3E55"/>
    <w:rsid w:val="005F493E"/>
    <w:rsid w:val="005F537F"/>
    <w:rsid w:val="005F7AF5"/>
    <w:rsid w:val="006016A7"/>
    <w:rsid w:val="0060213E"/>
    <w:rsid w:val="00602FCA"/>
    <w:rsid w:val="0061065E"/>
    <w:rsid w:val="00610AAD"/>
    <w:rsid w:val="006130F9"/>
    <w:rsid w:val="00616C6C"/>
    <w:rsid w:val="00617AC2"/>
    <w:rsid w:val="00617BD9"/>
    <w:rsid w:val="00622899"/>
    <w:rsid w:val="006256CF"/>
    <w:rsid w:val="006264E6"/>
    <w:rsid w:val="00627F0F"/>
    <w:rsid w:val="00630F43"/>
    <w:rsid w:val="0063115B"/>
    <w:rsid w:val="00632935"/>
    <w:rsid w:val="006331B9"/>
    <w:rsid w:val="006342D3"/>
    <w:rsid w:val="00634B1C"/>
    <w:rsid w:val="00637FF3"/>
    <w:rsid w:val="00640736"/>
    <w:rsid w:val="006441A6"/>
    <w:rsid w:val="0064728B"/>
    <w:rsid w:val="006474D8"/>
    <w:rsid w:val="006500E3"/>
    <w:rsid w:val="00651E49"/>
    <w:rsid w:val="00652FA8"/>
    <w:rsid w:val="00654118"/>
    <w:rsid w:val="0065462D"/>
    <w:rsid w:val="00654646"/>
    <w:rsid w:val="00654723"/>
    <w:rsid w:val="00654A0C"/>
    <w:rsid w:val="00655DF8"/>
    <w:rsid w:val="00661A7A"/>
    <w:rsid w:val="00662015"/>
    <w:rsid w:val="006632F9"/>
    <w:rsid w:val="0066345E"/>
    <w:rsid w:val="00663650"/>
    <w:rsid w:val="00663D5D"/>
    <w:rsid w:val="006665AE"/>
    <w:rsid w:val="0067036F"/>
    <w:rsid w:val="00671089"/>
    <w:rsid w:val="006726D4"/>
    <w:rsid w:val="00672909"/>
    <w:rsid w:val="00673D2D"/>
    <w:rsid w:val="00676CCB"/>
    <w:rsid w:val="006770CA"/>
    <w:rsid w:val="0067716A"/>
    <w:rsid w:val="006811F2"/>
    <w:rsid w:val="00682679"/>
    <w:rsid w:val="00682943"/>
    <w:rsid w:val="00683656"/>
    <w:rsid w:val="00683EE6"/>
    <w:rsid w:val="006842B5"/>
    <w:rsid w:val="006851DF"/>
    <w:rsid w:val="00686A50"/>
    <w:rsid w:val="006873A6"/>
    <w:rsid w:val="006907D7"/>
    <w:rsid w:val="00690A91"/>
    <w:rsid w:val="00691466"/>
    <w:rsid w:val="006945E7"/>
    <w:rsid w:val="0069704B"/>
    <w:rsid w:val="006977C6"/>
    <w:rsid w:val="006A3161"/>
    <w:rsid w:val="006A398F"/>
    <w:rsid w:val="006A488E"/>
    <w:rsid w:val="006A6118"/>
    <w:rsid w:val="006A644E"/>
    <w:rsid w:val="006A68F3"/>
    <w:rsid w:val="006B3A11"/>
    <w:rsid w:val="006B3B3B"/>
    <w:rsid w:val="006B4618"/>
    <w:rsid w:val="006B5A15"/>
    <w:rsid w:val="006B5E75"/>
    <w:rsid w:val="006C1632"/>
    <w:rsid w:val="006C695D"/>
    <w:rsid w:val="006D13DA"/>
    <w:rsid w:val="006D4AB8"/>
    <w:rsid w:val="006D4F3D"/>
    <w:rsid w:val="006D50DF"/>
    <w:rsid w:val="006D554D"/>
    <w:rsid w:val="006D554F"/>
    <w:rsid w:val="006D66FB"/>
    <w:rsid w:val="006D6876"/>
    <w:rsid w:val="006D7567"/>
    <w:rsid w:val="006D7796"/>
    <w:rsid w:val="006E0B24"/>
    <w:rsid w:val="006E184E"/>
    <w:rsid w:val="006E1E6D"/>
    <w:rsid w:val="006E330A"/>
    <w:rsid w:val="006E46EB"/>
    <w:rsid w:val="006E6747"/>
    <w:rsid w:val="006E7573"/>
    <w:rsid w:val="006F0C37"/>
    <w:rsid w:val="006F3BBA"/>
    <w:rsid w:val="006F4508"/>
    <w:rsid w:val="006F6F08"/>
    <w:rsid w:val="007017D6"/>
    <w:rsid w:val="0070196E"/>
    <w:rsid w:val="00702C70"/>
    <w:rsid w:val="007035D8"/>
    <w:rsid w:val="00705262"/>
    <w:rsid w:val="00705291"/>
    <w:rsid w:val="00706418"/>
    <w:rsid w:val="00706D63"/>
    <w:rsid w:val="00710741"/>
    <w:rsid w:val="00710B47"/>
    <w:rsid w:val="007120B2"/>
    <w:rsid w:val="00712CBE"/>
    <w:rsid w:val="007148AB"/>
    <w:rsid w:val="00714EE4"/>
    <w:rsid w:val="00716620"/>
    <w:rsid w:val="00716D68"/>
    <w:rsid w:val="00716E00"/>
    <w:rsid w:val="007202C1"/>
    <w:rsid w:val="00720683"/>
    <w:rsid w:val="00722B61"/>
    <w:rsid w:val="00723ED6"/>
    <w:rsid w:val="00726DDA"/>
    <w:rsid w:val="007270D4"/>
    <w:rsid w:val="00732241"/>
    <w:rsid w:val="0073349B"/>
    <w:rsid w:val="00734A18"/>
    <w:rsid w:val="0074114C"/>
    <w:rsid w:val="00742645"/>
    <w:rsid w:val="00742ADC"/>
    <w:rsid w:val="0074321C"/>
    <w:rsid w:val="0074449C"/>
    <w:rsid w:val="00744507"/>
    <w:rsid w:val="00744A2B"/>
    <w:rsid w:val="0074601C"/>
    <w:rsid w:val="0074670A"/>
    <w:rsid w:val="007510FD"/>
    <w:rsid w:val="007519B1"/>
    <w:rsid w:val="00751E36"/>
    <w:rsid w:val="00752114"/>
    <w:rsid w:val="00755260"/>
    <w:rsid w:val="0075568F"/>
    <w:rsid w:val="00755C27"/>
    <w:rsid w:val="00757473"/>
    <w:rsid w:val="007618A8"/>
    <w:rsid w:val="007618D9"/>
    <w:rsid w:val="00761A0C"/>
    <w:rsid w:val="00762041"/>
    <w:rsid w:val="00762283"/>
    <w:rsid w:val="00763350"/>
    <w:rsid w:val="007647AB"/>
    <w:rsid w:val="00772268"/>
    <w:rsid w:val="00773537"/>
    <w:rsid w:val="00776623"/>
    <w:rsid w:val="00777DB9"/>
    <w:rsid w:val="00781529"/>
    <w:rsid w:val="00781A84"/>
    <w:rsid w:val="00783905"/>
    <w:rsid w:val="00783B8F"/>
    <w:rsid w:val="00783BF7"/>
    <w:rsid w:val="00783CFD"/>
    <w:rsid w:val="00786A1B"/>
    <w:rsid w:val="00790469"/>
    <w:rsid w:val="0079131F"/>
    <w:rsid w:val="00793369"/>
    <w:rsid w:val="007938FD"/>
    <w:rsid w:val="00793E72"/>
    <w:rsid w:val="007959E1"/>
    <w:rsid w:val="00796137"/>
    <w:rsid w:val="00796710"/>
    <w:rsid w:val="00796FC1"/>
    <w:rsid w:val="00797839"/>
    <w:rsid w:val="00797E5C"/>
    <w:rsid w:val="007A36D3"/>
    <w:rsid w:val="007A3993"/>
    <w:rsid w:val="007A40A9"/>
    <w:rsid w:val="007A648C"/>
    <w:rsid w:val="007A72B7"/>
    <w:rsid w:val="007B0DF8"/>
    <w:rsid w:val="007B0F8F"/>
    <w:rsid w:val="007B1622"/>
    <w:rsid w:val="007B2E4E"/>
    <w:rsid w:val="007B3613"/>
    <w:rsid w:val="007B4129"/>
    <w:rsid w:val="007B47DD"/>
    <w:rsid w:val="007B481D"/>
    <w:rsid w:val="007B505C"/>
    <w:rsid w:val="007B57FE"/>
    <w:rsid w:val="007C11C3"/>
    <w:rsid w:val="007C22B6"/>
    <w:rsid w:val="007C3229"/>
    <w:rsid w:val="007C34CB"/>
    <w:rsid w:val="007C44A7"/>
    <w:rsid w:val="007C5AE9"/>
    <w:rsid w:val="007C5E36"/>
    <w:rsid w:val="007C7000"/>
    <w:rsid w:val="007D0AD9"/>
    <w:rsid w:val="007D1495"/>
    <w:rsid w:val="007D23A2"/>
    <w:rsid w:val="007D338D"/>
    <w:rsid w:val="007D3978"/>
    <w:rsid w:val="007D688B"/>
    <w:rsid w:val="007D6BD4"/>
    <w:rsid w:val="007D6F93"/>
    <w:rsid w:val="007E1AEB"/>
    <w:rsid w:val="007E1FCF"/>
    <w:rsid w:val="007E2239"/>
    <w:rsid w:val="007E5774"/>
    <w:rsid w:val="007F0DC1"/>
    <w:rsid w:val="007F1E2B"/>
    <w:rsid w:val="007F3883"/>
    <w:rsid w:val="007F6236"/>
    <w:rsid w:val="007F6C8E"/>
    <w:rsid w:val="007F74D3"/>
    <w:rsid w:val="007F770C"/>
    <w:rsid w:val="007F7AC4"/>
    <w:rsid w:val="007F7BE8"/>
    <w:rsid w:val="007F7F73"/>
    <w:rsid w:val="00800071"/>
    <w:rsid w:val="00800B40"/>
    <w:rsid w:val="00800BE4"/>
    <w:rsid w:val="00802589"/>
    <w:rsid w:val="00803489"/>
    <w:rsid w:val="00804049"/>
    <w:rsid w:val="00804D58"/>
    <w:rsid w:val="0080530F"/>
    <w:rsid w:val="00810D80"/>
    <w:rsid w:val="00812CFC"/>
    <w:rsid w:val="00813F11"/>
    <w:rsid w:val="008141C2"/>
    <w:rsid w:val="008142D6"/>
    <w:rsid w:val="00815318"/>
    <w:rsid w:val="00817809"/>
    <w:rsid w:val="008202CA"/>
    <w:rsid w:val="008241B3"/>
    <w:rsid w:val="008245E4"/>
    <w:rsid w:val="00825DE1"/>
    <w:rsid w:val="00825E9B"/>
    <w:rsid w:val="0082723C"/>
    <w:rsid w:val="00830BF1"/>
    <w:rsid w:val="00832E7D"/>
    <w:rsid w:val="00833349"/>
    <w:rsid w:val="0083458D"/>
    <w:rsid w:val="00834F79"/>
    <w:rsid w:val="00836479"/>
    <w:rsid w:val="00841C09"/>
    <w:rsid w:val="008432D2"/>
    <w:rsid w:val="00843794"/>
    <w:rsid w:val="00845584"/>
    <w:rsid w:val="008519DB"/>
    <w:rsid w:val="0085373A"/>
    <w:rsid w:val="008552F2"/>
    <w:rsid w:val="0085616F"/>
    <w:rsid w:val="00856277"/>
    <w:rsid w:val="00857738"/>
    <w:rsid w:val="00857D8D"/>
    <w:rsid w:val="00857F64"/>
    <w:rsid w:val="00860072"/>
    <w:rsid w:val="008615BC"/>
    <w:rsid w:val="00861A11"/>
    <w:rsid w:val="00862C5D"/>
    <w:rsid w:val="00863531"/>
    <w:rsid w:val="00863D71"/>
    <w:rsid w:val="00864BCF"/>
    <w:rsid w:val="00864D24"/>
    <w:rsid w:val="00873AD8"/>
    <w:rsid w:val="00874B73"/>
    <w:rsid w:val="00875AC0"/>
    <w:rsid w:val="00875F79"/>
    <w:rsid w:val="008779B2"/>
    <w:rsid w:val="00877DC0"/>
    <w:rsid w:val="00882A0B"/>
    <w:rsid w:val="00884755"/>
    <w:rsid w:val="00884ADA"/>
    <w:rsid w:val="00884B83"/>
    <w:rsid w:val="0088767B"/>
    <w:rsid w:val="00890DFE"/>
    <w:rsid w:val="0089681F"/>
    <w:rsid w:val="008A2BAB"/>
    <w:rsid w:val="008A4C2B"/>
    <w:rsid w:val="008A4F6D"/>
    <w:rsid w:val="008A551E"/>
    <w:rsid w:val="008A6C9A"/>
    <w:rsid w:val="008A7F6A"/>
    <w:rsid w:val="008B03A9"/>
    <w:rsid w:val="008B0AD7"/>
    <w:rsid w:val="008B0EB1"/>
    <w:rsid w:val="008B369A"/>
    <w:rsid w:val="008B3CD1"/>
    <w:rsid w:val="008B41E2"/>
    <w:rsid w:val="008B4EB3"/>
    <w:rsid w:val="008B5403"/>
    <w:rsid w:val="008B5E85"/>
    <w:rsid w:val="008B66BA"/>
    <w:rsid w:val="008C075F"/>
    <w:rsid w:val="008C1E11"/>
    <w:rsid w:val="008C2E2E"/>
    <w:rsid w:val="008D0589"/>
    <w:rsid w:val="008D4A12"/>
    <w:rsid w:val="008D563B"/>
    <w:rsid w:val="008E1DE2"/>
    <w:rsid w:val="008E5FEF"/>
    <w:rsid w:val="008E6070"/>
    <w:rsid w:val="008E726A"/>
    <w:rsid w:val="008E759A"/>
    <w:rsid w:val="008E790A"/>
    <w:rsid w:val="008F08FA"/>
    <w:rsid w:val="008F127D"/>
    <w:rsid w:val="008F135E"/>
    <w:rsid w:val="008F1822"/>
    <w:rsid w:val="008F3297"/>
    <w:rsid w:val="008F4BB1"/>
    <w:rsid w:val="008F6490"/>
    <w:rsid w:val="008F64A1"/>
    <w:rsid w:val="00900F45"/>
    <w:rsid w:val="009023DA"/>
    <w:rsid w:val="00903748"/>
    <w:rsid w:val="00903AD7"/>
    <w:rsid w:val="009074CD"/>
    <w:rsid w:val="00907C84"/>
    <w:rsid w:val="00910D17"/>
    <w:rsid w:val="009115E8"/>
    <w:rsid w:val="0091339E"/>
    <w:rsid w:val="009143A8"/>
    <w:rsid w:val="00915351"/>
    <w:rsid w:val="00916282"/>
    <w:rsid w:val="00916DD3"/>
    <w:rsid w:val="0092005B"/>
    <w:rsid w:val="00921CC8"/>
    <w:rsid w:val="00922BA3"/>
    <w:rsid w:val="00923D74"/>
    <w:rsid w:val="00925351"/>
    <w:rsid w:val="00925382"/>
    <w:rsid w:val="00925BC6"/>
    <w:rsid w:val="00925C28"/>
    <w:rsid w:val="00927B72"/>
    <w:rsid w:val="00932465"/>
    <w:rsid w:val="0093254E"/>
    <w:rsid w:val="00933E37"/>
    <w:rsid w:val="009350A0"/>
    <w:rsid w:val="00940FF2"/>
    <w:rsid w:val="00943F38"/>
    <w:rsid w:val="00946DEA"/>
    <w:rsid w:val="009470BA"/>
    <w:rsid w:val="0095097D"/>
    <w:rsid w:val="009515A6"/>
    <w:rsid w:val="00952090"/>
    <w:rsid w:val="009541FA"/>
    <w:rsid w:val="00954ABC"/>
    <w:rsid w:val="00960568"/>
    <w:rsid w:val="0096313B"/>
    <w:rsid w:val="00963A98"/>
    <w:rsid w:val="009653F8"/>
    <w:rsid w:val="00965D36"/>
    <w:rsid w:val="00966D07"/>
    <w:rsid w:val="00970386"/>
    <w:rsid w:val="009706E1"/>
    <w:rsid w:val="00972884"/>
    <w:rsid w:val="00973339"/>
    <w:rsid w:val="00973743"/>
    <w:rsid w:val="009749D1"/>
    <w:rsid w:val="0097765B"/>
    <w:rsid w:val="009805C6"/>
    <w:rsid w:val="009807A4"/>
    <w:rsid w:val="009819C9"/>
    <w:rsid w:val="009835E4"/>
    <w:rsid w:val="00983E7D"/>
    <w:rsid w:val="0098717E"/>
    <w:rsid w:val="00991806"/>
    <w:rsid w:val="0099211C"/>
    <w:rsid w:val="00993F6E"/>
    <w:rsid w:val="00995ABA"/>
    <w:rsid w:val="00995EEE"/>
    <w:rsid w:val="00996950"/>
    <w:rsid w:val="009A1740"/>
    <w:rsid w:val="009A22A3"/>
    <w:rsid w:val="009A23D9"/>
    <w:rsid w:val="009A2FDD"/>
    <w:rsid w:val="009A4A0F"/>
    <w:rsid w:val="009A4ADF"/>
    <w:rsid w:val="009A5FF0"/>
    <w:rsid w:val="009A7542"/>
    <w:rsid w:val="009A7BAC"/>
    <w:rsid w:val="009B17FE"/>
    <w:rsid w:val="009B3052"/>
    <w:rsid w:val="009B49EA"/>
    <w:rsid w:val="009B4FE1"/>
    <w:rsid w:val="009B548E"/>
    <w:rsid w:val="009B6DDC"/>
    <w:rsid w:val="009C06BB"/>
    <w:rsid w:val="009C2937"/>
    <w:rsid w:val="009C2942"/>
    <w:rsid w:val="009C3A86"/>
    <w:rsid w:val="009C438B"/>
    <w:rsid w:val="009C4CF7"/>
    <w:rsid w:val="009C60B3"/>
    <w:rsid w:val="009C6C69"/>
    <w:rsid w:val="009C7221"/>
    <w:rsid w:val="009C763C"/>
    <w:rsid w:val="009C76EF"/>
    <w:rsid w:val="009D0553"/>
    <w:rsid w:val="009D2B76"/>
    <w:rsid w:val="009D2C5D"/>
    <w:rsid w:val="009D3DE6"/>
    <w:rsid w:val="009D597F"/>
    <w:rsid w:val="009D6D98"/>
    <w:rsid w:val="009D7B41"/>
    <w:rsid w:val="009E14F9"/>
    <w:rsid w:val="009E291F"/>
    <w:rsid w:val="009E57C4"/>
    <w:rsid w:val="009F0F87"/>
    <w:rsid w:val="009F3FB5"/>
    <w:rsid w:val="009F423F"/>
    <w:rsid w:val="009F4DCE"/>
    <w:rsid w:val="009F561C"/>
    <w:rsid w:val="009F7222"/>
    <w:rsid w:val="009F7DE2"/>
    <w:rsid w:val="00A003FB"/>
    <w:rsid w:val="00A01402"/>
    <w:rsid w:val="00A02127"/>
    <w:rsid w:val="00A04829"/>
    <w:rsid w:val="00A04C7C"/>
    <w:rsid w:val="00A04E9C"/>
    <w:rsid w:val="00A068EF"/>
    <w:rsid w:val="00A0736D"/>
    <w:rsid w:val="00A077D1"/>
    <w:rsid w:val="00A10148"/>
    <w:rsid w:val="00A10C38"/>
    <w:rsid w:val="00A1165E"/>
    <w:rsid w:val="00A16D6A"/>
    <w:rsid w:val="00A178E0"/>
    <w:rsid w:val="00A1791E"/>
    <w:rsid w:val="00A17D4B"/>
    <w:rsid w:val="00A200DB"/>
    <w:rsid w:val="00A209E4"/>
    <w:rsid w:val="00A21D1D"/>
    <w:rsid w:val="00A23D53"/>
    <w:rsid w:val="00A2444C"/>
    <w:rsid w:val="00A30639"/>
    <w:rsid w:val="00A30E07"/>
    <w:rsid w:val="00A31376"/>
    <w:rsid w:val="00A320B3"/>
    <w:rsid w:val="00A32B30"/>
    <w:rsid w:val="00A33B87"/>
    <w:rsid w:val="00A3667D"/>
    <w:rsid w:val="00A36A66"/>
    <w:rsid w:val="00A37EB3"/>
    <w:rsid w:val="00A40AF9"/>
    <w:rsid w:val="00A41F1A"/>
    <w:rsid w:val="00A43D33"/>
    <w:rsid w:val="00A441A4"/>
    <w:rsid w:val="00A441CA"/>
    <w:rsid w:val="00A46352"/>
    <w:rsid w:val="00A46824"/>
    <w:rsid w:val="00A47186"/>
    <w:rsid w:val="00A4769D"/>
    <w:rsid w:val="00A50D5D"/>
    <w:rsid w:val="00A519D3"/>
    <w:rsid w:val="00A51E2B"/>
    <w:rsid w:val="00A5305E"/>
    <w:rsid w:val="00A53425"/>
    <w:rsid w:val="00A54535"/>
    <w:rsid w:val="00A54F8F"/>
    <w:rsid w:val="00A55FC3"/>
    <w:rsid w:val="00A620DF"/>
    <w:rsid w:val="00A62B00"/>
    <w:rsid w:val="00A631F5"/>
    <w:rsid w:val="00A64A36"/>
    <w:rsid w:val="00A65B31"/>
    <w:rsid w:val="00A677CF"/>
    <w:rsid w:val="00A71620"/>
    <w:rsid w:val="00A71F89"/>
    <w:rsid w:val="00A72739"/>
    <w:rsid w:val="00A74AEE"/>
    <w:rsid w:val="00A776EA"/>
    <w:rsid w:val="00A80868"/>
    <w:rsid w:val="00A80AFC"/>
    <w:rsid w:val="00A80E21"/>
    <w:rsid w:val="00A80E82"/>
    <w:rsid w:val="00A82934"/>
    <w:rsid w:val="00A838FA"/>
    <w:rsid w:val="00A8399E"/>
    <w:rsid w:val="00A841D1"/>
    <w:rsid w:val="00A844F4"/>
    <w:rsid w:val="00A84909"/>
    <w:rsid w:val="00A84B2C"/>
    <w:rsid w:val="00A85509"/>
    <w:rsid w:val="00A87E0F"/>
    <w:rsid w:val="00A87F5F"/>
    <w:rsid w:val="00A910CA"/>
    <w:rsid w:val="00A92B65"/>
    <w:rsid w:val="00A94129"/>
    <w:rsid w:val="00A94A25"/>
    <w:rsid w:val="00A96422"/>
    <w:rsid w:val="00AA2239"/>
    <w:rsid w:val="00AA25C5"/>
    <w:rsid w:val="00AA41DF"/>
    <w:rsid w:val="00AA4233"/>
    <w:rsid w:val="00AA4EE6"/>
    <w:rsid w:val="00AA7073"/>
    <w:rsid w:val="00AB001F"/>
    <w:rsid w:val="00AB0442"/>
    <w:rsid w:val="00AB2E3D"/>
    <w:rsid w:val="00AB46FB"/>
    <w:rsid w:val="00AB4BA5"/>
    <w:rsid w:val="00AB4BC0"/>
    <w:rsid w:val="00AB61B5"/>
    <w:rsid w:val="00AB68E6"/>
    <w:rsid w:val="00AB72CE"/>
    <w:rsid w:val="00AB7811"/>
    <w:rsid w:val="00AC003F"/>
    <w:rsid w:val="00AC035E"/>
    <w:rsid w:val="00AC06E6"/>
    <w:rsid w:val="00AC0A1B"/>
    <w:rsid w:val="00AC1029"/>
    <w:rsid w:val="00AC16AD"/>
    <w:rsid w:val="00AC304C"/>
    <w:rsid w:val="00AC3FF4"/>
    <w:rsid w:val="00AC64A4"/>
    <w:rsid w:val="00AC74B0"/>
    <w:rsid w:val="00AC7F01"/>
    <w:rsid w:val="00AD030C"/>
    <w:rsid w:val="00AD0423"/>
    <w:rsid w:val="00AD0740"/>
    <w:rsid w:val="00AD0853"/>
    <w:rsid w:val="00AD1F23"/>
    <w:rsid w:val="00AD360C"/>
    <w:rsid w:val="00AD3A3C"/>
    <w:rsid w:val="00AD60D0"/>
    <w:rsid w:val="00AD7925"/>
    <w:rsid w:val="00AE2C97"/>
    <w:rsid w:val="00AE4B49"/>
    <w:rsid w:val="00AE57F5"/>
    <w:rsid w:val="00AE5F4D"/>
    <w:rsid w:val="00AF2813"/>
    <w:rsid w:val="00AF3579"/>
    <w:rsid w:val="00AF3A82"/>
    <w:rsid w:val="00AF75A9"/>
    <w:rsid w:val="00B0180F"/>
    <w:rsid w:val="00B05BE9"/>
    <w:rsid w:val="00B05BF5"/>
    <w:rsid w:val="00B06D4E"/>
    <w:rsid w:val="00B10BA0"/>
    <w:rsid w:val="00B13DA3"/>
    <w:rsid w:val="00B147E3"/>
    <w:rsid w:val="00B14ADC"/>
    <w:rsid w:val="00B14B0F"/>
    <w:rsid w:val="00B16993"/>
    <w:rsid w:val="00B210F2"/>
    <w:rsid w:val="00B21D39"/>
    <w:rsid w:val="00B22007"/>
    <w:rsid w:val="00B22699"/>
    <w:rsid w:val="00B235BB"/>
    <w:rsid w:val="00B264BC"/>
    <w:rsid w:val="00B26BF9"/>
    <w:rsid w:val="00B27D05"/>
    <w:rsid w:val="00B305E0"/>
    <w:rsid w:val="00B3063D"/>
    <w:rsid w:val="00B30F7D"/>
    <w:rsid w:val="00B32384"/>
    <w:rsid w:val="00B32B3A"/>
    <w:rsid w:val="00B35209"/>
    <w:rsid w:val="00B360E5"/>
    <w:rsid w:val="00B36410"/>
    <w:rsid w:val="00B36DD9"/>
    <w:rsid w:val="00B40928"/>
    <w:rsid w:val="00B4181F"/>
    <w:rsid w:val="00B4221B"/>
    <w:rsid w:val="00B42743"/>
    <w:rsid w:val="00B42C71"/>
    <w:rsid w:val="00B44115"/>
    <w:rsid w:val="00B443B5"/>
    <w:rsid w:val="00B45379"/>
    <w:rsid w:val="00B522E9"/>
    <w:rsid w:val="00B53B34"/>
    <w:rsid w:val="00B579E5"/>
    <w:rsid w:val="00B57A56"/>
    <w:rsid w:val="00B57B85"/>
    <w:rsid w:val="00B57F9A"/>
    <w:rsid w:val="00B63937"/>
    <w:rsid w:val="00B63B99"/>
    <w:rsid w:val="00B6453A"/>
    <w:rsid w:val="00B64FDC"/>
    <w:rsid w:val="00B65735"/>
    <w:rsid w:val="00B66527"/>
    <w:rsid w:val="00B70561"/>
    <w:rsid w:val="00B70BAD"/>
    <w:rsid w:val="00B71F04"/>
    <w:rsid w:val="00B720C7"/>
    <w:rsid w:val="00B72118"/>
    <w:rsid w:val="00B7548B"/>
    <w:rsid w:val="00B76645"/>
    <w:rsid w:val="00B801B3"/>
    <w:rsid w:val="00B80793"/>
    <w:rsid w:val="00B8181E"/>
    <w:rsid w:val="00B82F20"/>
    <w:rsid w:val="00B8338A"/>
    <w:rsid w:val="00B8426A"/>
    <w:rsid w:val="00B8494A"/>
    <w:rsid w:val="00B84AF2"/>
    <w:rsid w:val="00B8557D"/>
    <w:rsid w:val="00B87167"/>
    <w:rsid w:val="00B915C4"/>
    <w:rsid w:val="00B91965"/>
    <w:rsid w:val="00B92B41"/>
    <w:rsid w:val="00B93B4E"/>
    <w:rsid w:val="00B96E06"/>
    <w:rsid w:val="00B9790B"/>
    <w:rsid w:val="00BA0DD0"/>
    <w:rsid w:val="00BA11C1"/>
    <w:rsid w:val="00BA1DB6"/>
    <w:rsid w:val="00BA4E25"/>
    <w:rsid w:val="00BB082D"/>
    <w:rsid w:val="00BB2388"/>
    <w:rsid w:val="00BB3000"/>
    <w:rsid w:val="00BB300C"/>
    <w:rsid w:val="00BB43BE"/>
    <w:rsid w:val="00BB6677"/>
    <w:rsid w:val="00BB75A9"/>
    <w:rsid w:val="00BB7BA4"/>
    <w:rsid w:val="00BC04F3"/>
    <w:rsid w:val="00BC7CF9"/>
    <w:rsid w:val="00BD0CB6"/>
    <w:rsid w:val="00BD16AB"/>
    <w:rsid w:val="00BD16BD"/>
    <w:rsid w:val="00BD57C0"/>
    <w:rsid w:val="00BD66AF"/>
    <w:rsid w:val="00BD6813"/>
    <w:rsid w:val="00BD6D8A"/>
    <w:rsid w:val="00BE0631"/>
    <w:rsid w:val="00BE24CB"/>
    <w:rsid w:val="00BE424D"/>
    <w:rsid w:val="00BE5995"/>
    <w:rsid w:val="00BF0B08"/>
    <w:rsid w:val="00BF4C2C"/>
    <w:rsid w:val="00BF5CBA"/>
    <w:rsid w:val="00BF642F"/>
    <w:rsid w:val="00BF6BED"/>
    <w:rsid w:val="00BF6F67"/>
    <w:rsid w:val="00BF71F4"/>
    <w:rsid w:val="00C01161"/>
    <w:rsid w:val="00C02E9B"/>
    <w:rsid w:val="00C067ED"/>
    <w:rsid w:val="00C06EEC"/>
    <w:rsid w:val="00C1303C"/>
    <w:rsid w:val="00C13364"/>
    <w:rsid w:val="00C13AF0"/>
    <w:rsid w:val="00C14411"/>
    <w:rsid w:val="00C16D1D"/>
    <w:rsid w:val="00C17B40"/>
    <w:rsid w:val="00C17E57"/>
    <w:rsid w:val="00C21B75"/>
    <w:rsid w:val="00C21EBA"/>
    <w:rsid w:val="00C2434F"/>
    <w:rsid w:val="00C25633"/>
    <w:rsid w:val="00C257D0"/>
    <w:rsid w:val="00C27DFB"/>
    <w:rsid w:val="00C307D7"/>
    <w:rsid w:val="00C3130F"/>
    <w:rsid w:val="00C316BA"/>
    <w:rsid w:val="00C31A25"/>
    <w:rsid w:val="00C31AE7"/>
    <w:rsid w:val="00C3262F"/>
    <w:rsid w:val="00C32892"/>
    <w:rsid w:val="00C34479"/>
    <w:rsid w:val="00C34A0E"/>
    <w:rsid w:val="00C34EA1"/>
    <w:rsid w:val="00C34EEF"/>
    <w:rsid w:val="00C35A02"/>
    <w:rsid w:val="00C36739"/>
    <w:rsid w:val="00C3753D"/>
    <w:rsid w:val="00C4237E"/>
    <w:rsid w:val="00C4257E"/>
    <w:rsid w:val="00C43EFE"/>
    <w:rsid w:val="00C4756E"/>
    <w:rsid w:val="00C47738"/>
    <w:rsid w:val="00C502A6"/>
    <w:rsid w:val="00C50B24"/>
    <w:rsid w:val="00C510C9"/>
    <w:rsid w:val="00C51247"/>
    <w:rsid w:val="00C52206"/>
    <w:rsid w:val="00C526D2"/>
    <w:rsid w:val="00C53417"/>
    <w:rsid w:val="00C55A52"/>
    <w:rsid w:val="00C5737D"/>
    <w:rsid w:val="00C617BD"/>
    <w:rsid w:val="00C62989"/>
    <w:rsid w:val="00C65834"/>
    <w:rsid w:val="00C661C8"/>
    <w:rsid w:val="00C701DE"/>
    <w:rsid w:val="00C707D4"/>
    <w:rsid w:val="00C71491"/>
    <w:rsid w:val="00C7154A"/>
    <w:rsid w:val="00C71EE6"/>
    <w:rsid w:val="00C744D0"/>
    <w:rsid w:val="00C74FB4"/>
    <w:rsid w:val="00C7520F"/>
    <w:rsid w:val="00C75B1F"/>
    <w:rsid w:val="00C8059D"/>
    <w:rsid w:val="00C82CB9"/>
    <w:rsid w:val="00C834F2"/>
    <w:rsid w:val="00C8486D"/>
    <w:rsid w:val="00C84E21"/>
    <w:rsid w:val="00C86568"/>
    <w:rsid w:val="00C86BC0"/>
    <w:rsid w:val="00C8716C"/>
    <w:rsid w:val="00C916A2"/>
    <w:rsid w:val="00C926A4"/>
    <w:rsid w:val="00C933FE"/>
    <w:rsid w:val="00C93DD6"/>
    <w:rsid w:val="00C94291"/>
    <w:rsid w:val="00C94D92"/>
    <w:rsid w:val="00C955D1"/>
    <w:rsid w:val="00C95CB7"/>
    <w:rsid w:val="00C95CCB"/>
    <w:rsid w:val="00C9623A"/>
    <w:rsid w:val="00C976E9"/>
    <w:rsid w:val="00CA0E87"/>
    <w:rsid w:val="00CA21ED"/>
    <w:rsid w:val="00CA2838"/>
    <w:rsid w:val="00CA316A"/>
    <w:rsid w:val="00CA47C4"/>
    <w:rsid w:val="00CA4EFB"/>
    <w:rsid w:val="00CA56B4"/>
    <w:rsid w:val="00CA6DCB"/>
    <w:rsid w:val="00CA6EC2"/>
    <w:rsid w:val="00CB0205"/>
    <w:rsid w:val="00CB1241"/>
    <w:rsid w:val="00CB2143"/>
    <w:rsid w:val="00CB21CF"/>
    <w:rsid w:val="00CB2748"/>
    <w:rsid w:val="00CB30CE"/>
    <w:rsid w:val="00CB4317"/>
    <w:rsid w:val="00CB452D"/>
    <w:rsid w:val="00CB564E"/>
    <w:rsid w:val="00CB7157"/>
    <w:rsid w:val="00CB76D8"/>
    <w:rsid w:val="00CB7B6F"/>
    <w:rsid w:val="00CB7FA7"/>
    <w:rsid w:val="00CC18D7"/>
    <w:rsid w:val="00CC20AB"/>
    <w:rsid w:val="00CC21E0"/>
    <w:rsid w:val="00CC24A4"/>
    <w:rsid w:val="00CC29D3"/>
    <w:rsid w:val="00CC3378"/>
    <w:rsid w:val="00CC63D8"/>
    <w:rsid w:val="00CC64D7"/>
    <w:rsid w:val="00CC6735"/>
    <w:rsid w:val="00CC79A4"/>
    <w:rsid w:val="00CD14DD"/>
    <w:rsid w:val="00CD24F4"/>
    <w:rsid w:val="00CD2B87"/>
    <w:rsid w:val="00CD2E11"/>
    <w:rsid w:val="00CD5816"/>
    <w:rsid w:val="00CD5EA3"/>
    <w:rsid w:val="00CD6BAE"/>
    <w:rsid w:val="00CD738B"/>
    <w:rsid w:val="00CE034F"/>
    <w:rsid w:val="00CE0B32"/>
    <w:rsid w:val="00CE1AE6"/>
    <w:rsid w:val="00CE1C6C"/>
    <w:rsid w:val="00CE1D0E"/>
    <w:rsid w:val="00CE29F0"/>
    <w:rsid w:val="00CE3A2F"/>
    <w:rsid w:val="00CE4430"/>
    <w:rsid w:val="00CE5A8D"/>
    <w:rsid w:val="00CE6489"/>
    <w:rsid w:val="00CE6636"/>
    <w:rsid w:val="00CE6A24"/>
    <w:rsid w:val="00CE70A5"/>
    <w:rsid w:val="00CF0BBF"/>
    <w:rsid w:val="00CF11BA"/>
    <w:rsid w:val="00CF2214"/>
    <w:rsid w:val="00CF265D"/>
    <w:rsid w:val="00CF28F5"/>
    <w:rsid w:val="00CF2DC1"/>
    <w:rsid w:val="00CF3890"/>
    <w:rsid w:val="00CF4838"/>
    <w:rsid w:val="00CF60F7"/>
    <w:rsid w:val="00CF737D"/>
    <w:rsid w:val="00D01265"/>
    <w:rsid w:val="00D0171E"/>
    <w:rsid w:val="00D01E44"/>
    <w:rsid w:val="00D02074"/>
    <w:rsid w:val="00D02477"/>
    <w:rsid w:val="00D02933"/>
    <w:rsid w:val="00D04C20"/>
    <w:rsid w:val="00D04C9B"/>
    <w:rsid w:val="00D04DBF"/>
    <w:rsid w:val="00D06246"/>
    <w:rsid w:val="00D06B07"/>
    <w:rsid w:val="00D06B81"/>
    <w:rsid w:val="00D07015"/>
    <w:rsid w:val="00D077CA"/>
    <w:rsid w:val="00D10ED0"/>
    <w:rsid w:val="00D11F86"/>
    <w:rsid w:val="00D12264"/>
    <w:rsid w:val="00D12274"/>
    <w:rsid w:val="00D127EE"/>
    <w:rsid w:val="00D12A64"/>
    <w:rsid w:val="00D15791"/>
    <w:rsid w:val="00D15ADA"/>
    <w:rsid w:val="00D15D88"/>
    <w:rsid w:val="00D16EC4"/>
    <w:rsid w:val="00D17C3C"/>
    <w:rsid w:val="00D24199"/>
    <w:rsid w:val="00D24365"/>
    <w:rsid w:val="00D24E8C"/>
    <w:rsid w:val="00D26E47"/>
    <w:rsid w:val="00D303F0"/>
    <w:rsid w:val="00D3111C"/>
    <w:rsid w:val="00D312A6"/>
    <w:rsid w:val="00D31ECA"/>
    <w:rsid w:val="00D323D0"/>
    <w:rsid w:val="00D33A24"/>
    <w:rsid w:val="00D34807"/>
    <w:rsid w:val="00D356C5"/>
    <w:rsid w:val="00D359FB"/>
    <w:rsid w:val="00D373CF"/>
    <w:rsid w:val="00D451E8"/>
    <w:rsid w:val="00D45E8C"/>
    <w:rsid w:val="00D473F8"/>
    <w:rsid w:val="00D47B5E"/>
    <w:rsid w:val="00D508C1"/>
    <w:rsid w:val="00D50CC4"/>
    <w:rsid w:val="00D52297"/>
    <w:rsid w:val="00D53379"/>
    <w:rsid w:val="00D53873"/>
    <w:rsid w:val="00D55BF6"/>
    <w:rsid w:val="00D57A46"/>
    <w:rsid w:val="00D57D06"/>
    <w:rsid w:val="00D57E3E"/>
    <w:rsid w:val="00D60234"/>
    <w:rsid w:val="00D60644"/>
    <w:rsid w:val="00D6175F"/>
    <w:rsid w:val="00D61961"/>
    <w:rsid w:val="00D637E8"/>
    <w:rsid w:val="00D64A5F"/>
    <w:rsid w:val="00D6520F"/>
    <w:rsid w:val="00D65220"/>
    <w:rsid w:val="00D679DF"/>
    <w:rsid w:val="00D67B17"/>
    <w:rsid w:val="00D67B21"/>
    <w:rsid w:val="00D7119A"/>
    <w:rsid w:val="00D7132D"/>
    <w:rsid w:val="00D71409"/>
    <w:rsid w:val="00D7205D"/>
    <w:rsid w:val="00D75535"/>
    <w:rsid w:val="00D75C0F"/>
    <w:rsid w:val="00D775C2"/>
    <w:rsid w:val="00D77751"/>
    <w:rsid w:val="00D77FFA"/>
    <w:rsid w:val="00D803CB"/>
    <w:rsid w:val="00D81F51"/>
    <w:rsid w:val="00D8269D"/>
    <w:rsid w:val="00D827AA"/>
    <w:rsid w:val="00D8288E"/>
    <w:rsid w:val="00D8399E"/>
    <w:rsid w:val="00D84539"/>
    <w:rsid w:val="00D851E9"/>
    <w:rsid w:val="00D85574"/>
    <w:rsid w:val="00D90172"/>
    <w:rsid w:val="00D91E7C"/>
    <w:rsid w:val="00D92BF3"/>
    <w:rsid w:val="00D949BE"/>
    <w:rsid w:val="00D9508E"/>
    <w:rsid w:val="00D95957"/>
    <w:rsid w:val="00D95979"/>
    <w:rsid w:val="00D97121"/>
    <w:rsid w:val="00D9750E"/>
    <w:rsid w:val="00D97EEF"/>
    <w:rsid w:val="00DA05E8"/>
    <w:rsid w:val="00DA1E54"/>
    <w:rsid w:val="00DA1FAE"/>
    <w:rsid w:val="00DA24F5"/>
    <w:rsid w:val="00DA3328"/>
    <w:rsid w:val="00DA3971"/>
    <w:rsid w:val="00DA539A"/>
    <w:rsid w:val="00DA7230"/>
    <w:rsid w:val="00DA7A2C"/>
    <w:rsid w:val="00DA7B8A"/>
    <w:rsid w:val="00DA7E7B"/>
    <w:rsid w:val="00DB3A45"/>
    <w:rsid w:val="00DB3FAC"/>
    <w:rsid w:val="00DB473A"/>
    <w:rsid w:val="00DB4E86"/>
    <w:rsid w:val="00DB5F1C"/>
    <w:rsid w:val="00DB62DF"/>
    <w:rsid w:val="00DB6761"/>
    <w:rsid w:val="00DB72D0"/>
    <w:rsid w:val="00DB7AD3"/>
    <w:rsid w:val="00DC0571"/>
    <w:rsid w:val="00DC08AC"/>
    <w:rsid w:val="00DC19AA"/>
    <w:rsid w:val="00DC28AA"/>
    <w:rsid w:val="00DC523D"/>
    <w:rsid w:val="00DC5821"/>
    <w:rsid w:val="00DC6CE6"/>
    <w:rsid w:val="00DD21E8"/>
    <w:rsid w:val="00DD39C7"/>
    <w:rsid w:val="00DD40F8"/>
    <w:rsid w:val="00DD6416"/>
    <w:rsid w:val="00DD78FC"/>
    <w:rsid w:val="00DD7CCB"/>
    <w:rsid w:val="00DD7D9D"/>
    <w:rsid w:val="00DE0D40"/>
    <w:rsid w:val="00DE1B76"/>
    <w:rsid w:val="00DE3D0F"/>
    <w:rsid w:val="00DE4B7A"/>
    <w:rsid w:val="00DE5F5D"/>
    <w:rsid w:val="00DE6488"/>
    <w:rsid w:val="00DE7FE5"/>
    <w:rsid w:val="00DF09A0"/>
    <w:rsid w:val="00DF0A9C"/>
    <w:rsid w:val="00DF253E"/>
    <w:rsid w:val="00DF35D3"/>
    <w:rsid w:val="00DF361D"/>
    <w:rsid w:val="00DF47A4"/>
    <w:rsid w:val="00DF4B57"/>
    <w:rsid w:val="00DF55E9"/>
    <w:rsid w:val="00DF5807"/>
    <w:rsid w:val="00DF5C70"/>
    <w:rsid w:val="00DF651B"/>
    <w:rsid w:val="00DF7AAD"/>
    <w:rsid w:val="00E00443"/>
    <w:rsid w:val="00E007EE"/>
    <w:rsid w:val="00E008E7"/>
    <w:rsid w:val="00E009B5"/>
    <w:rsid w:val="00E01507"/>
    <w:rsid w:val="00E02785"/>
    <w:rsid w:val="00E0316D"/>
    <w:rsid w:val="00E03263"/>
    <w:rsid w:val="00E052EE"/>
    <w:rsid w:val="00E05A25"/>
    <w:rsid w:val="00E0631C"/>
    <w:rsid w:val="00E06B1E"/>
    <w:rsid w:val="00E10BFF"/>
    <w:rsid w:val="00E10D0A"/>
    <w:rsid w:val="00E14C8C"/>
    <w:rsid w:val="00E14DCB"/>
    <w:rsid w:val="00E14DF7"/>
    <w:rsid w:val="00E1546A"/>
    <w:rsid w:val="00E15649"/>
    <w:rsid w:val="00E242C1"/>
    <w:rsid w:val="00E27A9A"/>
    <w:rsid w:val="00E3234E"/>
    <w:rsid w:val="00E34361"/>
    <w:rsid w:val="00E34B81"/>
    <w:rsid w:val="00E35BB7"/>
    <w:rsid w:val="00E35E19"/>
    <w:rsid w:val="00E367AD"/>
    <w:rsid w:val="00E369BF"/>
    <w:rsid w:val="00E3724C"/>
    <w:rsid w:val="00E4078E"/>
    <w:rsid w:val="00E42B75"/>
    <w:rsid w:val="00E44F64"/>
    <w:rsid w:val="00E45B9F"/>
    <w:rsid w:val="00E46698"/>
    <w:rsid w:val="00E47062"/>
    <w:rsid w:val="00E47CF5"/>
    <w:rsid w:val="00E504EE"/>
    <w:rsid w:val="00E53709"/>
    <w:rsid w:val="00E5445D"/>
    <w:rsid w:val="00E5597B"/>
    <w:rsid w:val="00E55FD7"/>
    <w:rsid w:val="00E57B6C"/>
    <w:rsid w:val="00E60EDB"/>
    <w:rsid w:val="00E6206A"/>
    <w:rsid w:val="00E63900"/>
    <w:rsid w:val="00E63FB7"/>
    <w:rsid w:val="00E655BF"/>
    <w:rsid w:val="00E670AF"/>
    <w:rsid w:val="00E7001C"/>
    <w:rsid w:val="00E702A9"/>
    <w:rsid w:val="00E70FA5"/>
    <w:rsid w:val="00E72301"/>
    <w:rsid w:val="00E727CB"/>
    <w:rsid w:val="00E731E6"/>
    <w:rsid w:val="00E73299"/>
    <w:rsid w:val="00E75545"/>
    <w:rsid w:val="00E766E1"/>
    <w:rsid w:val="00E76A1C"/>
    <w:rsid w:val="00E81C51"/>
    <w:rsid w:val="00E82238"/>
    <w:rsid w:val="00E85520"/>
    <w:rsid w:val="00E86EB9"/>
    <w:rsid w:val="00E871B8"/>
    <w:rsid w:val="00E91E25"/>
    <w:rsid w:val="00E94D41"/>
    <w:rsid w:val="00E96839"/>
    <w:rsid w:val="00EA0FD6"/>
    <w:rsid w:val="00EA2958"/>
    <w:rsid w:val="00EA2F3D"/>
    <w:rsid w:val="00EA3232"/>
    <w:rsid w:val="00EA38FB"/>
    <w:rsid w:val="00EA4372"/>
    <w:rsid w:val="00EA4612"/>
    <w:rsid w:val="00EA48FE"/>
    <w:rsid w:val="00EA49E9"/>
    <w:rsid w:val="00EA6A48"/>
    <w:rsid w:val="00EA716C"/>
    <w:rsid w:val="00EA768E"/>
    <w:rsid w:val="00EB0B65"/>
    <w:rsid w:val="00EB2224"/>
    <w:rsid w:val="00EC021E"/>
    <w:rsid w:val="00EC1204"/>
    <w:rsid w:val="00EC16A0"/>
    <w:rsid w:val="00EC30C1"/>
    <w:rsid w:val="00EC38A8"/>
    <w:rsid w:val="00EC4EE3"/>
    <w:rsid w:val="00EC71CC"/>
    <w:rsid w:val="00EC7329"/>
    <w:rsid w:val="00ED49A8"/>
    <w:rsid w:val="00ED4F90"/>
    <w:rsid w:val="00ED57E5"/>
    <w:rsid w:val="00ED751D"/>
    <w:rsid w:val="00EE03BA"/>
    <w:rsid w:val="00EE0ECC"/>
    <w:rsid w:val="00EE0F6A"/>
    <w:rsid w:val="00EE28D7"/>
    <w:rsid w:val="00EE2A5D"/>
    <w:rsid w:val="00EE2B46"/>
    <w:rsid w:val="00EE483A"/>
    <w:rsid w:val="00EE56EE"/>
    <w:rsid w:val="00EE678F"/>
    <w:rsid w:val="00EE7056"/>
    <w:rsid w:val="00EE75FE"/>
    <w:rsid w:val="00EF054E"/>
    <w:rsid w:val="00EF0B2A"/>
    <w:rsid w:val="00EF138F"/>
    <w:rsid w:val="00EF14CF"/>
    <w:rsid w:val="00EF2341"/>
    <w:rsid w:val="00EF3BCD"/>
    <w:rsid w:val="00EF6DFC"/>
    <w:rsid w:val="00EF6E44"/>
    <w:rsid w:val="00F015F3"/>
    <w:rsid w:val="00F02BF4"/>
    <w:rsid w:val="00F03F43"/>
    <w:rsid w:val="00F04AA6"/>
    <w:rsid w:val="00F07A80"/>
    <w:rsid w:val="00F14400"/>
    <w:rsid w:val="00F15ED8"/>
    <w:rsid w:val="00F16DF9"/>
    <w:rsid w:val="00F214E7"/>
    <w:rsid w:val="00F21965"/>
    <w:rsid w:val="00F233D0"/>
    <w:rsid w:val="00F23750"/>
    <w:rsid w:val="00F23CB1"/>
    <w:rsid w:val="00F27799"/>
    <w:rsid w:val="00F27D44"/>
    <w:rsid w:val="00F3083A"/>
    <w:rsid w:val="00F308CE"/>
    <w:rsid w:val="00F31C08"/>
    <w:rsid w:val="00F32C72"/>
    <w:rsid w:val="00F333D0"/>
    <w:rsid w:val="00F33868"/>
    <w:rsid w:val="00F3568F"/>
    <w:rsid w:val="00F375B3"/>
    <w:rsid w:val="00F3786A"/>
    <w:rsid w:val="00F37B95"/>
    <w:rsid w:val="00F37FDB"/>
    <w:rsid w:val="00F4227C"/>
    <w:rsid w:val="00F42588"/>
    <w:rsid w:val="00F42968"/>
    <w:rsid w:val="00F443BB"/>
    <w:rsid w:val="00F45CAC"/>
    <w:rsid w:val="00F47059"/>
    <w:rsid w:val="00F4747A"/>
    <w:rsid w:val="00F50C6A"/>
    <w:rsid w:val="00F51015"/>
    <w:rsid w:val="00F5167D"/>
    <w:rsid w:val="00F52535"/>
    <w:rsid w:val="00F52F8E"/>
    <w:rsid w:val="00F5339C"/>
    <w:rsid w:val="00F536B5"/>
    <w:rsid w:val="00F54236"/>
    <w:rsid w:val="00F552A5"/>
    <w:rsid w:val="00F55B6C"/>
    <w:rsid w:val="00F56AA9"/>
    <w:rsid w:val="00F56CB1"/>
    <w:rsid w:val="00F57A2D"/>
    <w:rsid w:val="00F57A3C"/>
    <w:rsid w:val="00F62CBE"/>
    <w:rsid w:val="00F64EC0"/>
    <w:rsid w:val="00F65332"/>
    <w:rsid w:val="00F673C1"/>
    <w:rsid w:val="00F7114C"/>
    <w:rsid w:val="00F71412"/>
    <w:rsid w:val="00F71953"/>
    <w:rsid w:val="00F71F20"/>
    <w:rsid w:val="00F7206C"/>
    <w:rsid w:val="00F738A1"/>
    <w:rsid w:val="00F73D57"/>
    <w:rsid w:val="00F73F1C"/>
    <w:rsid w:val="00F74C45"/>
    <w:rsid w:val="00F74C89"/>
    <w:rsid w:val="00F74CA4"/>
    <w:rsid w:val="00F7558A"/>
    <w:rsid w:val="00F75EA9"/>
    <w:rsid w:val="00F803B3"/>
    <w:rsid w:val="00F82BAC"/>
    <w:rsid w:val="00F84655"/>
    <w:rsid w:val="00F85D3C"/>
    <w:rsid w:val="00F862F7"/>
    <w:rsid w:val="00F863FD"/>
    <w:rsid w:val="00F87990"/>
    <w:rsid w:val="00F9067C"/>
    <w:rsid w:val="00F94464"/>
    <w:rsid w:val="00F949F5"/>
    <w:rsid w:val="00F95C66"/>
    <w:rsid w:val="00F96489"/>
    <w:rsid w:val="00FA21E7"/>
    <w:rsid w:val="00FA228C"/>
    <w:rsid w:val="00FA44A3"/>
    <w:rsid w:val="00FA7D1B"/>
    <w:rsid w:val="00FB0EC9"/>
    <w:rsid w:val="00FB172A"/>
    <w:rsid w:val="00FB3EE4"/>
    <w:rsid w:val="00FB500D"/>
    <w:rsid w:val="00FB63D6"/>
    <w:rsid w:val="00FB6856"/>
    <w:rsid w:val="00FB7804"/>
    <w:rsid w:val="00FC1361"/>
    <w:rsid w:val="00FC177A"/>
    <w:rsid w:val="00FC3351"/>
    <w:rsid w:val="00FC495F"/>
    <w:rsid w:val="00FD1752"/>
    <w:rsid w:val="00FD2FBC"/>
    <w:rsid w:val="00FD499E"/>
    <w:rsid w:val="00FD4A76"/>
    <w:rsid w:val="00FD5A2F"/>
    <w:rsid w:val="00FD5E9C"/>
    <w:rsid w:val="00FD6F5A"/>
    <w:rsid w:val="00FD7691"/>
    <w:rsid w:val="00FE141D"/>
    <w:rsid w:val="00FE14F3"/>
    <w:rsid w:val="00FE2181"/>
    <w:rsid w:val="00FE3B14"/>
    <w:rsid w:val="00FE4D83"/>
    <w:rsid w:val="00FE64B2"/>
    <w:rsid w:val="00FE705F"/>
    <w:rsid w:val="00FE782E"/>
    <w:rsid w:val="00FE7BF5"/>
    <w:rsid w:val="00FE7EE1"/>
    <w:rsid w:val="00FF0245"/>
    <w:rsid w:val="00FF10F0"/>
    <w:rsid w:val="00FF1A8F"/>
    <w:rsid w:val="00FF3F74"/>
    <w:rsid w:val="00FF5564"/>
    <w:rsid w:val="00FF60C7"/>
    <w:rsid w:val="00FF667F"/>
    <w:rsid w:val="00FF66A5"/>
    <w:rsid w:val="00FF72E9"/>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015"/>
    <w:rPr>
      <w:sz w:val="24"/>
      <w:szCs w:val="24"/>
    </w:rPr>
  </w:style>
  <w:style w:type="paragraph" w:styleId="Heading1">
    <w:name w:val="heading 1"/>
    <w:basedOn w:val="Normal"/>
    <w:next w:val="Normal"/>
    <w:link w:val="Heading1Char"/>
    <w:qFormat/>
    <w:rsid w:val="001C0B8A"/>
    <w:pPr>
      <w:keepNext/>
      <w:spacing w:before="960" w:after="60"/>
      <w:jc w:val="center"/>
      <w:outlineLvl w:val="0"/>
    </w:pPr>
    <w:rPr>
      <w:rFonts w:ascii="Arial" w:hAnsi="Arial" w:cs="Arial"/>
      <w:b/>
      <w:bCs/>
      <w:kern w:val="32"/>
      <w:sz w:val="36"/>
      <w:szCs w:val="36"/>
    </w:rPr>
  </w:style>
  <w:style w:type="paragraph" w:styleId="Heading2">
    <w:name w:val="heading 2"/>
    <w:basedOn w:val="Normal"/>
    <w:next w:val="Normal"/>
    <w:link w:val="Heading2Char"/>
    <w:unhideWhenUsed/>
    <w:qFormat/>
    <w:rsid w:val="000A359F"/>
    <w:pPr>
      <w:keepNext/>
      <w:spacing w:before="240" w:after="60"/>
      <w:outlineLvl w:val="1"/>
    </w:pPr>
    <w:rPr>
      <w:rFonts w:ascii="Arial" w:hAnsi="Arial" w:cs="Arial"/>
      <w:b/>
      <w:bCs/>
      <w:iCs/>
      <w:noProof/>
    </w:rPr>
  </w:style>
  <w:style w:type="paragraph" w:styleId="Heading3">
    <w:name w:val="heading 3"/>
    <w:basedOn w:val="3rdheading"/>
    <w:next w:val="Normal"/>
    <w:link w:val="Heading3Char"/>
    <w:qFormat/>
    <w:rsid w:val="000A359F"/>
    <w:pPr>
      <w:spacing w:before="240" w:after="0"/>
      <w:outlineLvl w:val="2"/>
    </w:pPr>
    <w:rPr>
      <w:rFonts w:ascii="Arial" w:hAnsi="Arial" w:cs="Arial"/>
      <w:i/>
    </w:rPr>
  </w:style>
  <w:style w:type="paragraph" w:styleId="Heading4">
    <w:name w:val="heading 4"/>
    <w:basedOn w:val="Normal"/>
    <w:next w:val="Normal"/>
    <w:link w:val="Heading4Char"/>
    <w:unhideWhenUsed/>
    <w:qFormat/>
    <w:rsid w:val="002E3923"/>
    <w:pPr>
      <w:keepNext/>
      <w:spacing w:before="12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571"/>
    <w:pPr>
      <w:shd w:val="clear" w:color="auto" w:fill="948A54"/>
      <w:tabs>
        <w:tab w:val="center" w:pos="4320"/>
        <w:tab w:val="right" w:pos="8640"/>
      </w:tabs>
      <w:spacing w:after="360"/>
    </w:pPr>
    <w:rPr>
      <w:rFonts w:ascii="Calibri" w:hAnsi="Calibri"/>
      <w:noProof/>
    </w:rPr>
  </w:style>
  <w:style w:type="paragraph" w:styleId="Footer">
    <w:name w:val="footer"/>
    <w:basedOn w:val="Normal"/>
    <w:link w:val="FooterChar"/>
    <w:uiPriority w:val="99"/>
    <w:rsid w:val="002523BD"/>
    <w:pPr>
      <w:tabs>
        <w:tab w:val="center" w:pos="4320"/>
        <w:tab w:val="right" w:pos="8640"/>
      </w:tabs>
    </w:pPr>
  </w:style>
  <w:style w:type="paragraph" w:customStyle="1" w:styleId="text">
    <w:name w:val="text"/>
    <w:basedOn w:val="Normal"/>
    <w:link w:val="textChar"/>
    <w:rsid w:val="002523BD"/>
    <w:rPr>
      <w:rFonts w:ascii="Novarese Bk BT" w:hAnsi="Novarese Bk BT"/>
      <w:sz w:val="20"/>
      <w:szCs w:val="20"/>
    </w:rPr>
  </w:style>
  <w:style w:type="character" w:customStyle="1" w:styleId="textChar">
    <w:name w:val="text Char"/>
    <w:link w:val="text"/>
    <w:rsid w:val="002523BD"/>
    <w:rPr>
      <w:rFonts w:ascii="Novarese Bk BT" w:hAnsi="Novarese Bk BT"/>
      <w:lang w:val="en-US" w:eastAsia="en-US" w:bidi="ar-SA"/>
    </w:rPr>
  </w:style>
  <w:style w:type="paragraph" w:customStyle="1" w:styleId="headings">
    <w:name w:val="headings"/>
    <w:basedOn w:val="Heading3"/>
    <w:link w:val="headingsChar"/>
    <w:rsid w:val="00EA6A48"/>
  </w:style>
  <w:style w:type="character" w:styleId="FollowedHyperlink">
    <w:name w:val="FollowedHyperlink"/>
    <w:rsid w:val="002523BD"/>
    <w:rPr>
      <w:color w:val="800080"/>
      <w:u w:val="single"/>
    </w:rPr>
  </w:style>
  <w:style w:type="paragraph" w:styleId="BalloonText">
    <w:name w:val="Balloon Text"/>
    <w:basedOn w:val="Normal"/>
    <w:semiHidden/>
    <w:rsid w:val="002523BD"/>
    <w:rPr>
      <w:rFonts w:ascii="Tahoma" w:hAnsi="Tahoma" w:cs="Tahoma"/>
      <w:sz w:val="16"/>
      <w:szCs w:val="16"/>
    </w:rPr>
  </w:style>
  <w:style w:type="character" w:styleId="FootnoteReference">
    <w:name w:val="footnote reference"/>
    <w:semiHidden/>
    <w:rsid w:val="002523BD"/>
    <w:rPr>
      <w:vertAlign w:val="superscript"/>
    </w:rPr>
  </w:style>
  <w:style w:type="paragraph" w:styleId="FootnoteText">
    <w:name w:val="footnote text"/>
    <w:basedOn w:val="Normal"/>
    <w:semiHidden/>
    <w:rsid w:val="002E11DD"/>
    <w:pPr>
      <w:spacing w:before="240"/>
    </w:pPr>
    <w:rPr>
      <w:sz w:val="20"/>
      <w:szCs w:val="20"/>
    </w:rPr>
  </w:style>
  <w:style w:type="character" w:customStyle="1" w:styleId="headingsChar">
    <w:name w:val="headings Char"/>
    <w:link w:val="headings"/>
    <w:rsid w:val="00EA6A48"/>
    <w:rPr>
      <w:rFonts w:ascii="Arial" w:hAnsi="Arial" w:cs="Arial"/>
      <w:b/>
      <w:bCs/>
      <w:sz w:val="26"/>
      <w:szCs w:val="26"/>
    </w:rPr>
  </w:style>
  <w:style w:type="table" w:styleId="TableGrid">
    <w:name w:val="Table Grid"/>
    <w:basedOn w:val="TableNormal"/>
    <w:rsid w:val="0067290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6E6"/>
    <w:pPr>
      <w:ind w:left="1080"/>
    </w:pPr>
  </w:style>
  <w:style w:type="paragraph" w:styleId="ListParagraph">
    <w:name w:val="List Paragraph"/>
    <w:basedOn w:val="Normal"/>
    <w:uiPriority w:val="34"/>
    <w:qFormat/>
    <w:rsid w:val="00B8494A"/>
    <w:pPr>
      <w:ind w:left="720"/>
    </w:pPr>
  </w:style>
  <w:style w:type="paragraph" w:customStyle="1" w:styleId="StyleheadingsLeft05">
    <w:name w:val="Style headings + Left:  0.5&quot;"/>
    <w:basedOn w:val="headings"/>
    <w:autoRedefine/>
    <w:rsid w:val="00E86EB9"/>
    <w:pPr>
      <w:ind w:left="720"/>
    </w:pPr>
    <w:rPr>
      <w:rFonts w:cs="Times New Roman"/>
    </w:rPr>
  </w:style>
  <w:style w:type="character" w:customStyle="1" w:styleId="Style10pt">
    <w:name w:val="Style 10 pt"/>
    <w:rsid w:val="00B305E0"/>
    <w:rPr>
      <w:sz w:val="22"/>
    </w:rPr>
  </w:style>
  <w:style w:type="paragraph" w:customStyle="1" w:styleId="Style10ptLeft05">
    <w:name w:val="Style 10 pt Left:  0.5&quot;"/>
    <w:basedOn w:val="Normal"/>
    <w:rsid w:val="00B305E0"/>
    <w:pPr>
      <w:ind w:left="720"/>
    </w:pPr>
    <w:rPr>
      <w:sz w:val="22"/>
      <w:szCs w:val="20"/>
    </w:rPr>
  </w:style>
  <w:style w:type="character" w:customStyle="1" w:styleId="HeaderChar">
    <w:name w:val="Header Char"/>
    <w:link w:val="Header"/>
    <w:uiPriority w:val="99"/>
    <w:rsid w:val="00DC0571"/>
    <w:rPr>
      <w:rFonts w:ascii="Calibri" w:hAnsi="Calibri"/>
      <w:noProof/>
      <w:sz w:val="24"/>
      <w:szCs w:val="24"/>
      <w:shd w:val="clear" w:color="auto" w:fill="948A54"/>
    </w:rPr>
  </w:style>
  <w:style w:type="character" w:customStyle="1" w:styleId="FooterChar">
    <w:name w:val="Footer Char"/>
    <w:link w:val="Footer"/>
    <w:uiPriority w:val="99"/>
    <w:rsid w:val="004A2CBD"/>
    <w:rPr>
      <w:sz w:val="24"/>
      <w:szCs w:val="24"/>
    </w:rPr>
  </w:style>
  <w:style w:type="character" w:customStyle="1" w:styleId="Heading1Char">
    <w:name w:val="Heading 1 Char"/>
    <w:link w:val="Heading1"/>
    <w:rsid w:val="001C0B8A"/>
    <w:rPr>
      <w:rFonts w:ascii="Arial" w:hAnsi="Arial" w:cs="Arial"/>
      <w:b/>
      <w:bCs/>
      <w:kern w:val="32"/>
      <w:sz w:val="36"/>
      <w:szCs w:val="36"/>
    </w:rPr>
  </w:style>
  <w:style w:type="paragraph" w:styleId="Title">
    <w:name w:val="Title"/>
    <w:basedOn w:val="Normal"/>
    <w:next w:val="Normal"/>
    <w:link w:val="TitleChar"/>
    <w:qFormat/>
    <w:rsid w:val="00716620"/>
    <w:pPr>
      <w:shd w:val="clear" w:color="auto" w:fill="4F81BD"/>
      <w:tabs>
        <w:tab w:val="center" w:pos="5760"/>
      </w:tabs>
      <w:jc w:val="center"/>
      <w:outlineLvl w:val="0"/>
    </w:pPr>
    <w:rPr>
      <w:rFonts w:ascii="Tahoma" w:hAnsi="Tahoma" w:cs="Tahoma"/>
      <w:b/>
      <w:bCs/>
      <w:noProof/>
      <w:color w:val="F2F2F2"/>
      <w:kern w:val="28"/>
      <w:sz w:val="64"/>
      <w:szCs w:val="64"/>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716620"/>
    <w:rPr>
      <w:rFonts w:ascii="Tahoma" w:hAnsi="Tahoma" w:cs="Tahoma"/>
      <w:b/>
      <w:bCs/>
      <w:noProof/>
      <w:color w:val="F2F2F2"/>
      <w:kern w:val="28"/>
      <w:sz w:val="64"/>
      <w:szCs w:val="64"/>
      <w:shd w:val="clear" w:color="auto" w:fill="4F81BD"/>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716620"/>
    <w:pPr>
      <w:shd w:val="clear" w:color="auto" w:fill="4F81BD"/>
      <w:spacing w:after="60"/>
      <w:jc w:val="center"/>
      <w:outlineLvl w:val="1"/>
    </w:pPr>
    <w:rPr>
      <w:rFonts w:ascii="Comic Sans MS" w:hAnsi="Comic Sans MS"/>
      <w:color w:val="F2F2F2"/>
      <w:sz w:val="28"/>
      <w:szCs w:val="28"/>
    </w:rPr>
  </w:style>
  <w:style w:type="character" w:customStyle="1" w:styleId="SubtitleChar">
    <w:name w:val="Subtitle Char"/>
    <w:link w:val="Subtitle"/>
    <w:rsid w:val="00716620"/>
    <w:rPr>
      <w:rFonts w:ascii="Comic Sans MS" w:hAnsi="Comic Sans MS"/>
      <w:color w:val="F2F2F2"/>
      <w:sz w:val="28"/>
      <w:szCs w:val="28"/>
      <w:shd w:val="clear" w:color="auto" w:fill="4F81BD"/>
    </w:rPr>
  </w:style>
  <w:style w:type="character" w:customStyle="1" w:styleId="Heading2Char">
    <w:name w:val="Heading 2 Char"/>
    <w:link w:val="Heading2"/>
    <w:rsid w:val="000A359F"/>
    <w:rPr>
      <w:rFonts w:ascii="Arial" w:hAnsi="Arial" w:cs="Arial"/>
      <w:b/>
      <w:bCs/>
      <w:iCs/>
      <w:noProof/>
      <w:sz w:val="24"/>
      <w:szCs w:val="24"/>
    </w:rPr>
  </w:style>
  <w:style w:type="character" w:customStyle="1" w:styleId="BodyTextIndentChar">
    <w:name w:val="Body Text Indent Char"/>
    <w:link w:val="BodyTextIndent"/>
    <w:rsid w:val="00EA6A48"/>
    <w:rPr>
      <w:sz w:val="24"/>
      <w:szCs w:val="24"/>
    </w:rPr>
  </w:style>
  <w:style w:type="paragraph" w:styleId="BodyText">
    <w:name w:val="Body Text"/>
    <w:basedOn w:val="Normal"/>
    <w:link w:val="BodyTextChar"/>
    <w:rsid w:val="00DC0571"/>
    <w:pPr>
      <w:spacing w:after="120"/>
    </w:pPr>
    <w:rPr>
      <w:rFonts w:ascii="Calibri" w:hAnsi="Calibri" w:cs="Tahoma"/>
    </w:rPr>
  </w:style>
  <w:style w:type="character" w:customStyle="1" w:styleId="BodyTextChar">
    <w:name w:val="Body Text Char"/>
    <w:link w:val="BodyText"/>
    <w:rsid w:val="00DC0571"/>
    <w:rPr>
      <w:rFonts w:ascii="Calibri" w:hAnsi="Calibri" w:cs="Tahoma"/>
      <w:sz w:val="24"/>
      <w:szCs w:val="24"/>
    </w:rPr>
  </w:style>
  <w:style w:type="paragraph" w:styleId="BodyText2">
    <w:name w:val="Body Text 2"/>
    <w:basedOn w:val="Normal"/>
    <w:link w:val="BodyText2Char"/>
    <w:rsid w:val="00B360E5"/>
    <w:pPr>
      <w:spacing w:after="120" w:line="480" w:lineRule="auto"/>
    </w:pPr>
  </w:style>
  <w:style w:type="character" w:customStyle="1" w:styleId="BodyText2Char">
    <w:name w:val="Body Text 2 Char"/>
    <w:link w:val="BodyText2"/>
    <w:rsid w:val="00B360E5"/>
    <w:rPr>
      <w:sz w:val="24"/>
      <w:szCs w:val="24"/>
    </w:rPr>
  </w:style>
  <w:style w:type="paragraph" w:styleId="ListBullet">
    <w:name w:val="List Bullet"/>
    <w:basedOn w:val="Normal"/>
    <w:rsid w:val="00FF3F74"/>
    <w:pPr>
      <w:numPr>
        <w:numId w:val="3"/>
      </w:numPr>
      <w:contextualSpacing/>
    </w:pPr>
  </w:style>
  <w:style w:type="paragraph" w:styleId="ListBullet2">
    <w:name w:val="List Bullet 2"/>
    <w:basedOn w:val="Normal"/>
    <w:rsid w:val="00FF3F74"/>
    <w:pPr>
      <w:numPr>
        <w:numId w:val="4"/>
      </w:numPr>
      <w:contextualSpacing/>
    </w:pPr>
  </w:style>
  <w:style w:type="character" w:styleId="EndnoteReference">
    <w:name w:val="endnote reference"/>
    <w:rsid w:val="00AA41DF"/>
    <w:rPr>
      <w:vertAlign w:val="superscript"/>
    </w:rPr>
  </w:style>
  <w:style w:type="paragraph" w:styleId="EndnoteText">
    <w:name w:val="endnote text"/>
    <w:basedOn w:val="Normal"/>
    <w:link w:val="EndnoteTextChar"/>
    <w:rsid w:val="00AA41DF"/>
    <w:rPr>
      <w:sz w:val="20"/>
      <w:szCs w:val="20"/>
    </w:rPr>
  </w:style>
  <w:style w:type="character" w:customStyle="1" w:styleId="EndnoteTextChar">
    <w:name w:val="Endnote Text Char"/>
    <w:basedOn w:val="DefaultParagraphFont"/>
    <w:link w:val="EndnoteText"/>
    <w:rsid w:val="00AA41DF"/>
  </w:style>
  <w:style w:type="paragraph" w:styleId="NoSpacing">
    <w:name w:val="No Spacing"/>
    <w:link w:val="NoSpacingChar"/>
    <w:uiPriority w:val="1"/>
    <w:qFormat/>
    <w:rsid w:val="00716620"/>
    <w:rPr>
      <w:rFonts w:ascii="Calibri" w:hAnsi="Calibri"/>
      <w:sz w:val="22"/>
      <w:szCs w:val="22"/>
    </w:rPr>
  </w:style>
  <w:style w:type="character" w:customStyle="1" w:styleId="NoSpacingChar">
    <w:name w:val="No Spacing Char"/>
    <w:link w:val="NoSpacing"/>
    <w:uiPriority w:val="1"/>
    <w:rsid w:val="00716620"/>
    <w:rPr>
      <w:rFonts w:ascii="Calibri" w:hAnsi="Calibri"/>
      <w:sz w:val="22"/>
      <w:szCs w:val="22"/>
      <w:lang w:val="en-US" w:eastAsia="en-US" w:bidi="ar-SA"/>
    </w:rPr>
  </w:style>
  <w:style w:type="paragraph" w:styleId="Caption">
    <w:name w:val="caption"/>
    <w:basedOn w:val="Normal"/>
    <w:next w:val="Normal"/>
    <w:unhideWhenUsed/>
    <w:qFormat/>
    <w:rsid w:val="002E11DD"/>
    <w:rPr>
      <w:b/>
      <w:bCs/>
      <w:sz w:val="20"/>
      <w:szCs w:val="20"/>
    </w:rPr>
  </w:style>
  <w:style w:type="paragraph" w:styleId="DocumentMap">
    <w:name w:val="Document Map"/>
    <w:basedOn w:val="Normal"/>
    <w:link w:val="DocumentMapChar"/>
    <w:rsid w:val="00CA56B4"/>
    <w:rPr>
      <w:rFonts w:ascii="Tahoma" w:hAnsi="Tahoma" w:cs="Tahoma"/>
      <w:sz w:val="16"/>
      <w:szCs w:val="16"/>
    </w:rPr>
  </w:style>
  <w:style w:type="character" w:customStyle="1" w:styleId="DocumentMapChar">
    <w:name w:val="Document Map Char"/>
    <w:link w:val="DocumentMap"/>
    <w:rsid w:val="00CA56B4"/>
    <w:rPr>
      <w:rFonts w:ascii="Tahoma" w:hAnsi="Tahoma" w:cs="Tahoma"/>
      <w:sz w:val="16"/>
      <w:szCs w:val="16"/>
    </w:rPr>
  </w:style>
  <w:style w:type="character" w:customStyle="1" w:styleId="Heading4Char">
    <w:name w:val="Heading 4 Char"/>
    <w:link w:val="Heading4"/>
    <w:rsid w:val="002E3923"/>
    <w:rPr>
      <w:rFonts w:ascii="Calibri" w:hAnsi="Calibri" w:cs="Arial"/>
      <w:b/>
      <w:bCs/>
      <w:sz w:val="24"/>
      <w:szCs w:val="24"/>
    </w:rPr>
  </w:style>
  <w:style w:type="character" w:customStyle="1" w:styleId="Heading3Char">
    <w:name w:val="Heading 3 Char"/>
    <w:link w:val="Heading3"/>
    <w:rsid w:val="000A359F"/>
    <w:rPr>
      <w:rFonts w:ascii="Arial" w:hAnsi="Arial" w:cs="Arial"/>
      <w:b/>
      <w:i/>
      <w:sz w:val="24"/>
      <w:szCs w:val="24"/>
    </w:rPr>
  </w:style>
  <w:style w:type="paragraph" w:customStyle="1" w:styleId="2ndheading">
    <w:name w:val="2nd heading"/>
    <w:basedOn w:val="Normal"/>
    <w:qFormat/>
    <w:rsid w:val="00AC16AD"/>
    <w:pPr>
      <w:keepNext/>
      <w:keepLines/>
    </w:pPr>
    <w:rPr>
      <w:rFonts w:ascii="Arial Black" w:hAnsi="Arial Black"/>
      <w:sz w:val="22"/>
    </w:rPr>
  </w:style>
  <w:style w:type="paragraph" w:customStyle="1" w:styleId="3rdheading">
    <w:name w:val="3rd heading"/>
    <w:basedOn w:val="Normal"/>
    <w:qFormat/>
    <w:rsid w:val="00AC16AD"/>
    <w:pPr>
      <w:keepNext/>
      <w:keepLines/>
      <w:spacing w:after="120" w:line="320" w:lineRule="exact"/>
    </w:pPr>
    <w:rPr>
      <w:rFonts w:ascii="Novarese Bk BT" w:hAnsi="Novarese Bk BT"/>
      <w:b/>
    </w:rPr>
  </w:style>
  <w:style w:type="character" w:styleId="Hyperlink">
    <w:name w:val="Hyperlink"/>
    <w:rsid w:val="00DC0571"/>
    <w:rPr>
      <w:color w:val="0000FF"/>
      <w:u w:val="single"/>
    </w:rPr>
  </w:style>
  <w:style w:type="paragraph" w:customStyle="1" w:styleId="TableTitle">
    <w:name w:val="Table Title"/>
    <w:basedOn w:val="BodyText"/>
    <w:link w:val="TableTitleChar"/>
    <w:qFormat/>
    <w:rsid w:val="000771FB"/>
    <w:pPr>
      <w:spacing w:before="240"/>
      <w:jc w:val="center"/>
    </w:pPr>
    <w:rPr>
      <w:b/>
    </w:rPr>
  </w:style>
  <w:style w:type="paragraph" w:customStyle="1" w:styleId="tablesource">
    <w:name w:val="table source"/>
    <w:basedOn w:val="BodyText"/>
    <w:link w:val="tablesourceChar"/>
    <w:qFormat/>
    <w:rsid w:val="000771FB"/>
    <w:rPr>
      <w:sz w:val="16"/>
      <w:szCs w:val="16"/>
    </w:rPr>
  </w:style>
  <w:style w:type="character" w:customStyle="1" w:styleId="TableTitleChar">
    <w:name w:val="Table Title Char"/>
    <w:link w:val="TableTitle"/>
    <w:rsid w:val="000771FB"/>
    <w:rPr>
      <w:rFonts w:ascii="Calibri" w:hAnsi="Calibri" w:cs="Tahoma"/>
      <w:b/>
      <w:sz w:val="24"/>
      <w:szCs w:val="24"/>
    </w:rPr>
  </w:style>
  <w:style w:type="table" w:styleId="TableColumns2">
    <w:name w:val="Table Columns 2"/>
    <w:basedOn w:val="TableNormal"/>
    <w:rsid w:val="009D3DE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sourceChar">
    <w:name w:val="table source Char"/>
    <w:link w:val="tablesource"/>
    <w:rsid w:val="000771FB"/>
    <w:rPr>
      <w:rFonts w:ascii="Calibri" w:hAnsi="Calibri" w:cs="Tahoma"/>
      <w:sz w:val="16"/>
      <w:szCs w:val="16"/>
    </w:rPr>
  </w:style>
  <w:style w:type="paragraph" w:styleId="BlockText">
    <w:name w:val="Block Text"/>
    <w:basedOn w:val="Normal"/>
    <w:rsid w:val="0058418E"/>
    <w:pPr>
      <w:spacing w:after="120"/>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015"/>
    <w:rPr>
      <w:sz w:val="24"/>
      <w:szCs w:val="24"/>
    </w:rPr>
  </w:style>
  <w:style w:type="paragraph" w:styleId="Heading1">
    <w:name w:val="heading 1"/>
    <w:basedOn w:val="Normal"/>
    <w:next w:val="Normal"/>
    <w:link w:val="Heading1Char"/>
    <w:qFormat/>
    <w:rsid w:val="001C0B8A"/>
    <w:pPr>
      <w:keepNext/>
      <w:spacing w:before="960" w:after="60"/>
      <w:jc w:val="center"/>
      <w:outlineLvl w:val="0"/>
    </w:pPr>
    <w:rPr>
      <w:rFonts w:ascii="Arial" w:hAnsi="Arial" w:cs="Arial"/>
      <w:b/>
      <w:bCs/>
      <w:kern w:val="32"/>
      <w:sz w:val="36"/>
      <w:szCs w:val="36"/>
    </w:rPr>
  </w:style>
  <w:style w:type="paragraph" w:styleId="Heading2">
    <w:name w:val="heading 2"/>
    <w:basedOn w:val="Normal"/>
    <w:next w:val="Normal"/>
    <w:link w:val="Heading2Char"/>
    <w:unhideWhenUsed/>
    <w:qFormat/>
    <w:rsid w:val="000A359F"/>
    <w:pPr>
      <w:keepNext/>
      <w:spacing w:before="240" w:after="60"/>
      <w:outlineLvl w:val="1"/>
    </w:pPr>
    <w:rPr>
      <w:rFonts w:ascii="Arial" w:hAnsi="Arial" w:cs="Arial"/>
      <w:b/>
      <w:bCs/>
      <w:iCs/>
      <w:noProof/>
    </w:rPr>
  </w:style>
  <w:style w:type="paragraph" w:styleId="Heading3">
    <w:name w:val="heading 3"/>
    <w:basedOn w:val="3rdheading"/>
    <w:next w:val="Normal"/>
    <w:link w:val="Heading3Char"/>
    <w:qFormat/>
    <w:rsid w:val="000A359F"/>
    <w:pPr>
      <w:spacing w:before="240" w:after="0"/>
      <w:outlineLvl w:val="2"/>
    </w:pPr>
    <w:rPr>
      <w:rFonts w:ascii="Arial" w:hAnsi="Arial" w:cs="Arial"/>
      <w:i/>
    </w:rPr>
  </w:style>
  <w:style w:type="paragraph" w:styleId="Heading4">
    <w:name w:val="heading 4"/>
    <w:basedOn w:val="Normal"/>
    <w:next w:val="Normal"/>
    <w:link w:val="Heading4Char"/>
    <w:unhideWhenUsed/>
    <w:qFormat/>
    <w:rsid w:val="002E3923"/>
    <w:pPr>
      <w:keepNext/>
      <w:spacing w:before="12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571"/>
    <w:pPr>
      <w:shd w:val="clear" w:color="auto" w:fill="948A54"/>
      <w:tabs>
        <w:tab w:val="center" w:pos="4320"/>
        <w:tab w:val="right" w:pos="8640"/>
      </w:tabs>
      <w:spacing w:after="360"/>
    </w:pPr>
    <w:rPr>
      <w:rFonts w:ascii="Calibri" w:hAnsi="Calibri"/>
      <w:noProof/>
    </w:rPr>
  </w:style>
  <w:style w:type="paragraph" w:styleId="Footer">
    <w:name w:val="footer"/>
    <w:basedOn w:val="Normal"/>
    <w:link w:val="FooterChar"/>
    <w:uiPriority w:val="99"/>
    <w:rsid w:val="002523BD"/>
    <w:pPr>
      <w:tabs>
        <w:tab w:val="center" w:pos="4320"/>
        <w:tab w:val="right" w:pos="8640"/>
      </w:tabs>
    </w:pPr>
  </w:style>
  <w:style w:type="paragraph" w:customStyle="1" w:styleId="text">
    <w:name w:val="text"/>
    <w:basedOn w:val="Normal"/>
    <w:link w:val="textChar"/>
    <w:rsid w:val="002523BD"/>
    <w:rPr>
      <w:rFonts w:ascii="Novarese Bk BT" w:hAnsi="Novarese Bk BT"/>
      <w:sz w:val="20"/>
      <w:szCs w:val="20"/>
    </w:rPr>
  </w:style>
  <w:style w:type="character" w:customStyle="1" w:styleId="textChar">
    <w:name w:val="text Char"/>
    <w:link w:val="text"/>
    <w:rsid w:val="002523BD"/>
    <w:rPr>
      <w:rFonts w:ascii="Novarese Bk BT" w:hAnsi="Novarese Bk BT"/>
      <w:lang w:val="en-US" w:eastAsia="en-US" w:bidi="ar-SA"/>
    </w:rPr>
  </w:style>
  <w:style w:type="paragraph" w:customStyle="1" w:styleId="headings">
    <w:name w:val="headings"/>
    <w:basedOn w:val="Heading3"/>
    <w:link w:val="headingsChar"/>
    <w:rsid w:val="00EA6A48"/>
  </w:style>
  <w:style w:type="character" w:styleId="FollowedHyperlink">
    <w:name w:val="FollowedHyperlink"/>
    <w:rsid w:val="002523BD"/>
    <w:rPr>
      <w:color w:val="800080"/>
      <w:u w:val="single"/>
    </w:rPr>
  </w:style>
  <w:style w:type="paragraph" w:styleId="BalloonText">
    <w:name w:val="Balloon Text"/>
    <w:basedOn w:val="Normal"/>
    <w:semiHidden/>
    <w:rsid w:val="002523BD"/>
    <w:rPr>
      <w:rFonts w:ascii="Tahoma" w:hAnsi="Tahoma" w:cs="Tahoma"/>
      <w:sz w:val="16"/>
      <w:szCs w:val="16"/>
    </w:rPr>
  </w:style>
  <w:style w:type="character" w:styleId="FootnoteReference">
    <w:name w:val="footnote reference"/>
    <w:semiHidden/>
    <w:rsid w:val="002523BD"/>
    <w:rPr>
      <w:vertAlign w:val="superscript"/>
    </w:rPr>
  </w:style>
  <w:style w:type="paragraph" w:styleId="FootnoteText">
    <w:name w:val="footnote text"/>
    <w:basedOn w:val="Normal"/>
    <w:semiHidden/>
    <w:rsid w:val="002E11DD"/>
    <w:pPr>
      <w:spacing w:before="240"/>
    </w:pPr>
    <w:rPr>
      <w:sz w:val="20"/>
      <w:szCs w:val="20"/>
    </w:rPr>
  </w:style>
  <w:style w:type="character" w:customStyle="1" w:styleId="headingsChar">
    <w:name w:val="headings Char"/>
    <w:link w:val="headings"/>
    <w:rsid w:val="00EA6A48"/>
    <w:rPr>
      <w:rFonts w:ascii="Arial" w:hAnsi="Arial" w:cs="Arial"/>
      <w:b/>
      <w:bCs/>
      <w:sz w:val="26"/>
      <w:szCs w:val="26"/>
    </w:rPr>
  </w:style>
  <w:style w:type="table" w:styleId="TableGrid">
    <w:name w:val="Table Grid"/>
    <w:basedOn w:val="TableNormal"/>
    <w:rsid w:val="0067290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6E6"/>
    <w:pPr>
      <w:ind w:left="1080"/>
    </w:pPr>
  </w:style>
  <w:style w:type="paragraph" w:styleId="ListParagraph">
    <w:name w:val="List Paragraph"/>
    <w:basedOn w:val="Normal"/>
    <w:uiPriority w:val="34"/>
    <w:qFormat/>
    <w:rsid w:val="00B8494A"/>
    <w:pPr>
      <w:ind w:left="720"/>
    </w:pPr>
  </w:style>
  <w:style w:type="paragraph" w:customStyle="1" w:styleId="StyleheadingsLeft05">
    <w:name w:val="Style headings + Left:  0.5&quot;"/>
    <w:basedOn w:val="headings"/>
    <w:autoRedefine/>
    <w:rsid w:val="00E86EB9"/>
    <w:pPr>
      <w:ind w:left="720"/>
    </w:pPr>
    <w:rPr>
      <w:rFonts w:cs="Times New Roman"/>
    </w:rPr>
  </w:style>
  <w:style w:type="character" w:customStyle="1" w:styleId="Style10pt">
    <w:name w:val="Style 10 pt"/>
    <w:rsid w:val="00B305E0"/>
    <w:rPr>
      <w:sz w:val="22"/>
    </w:rPr>
  </w:style>
  <w:style w:type="paragraph" w:customStyle="1" w:styleId="Style10ptLeft05">
    <w:name w:val="Style 10 pt Left:  0.5&quot;"/>
    <w:basedOn w:val="Normal"/>
    <w:rsid w:val="00B305E0"/>
    <w:pPr>
      <w:ind w:left="720"/>
    </w:pPr>
    <w:rPr>
      <w:sz w:val="22"/>
      <w:szCs w:val="20"/>
    </w:rPr>
  </w:style>
  <w:style w:type="character" w:customStyle="1" w:styleId="HeaderChar">
    <w:name w:val="Header Char"/>
    <w:link w:val="Header"/>
    <w:uiPriority w:val="99"/>
    <w:rsid w:val="00DC0571"/>
    <w:rPr>
      <w:rFonts w:ascii="Calibri" w:hAnsi="Calibri"/>
      <w:noProof/>
      <w:sz w:val="24"/>
      <w:szCs w:val="24"/>
      <w:shd w:val="clear" w:color="auto" w:fill="948A54"/>
    </w:rPr>
  </w:style>
  <w:style w:type="character" w:customStyle="1" w:styleId="FooterChar">
    <w:name w:val="Footer Char"/>
    <w:link w:val="Footer"/>
    <w:uiPriority w:val="99"/>
    <w:rsid w:val="004A2CBD"/>
    <w:rPr>
      <w:sz w:val="24"/>
      <w:szCs w:val="24"/>
    </w:rPr>
  </w:style>
  <w:style w:type="character" w:customStyle="1" w:styleId="Heading1Char">
    <w:name w:val="Heading 1 Char"/>
    <w:link w:val="Heading1"/>
    <w:rsid w:val="001C0B8A"/>
    <w:rPr>
      <w:rFonts w:ascii="Arial" w:hAnsi="Arial" w:cs="Arial"/>
      <w:b/>
      <w:bCs/>
      <w:kern w:val="32"/>
      <w:sz w:val="36"/>
      <w:szCs w:val="36"/>
    </w:rPr>
  </w:style>
  <w:style w:type="paragraph" w:styleId="Title">
    <w:name w:val="Title"/>
    <w:basedOn w:val="Normal"/>
    <w:next w:val="Normal"/>
    <w:link w:val="TitleChar"/>
    <w:qFormat/>
    <w:rsid w:val="00716620"/>
    <w:pPr>
      <w:shd w:val="clear" w:color="auto" w:fill="4F81BD"/>
      <w:tabs>
        <w:tab w:val="center" w:pos="5760"/>
      </w:tabs>
      <w:jc w:val="center"/>
      <w:outlineLvl w:val="0"/>
    </w:pPr>
    <w:rPr>
      <w:rFonts w:ascii="Tahoma" w:hAnsi="Tahoma" w:cs="Tahoma"/>
      <w:b/>
      <w:bCs/>
      <w:noProof/>
      <w:color w:val="F2F2F2"/>
      <w:kern w:val="28"/>
      <w:sz w:val="64"/>
      <w:szCs w:val="64"/>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716620"/>
    <w:rPr>
      <w:rFonts w:ascii="Tahoma" w:hAnsi="Tahoma" w:cs="Tahoma"/>
      <w:b/>
      <w:bCs/>
      <w:noProof/>
      <w:color w:val="F2F2F2"/>
      <w:kern w:val="28"/>
      <w:sz w:val="64"/>
      <w:szCs w:val="64"/>
      <w:shd w:val="clear" w:color="auto" w:fill="4F81BD"/>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716620"/>
    <w:pPr>
      <w:shd w:val="clear" w:color="auto" w:fill="4F81BD"/>
      <w:spacing w:after="60"/>
      <w:jc w:val="center"/>
      <w:outlineLvl w:val="1"/>
    </w:pPr>
    <w:rPr>
      <w:rFonts w:ascii="Comic Sans MS" w:hAnsi="Comic Sans MS"/>
      <w:color w:val="F2F2F2"/>
      <w:sz w:val="28"/>
      <w:szCs w:val="28"/>
    </w:rPr>
  </w:style>
  <w:style w:type="character" w:customStyle="1" w:styleId="SubtitleChar">
    <w:name w:val="Subtitle Char"/>
    <w:link w:val="Subtitle"/>
    <w:rsid w:val="00716620"/>
    <w:rPr>
      <w:rFonts w:ascii="Comic Sans MS" w:hAnsi="Comic Sans MS"/>
      <w:color w:val="F2F2F2"/>
      <w:sz w:val="28"/>
      <w:szCs w:val="28"/>
      <w:shd w:val="clear" w:color="auto" w:fill="4F81BD"/>
    </w:rPr>
  </w:style>
  <w:style w:type="character" w:customStyle="1" w:styleId="Heading2Char">
    <w:name w:val="Heading 2 Char"/>
    <w:link w:val="Heading2"/>
    <w:rsid w:val="000A359F"/>
    <w:rPr>
      <w:rFonts w:ascii="Arial" w:hAnsi="Arial" w:cs="Arial"/>
      <w:b/>
      <w:bCs/>
      <w:iCs/>
      <w:noProof/>
      <w:sz w:val="24"/>
      <w:szCs w:val="24"/>
    </w:rPr>
  </w:style>
  <w:style w:type="character" w:customStyle="1" w:styleId="BodyTextIndentChar">
    <w:name w:val="Body Text Indent Char"/>
    <w:link w:val="BodyTextIndent"/>
    <w:rsid w:val="00EA6A48"/>
    <w:rPr>
      <w:sz w:val="24"/>
      <w:szCs w:val="24"/>
    </w:rPr>
  </w:style>
  <w:style w:type="paragraph" w:styleId="BodyText">
    <w:name w:val="Body Text"/>
    <w:basedOn w:val="Normal"/>
    <w:link w:val="BodyTextChar"/>
    <w:rsid w:val="00DC0571"/>
    <w:pPr>
      <w:spacing w:after="120"/>
    </w:pPr>
    <w:rPr>
      <w:rFonts w:ascii="Calibri" w:hAnsi="Calibri" w:cs="Tahoma"/>
    </w:rPr>
  </w:style>
  <w:style w:type="character" w:customStyle="1" w:styleId="BodyTextChar">
    <w:name w:val="Body Text Char"/>
    <w:link w:val="BodyText"/>
    <w:rsid w:val="00DC0571"/>
    <w:rPr>
      <w:rFonts w:ascii="Calibri" w:hAnsi="Calibri" w:cs="Tahoma"/>
      <w:sz w:val="24"/>
      <w:szCs w:val="24"/>
    </w:rPr>
  </w:style>
  <w:style w:type="paragraph" w:styleId="BodyText2">
    <w:name w:val="Body Text 2"/>
    <w:basedOn w:val="Normal"/>
    <w:link w:val="BodyText2Char"/>
    <w:rsid w:val="00B360E5"/>
    <w:pPr>
      <w:spacing w:after="120" w:line="480" w:lineRule="auto"/>
    </w:pPr>
  </w:style>
  <w:style w:type="character" w:customStyle="1" w:styleId="BodyText2Char">
    <w:name w:val="Body Text 2 Char"/>
    <w:link w:val="BodyText2"/>
    <w:rsid w:val="00B360E5"/>
    <w:rPr>
      <w:sz w:val="24"/>
      <w:szCs w:val="24"/>
    </w:rPr>
  </w:style>
  <w:style w:type="paragraph" w:styleId="ListBullet">
    <w:name w:val="List Bullet"/>
    <w:basedOn w:val="Normal"/>
    <w:rsid w:val="00FF3F74"/>
    <w:pPr>
      <w:numPr>
        <w:numId w:val="3"/>
      </w:numPr>
      <w:contextualSpacing/>
    </w:pPr>
  </w:style>
  <w:style w:type="paragraph" w:styleId="ListBullet2">
    <w:name w:val="List Bullet 2"/>
    <w:basedOn w:val="Normal"/>
    <w:rsid w:val="00FF3F74"/>
    <w:pPr>
      <w:numPr>
        <w:numId w:val="4"/>
      </w:numPr>
      <w:contextualSpacing/>
    </w:pPr>
  </w:style>
  <w:style w:type="character" w:styleId="EndnoteReference">
    <w:name w:val="endnote reference"/>
    <w:rsid w:val="00AA41DF"/>
    <w:rPr>
      <w:vertAlign w:val="superscript"/>
    </w:rPr>
  </w:style>
  <w:style w:type="paragraph" w:styleId="EndnoteText">
    <w:name w:val="endnote text"/>
    <w:basedOn w:val="Normal"/>
    <w:link w:val="EndnoteTextChar"/>
    <w:rsid w:val="00AA41DF"/>
    <w:rPr>
      <w:sz w:val="20"/>
      <w:szCs w:val="20"/>
    </w:rPr>
  </w:style>
  <w:style w:type="character" w:customStyle="1" w:styleId="EndnoteTextChar">
    <w:name w:val="Endnote Text Char"/>
    <w:basedOn w:val="DefaultParagraphFont"/>
    <w:link w:val="EndnoteText"/>
    <w:rsid w:val="00AA41DF"/>
  </w:style>
  <w:style w:type="paragraph" w:styleId="NoSpacing">
    <w:name w:val="No Spacing"/>
    <w:link w:val="NoSpacingChar"/>
    <w:uiPriority w:val="1"/>
    <w:qFormat/>
    <w:rsid w:val="00716620"/>
    <w:rPr>
      <w:rFonts w:ascii="Calibri" w:hAnsi="Calibri"/>
      <w:sz w:val="22"/>
      <w:szCs w:val="22"/>
    </w:rPr>
  </w:style>
  <w:style w:type="character" w:customStyle="1" w:styleId="NoSpacingChar">
    <w:name w:val="No Spacing Char"/>
    <w:link w:val="NoSpacing"/>
    <w:uiPriority w:val="1"/>
    <w:rsid w:val="00716620"/>
    <w:rPr>
      <w:rFonts w:ascii="Calibri" w:hAnsi="Calibri"/>
      <w:sz w:val="22"/>
      <w:szCs w:val="22"/>
      <w:lang w:val="en-US" w:eastAsia="en-US" w:bidi="ar-SA"/>
    </w:rPr>
  </w:style>
  <w:style w:type="paragraph" w:styleId="Caption">
    <w:name w:val="caption"/>
    <w:basedOn w:val="Normal"/>
    <w:next w:val="Normal"/>
    <w:unhideWhenUsed/>
    <w:qFormat/>
    <w:rsid w:val="002E11DD"/>
    <w:rPr>
      <w:b/>
      <w:bCs/>
      <w:sz w:val="20"/>
      <w:szCs w:val="20"/>
    </w:rPr>
  </w:style>
  <w:style w:type="paragraph" w:styleId="DocumentMap">
    <w:name w:val="Document Map"/>
    <w:basedOn w:val="Normal"/>
    <w:link w:val="DocumentMapChar"/>
    <w:rsid w:val="00CA56B4"/>
    <w:rPr>
      <w:rFonts w:ascii="Tahoma" w:hAnsi="Tahoma" w:cs="Tahoma"/>
      <w:sz w:val="16"/>
      <w:szCs w:val="16"/>
    </w:rPr>
  </w:style>
  <w:style w:type="character" w:customStyle="1" w:styleId="DocumentMapChar">
    <w:name w:val="Document Map Char"/>
    <w:link w:val="DocumentMap"/>
    <w:rsid w:val="00CA56B4"/>
    <w:rPr>
      <w:rFonts w:ascii="Tahoma" w:hAnsi="Tahoma" w:cs="Tahoma"/>
      <w:sz w:val="16"/>
      <w:szCs w:val="16"/>
    </w:rPr>
  </w:style>
  <w:style w:type="character" w:customStyle="1" w:styleId="Heading4Char">
    <w:name w:val="Heading 4 Char"/>
    <w:link w:val="Heading4"/>
    <w:rsid w:val="002E3923"/>
    <w:rPr>
      <w:rFonts w:ascii="Calibri" w:hAnsi="Calibri" w:cs="Arial"/>
      <w:b/>
      <w:bCs/>
      <w:sz w:val="24"/>
      <w:szCs w:val="24"/>
    </w:rPr>
  </w:style>
  <w:style w:type="character" w:customStyle="1" w:styleId="Heading3Char">
    <w:name w:val="Heading 3 Char"/>
    <w:link w:val="Heading3"/>
    <w:rsid w:val="000A359F"/>
    <w:rPr>
      <w:rFonts w:ascii="Arial" w:hAnsi="Arial" w:cs="Arial"/>
      <w:b/>
      <w:i/>
      <w:sz w:val="24"/>
      <w:szCs w:val="24"/>
    </w:rPr>
  </w:style>
  <w:style w:type="paragraph" w:customStyle="1" w:styleId="2ndheading">
    <w:name w:val="2nd heading"/>
    <w:basedOn w:val="Normal"/>
    <w:qFormat/>
    <w:rsid w:val="00AC16AD"/>
    <w:pPr>
      <w:keepNext/>
      <w:keepLines/>
    </w:pPr>
    <w:rPr>
      <w:rFonts w:ascii="Arial Black" w:hAnsi="Arial Black"/>
      <w:sz w:val="22"/>
    </w:rPr>
  </w:style>
  <w:style w:type="paragraph" w:customStyle="1" w:styleId="3rdheading">
    <w:name w:val="3rd heading"/>
    <w:basedOn w:val="Normal"/>
    <w:qFormat/>
    <w:rsid w:val="00AC16AD"/>
    <w:pPr>
      <w:keepNext/>
      <w:keepLines/>
      <w:spacing w:after="120" w:line="320" w:lineRule="exact"/>
    </w:pPr>
    <w:rPr>
      <w:rFonts w:ascii="Novarese Bk BT" w:hAnsi="Novarese Bk BT"/>
      <w:b/>
    </w:rPr>
  </w:style>
  <w:style w:type="character" w:styleId="Hyperlink">
    <w:name w:val="Hyperlink"/>
    <w:rsid w:val="00DC0571"/>
    <w:rPr>
      <w:color w:val="0000FF"/>
      <w:u w:val="single"/>
    </w:rPr>
  </w:style>
  <w:style w:type="paragraph" w:customStyle="1" w:styleId="TableTitle">
    <w:name w:val="Table Title"/>
    <w:basedOn w:val="BodyText"/>
    <w:link w:val="TableTitleChar"/>
    <w:qFormat/>
    <w:rsid w:val="000771FB"/>
    <w:pPr>
      <w:spacing w:before="240"/>
      <w:jc w:val="center"/>
    </w:pPr>
    <w:rPr>
      <w:b/>
    </w:rPr>
  </w:style>
  <w:style w:type="paragraph" w:customStyle="1" w:styleId="tablesource">
    <w:name w:val="table source"/>
    <w:basedOn w:val="BodyText"/>
    <w:link w:val="tablesourceChar"/>
    <w:qFormat/>
    <w:rsid w:val="000771FB"/>
    <w:rPr>
      <w:sz w:val="16"/>
      <w:szCs w:val="16"/>
    </w:rPr>
  </w:style>
  <w:style w:type="character" w:customStyle="1" w:styleId="TableTitleChar">
    <w:name w:val="Table Title Char"/>
    <w:link w:val="TableTitle"/>
    <w:rsid w:val="000771FB"/>
    <w:rPr>
      <w:rFonts w:ascii="Calibri" w:hAnsi="Calibri" w:cs="Tahoma"/>
      <w:b/>
      <w:sz w:val="24"/>
      <w:szCs w:val="24"/>
    </w:rPr>
  </w:style>
  <w:style w:type="table" w:styleId="TableColumns2">
    <w:name w:val="Table Columns 2"/>
    <w:basedOn w:val="TableNormal"/>
    <w:rsid w:val="009D3DE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sourceChar">
    <w:name w:val="table source Char"/>
    <w:link w:val="tablesource"/>
    <w:rsid w:val="000771FB"/>
    <w:rPr>
      <w:rFonts w:ascii="Calibri" w:hAnsi="Calibri" w:cs="Tahoma"/>
      <w:sz w:val="16"/>
      <w:szCs w:val="16"/>
    </w:rPr>
  </w:style>
  <w:style w:type="paragraph" w:styleId="BlockText">
    <w:name w:val="Block Text"/>
    <w:basedOn w:val="Normal"/>
    <w:rsid w:val="0058418E"/>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078">
      <w:bodyDiv w:val="1"/>
      <w:marLeft w:val="0"/>
      <w:marRight w:val="0"/>
      <w:marTop w:val="0"/>
      <w:marBottom w:val="0"/>
      <w:divBdr>
        <w:top w:val="none" w:sz="0" w:space="0" w:color="auto"/>
        <w:left w:val="none" w:sz="0" w:space="0" w:color="auto"/>
        <w:bottom w:val="none" w:sz="0" w:space="0" w:color="auto"/>
        <w:right w:val="none" w:sz="0" w:space="0" w:color="auto"/>
      </w:divBdr>
    </w:div>
    <w:div w:id="12073694">
      <w:bodyDiv w:val="1"/>
      <w:marLeft w:val="0"/>
      <w:marRight w:val="0"/>
      <w:marTop w:val="0"/>
      <w:marBottom w:val="0"/>
      <w:divBdr>
        <w:top w:val="none" w:sz="0" w:space="0" w:color="auto"/>
        <w:left w:val="none" w:sz="0" w:space="0" w:color="auto"/>
        <w:bottom w:val="none" w:sz="0" w:space="0" w:color="auto"/>
        <w:right w:val="none" w:sz="0" w:space="0" w:color="auto"/>
      </w:divBdr>
    </w:div>
    <w:div w:id="54396632">
      <w:bodyDiv w:val="1"/>
      <w:marLeft w:val="0"/>
      <w:marRight w:val="0"/>
      <w:marTop w:val="0"/>
      <w:marBottom w:val="0"/>
      <w:divBdr>
        <w:top w:val="none" w:sz="0" w:space="0" w:color="auto"/>
        <w:left w:val="none" w:sz="0" w:space="0" w:color="auto"/>
        <w:bottom w:val="none" w:sz="0" w:space="0" w:color="auto"/>
        <w:right w:val="none" w:sz="0" w:space="0" w:color="auto"/>
      </w:divBdr>
    </w:div>
    <w:div w:id="82728728">
      <w:bodyDiv w:val="1"/>
      <w:marLeft w:val="0"/>
      <w:marRight w:val="0"/>
      <w:marTop w:val="0"/>
      <w:marBottom w:val="0"/>
      <w:divBdr>
        <w:top w:val="none" w:sz="0" w:space="0" w:color="auto"/>
        <w:left w:val="none" w:sz="0" w:space="0" w:color="auto"/>
        <w:bottom w:val="none" w:sz="0" w:space="0" w:color="auto"/>
        <w:right w:val="none" w:sz="0" w:space="0" w:color="auto"/>
      </w:divBdr>
    </w:div>
    <w:div w:id="221718784">
      <w:bodyDiv w:val="1"/>
      <w:marLeft w:val="0"/>
      <w:marRight w:val="0"/>
      <w:marTop w:val="0"/>
      <w:marBottom w:val="0"/>
      <w:divBdr>
        <w:top w:val="none" w:sz="0" w:space="0" w:color="auto"/>
        <w:left w:val="none" w:sz="0" w:space="0" w:color="auto"/>
        <w:bottom w:val="none" w:sz="0" w:space="0" w:color="auto"/>
        <w:right w:val="none" w:sz="0" w:space="0" w:color="auto"/>
      </w:divBdr>
    </w:div>
    <w:div w:id="292450059">
      <w:bodyDiv w:val="1"/>
      <w:marLeft w:val="0"/>
      <w:marRight w:val="0"/>
      <w:marTop w:val="0"/>
      <w:marBottom w:val="0"/>
      <w:divBdr>
        <w:top w:val="none" w:sz="0" w:space="0" w:color="auto"/>
        <w:left w:val="none" w:sz="0" w:space="0" w:color="auto"/>
        <w:bottom w:val="none" w:sz="0" w:space="0" w:color="auto"/>
        <w:right w:val="none" w:sz="0" w:space="0" w:color="auto"/>
      </w:divBdr>
    </w:div>
    <w:div w:id="455149501">
      <w:bodyDiv w:val="1"/>
      <w:marLeft w:val="0"/>
      <w:marRight w:val="0"/>
      <w:marTop w:val="0"/>
      <w:marBottom w:val="0"/>
      <w:divBdr>
        <w:top w:val="none" w:sz="0" w:space="0" w:color="auto"/>
        <w:left w:val="none" w:sz="0" w:space="0" w:color="auto"/>
        <w:bottom w:val="none" w:sz="0" w:space="0" w:color="auto"/>
        <w:right w:val="none" w:sz="0" w:space="0" w:color="auto"/>
      </w:divBdr>
    </w:div>
    <w:div w:id="491264768">
      <w:bodyDiv w:val="1"/>
      <w:marLeft w:val="0"/>
      <w:marRight w:val="0"/>
      <w:marTop w:val="0"/>
      <w:marBottom w:val="0"/>
      <w:divBdr>
        <w:top w:val="none" w:sz="0" w:space="0" w:color="auto"/>
        <w:left w:val="none" w:sz="0" w:space="0" w:color="auto"/>
        <w:bottom w:val="none" w:sz="0" w:space="0" w:color="auto"/>
        <w:right w:val="none" w:sz="0" w:space="0" w:color="auto"/>
      </w:divBdr>
    </w:div>
    <w:div w:id="520050281">
      <w:bodyDiv w:val="1"/>
      <w:marLeft w:val="0"/>
      <w:marRight w:val="0"/>
      <w:marTop w:val="0"/>
      <w:marBottom w:val="0"/>
      <w:divBdr>
        <w:top w:val="none" w:sz="0" w:space="0" w:color="auto"/>
        <w:left w:val="none" w:sz="0" w:space="0" w:color="auto"/>
        <w:bottom w:val="none" w:sz="0" w:space="0" w:color="auto"/>
        <w:right w:val="none" w:sz="0" w:space="0" w:color="auto"/>
      </w:divBdr>
    </w:div>
    <w:div w:id="581063111">
      <w:bodyDiv w:val="1"/>
      <w:marLeft w:val="0"/>
      <w:marRight w:val="0"/>
      <w:marTop w:val="0"/>
      <w:marBottom w:val="0"/>
      <w:divBdr>
        <w:top w:val="none" w:sz="0" w:space="0" w:color="auto"/>
        <w:left w:val="none" w:sz="0" w:space="0" w:color="auto"/>
        <w:bottom w:val="none" w:sz="0" w:space="0" w:color="auto"/>
        <w:right w:val="none" w:sz="0" w:space="0" w:color="auto"/>
      </w:divBdr>
    </w:div>
    <w:div w:id="639186720">
      <w:bodyDiv w:val="1"/>
      <w:marLeft w:val="0"/>
      <w:marRight w:val="0"/>
      <w:marTop w:val="0"/>
      <w:marBottom w:val="0"/>
      <w:divBdr>
        <w:top w:val="none" w:sz="0" w:space="0" w:color="auto"/>
        <w:left w:val="none" w:sz="0" w:space="0" w:color="auto"/>
        <w:bottom w:val="none" w:sz="0" w:space="0" w:color="auto"/>
        <w:right w:val="none" w:sz="0" w:space="0" w:color="auto"/>
      </w:divBdr>
    </w:div>
    <w:div w:id="687755964">
      <w:bodyDiv w:val="1"/>
      <w:marLeft w:val="0"/>
      <w:marRight w:val="0"/>
      <w:marTop w:val="0"/>
      <w:marBottom w:val="0"/>
      <w:divBdr>
        <w:top w:val="none" w:sz="0" w:space="0" w:color="auto"/>
        <w:left w:val="none" w:sz="0" w:space="0" w:color="auto"/>
        <w:bottom w:val="none" w:sz="0" w:space="0" w:color="auto"/>
        <w:right w:val="none" w:sz="0" w:space="0" w:color="auto"/>
      </w:divBdr>
    </w:div>
    <w:div w:id="693312169">
      <w:bodyDiv w:val="1"/>
      <w:marLeft w:val="0"/>
      <w:marRight w:val="0"/>
      <w:marTop w:val="0"/>
      <w:marBottom w:val="0"/>
      <w:divBdr>
        <w:top w:val="none" w:sz="0" w:space="0" w:color="auto"/>
        <w:left w:val="none" w:sz="0" w:space="0" w:color="auto"/>
        <w:bottom w:val="none" w:sz="0" w:space="0" w:color="auto"/>
        <w:right w:val="none" w:sz="0" w:space="0" w:color="auto"/>
      </w:divBdr>
    </w:div>
    <w:div w:id="932399421">
      <w:bodyDiv w:val="1"/>
      <w:marLeft w:val="0"/>
      <w:marRight w:val="0"/>
      <w:marTop w:val="0"/>
      <w:marBottom w:val="0"/>
      <w:divBdr>
        <w:top w:val="none" w:sz="0" w:space="0" w:color="auto"/>
        <w:left w:val="none" w:sz="0" w:space="0" w:color="auto"/>
        <w:bottom w:val="none" w:sz="0" w:space="0" w:color="auto"/>
        <w:right w:val="none" w:sz="0" w:space="0" w:color="auto"/>
      </w:divBdr>
    </w:div>
    <w:div w:id="959728078">
      <w:bodyDiv w:val="1"/>
      <w:marLeft w:val="0"/>
      <w:marRight w:val="0"/>
      <w:marTop w:val="0"/>
      <w:marBottom w:val="0"/>
      <w:divBdr>
        <w:top w:val="none" w:sz="0" w:space="0" w:color="auto"/>
        <w:left w:val="none" w:sz="0" w:space="0" w:color="auto"/>
        <w:bottom w:val="none" w:sz="0" w:space="0" w:color="auto"/>
        <w:right w:val="none" w:sz="0" w:space="0" w:color="auto"/>
      </w:divBdr>
    </w:div>
    <w:div w:id="1122924432">
      <w:bodyDiv w:val="1"/>
      <w:marLeft w:val="0"/>
      <w:marRight w:val="0"/>
      <w:marTop w:val="0"/>
      <w:marBottom w:val="0"/>
      <w:divBdr>
        <w:top w:val="none" w:sz="0" w:space="0" w:color="auto"/>
        <w:left w:val="none" w:sz="0" w:space="0" w:color="auto"/>
        <w:bottom w:val="none" w:sz="0" w:space="0" w:color="auto"/>
        <w:right w:val="none" w:sz="0" w:space="0" w:color="auto"/>
      </w:divBdr>
    </w:div>
    <w:div w:id="1183973822">
      <w:bodyDiv w:val="1"/>
      <w:marLeft w:val="0"/>
      <w:marRight w:val="0"/>
      <w:marTop w:val="0"/>
      <w:marBottom w:val="0"/>
      <w:divBdr>
        <w:top w:val="none" w:sz="0" w:space="0" w:color="auto"/>
        <w:left w:val="none" w:sz="0" w:space="0" w:color="auto"/>
        <w:bottom w:val="none" w:sz="0" w:space="0" w:color="auto"/>
        <w:right w:val="none" w:sz="0" w:space="0" w:color="auto"/>
      </w:divBdr>
    </w:div>
    <w:div w:id="1299261135">
      <w:bodyDiv w:val="1"/>
      <w:marLeft w:val="0"/>
      <w:marRight w:val="0"/>
      <w:marTop w:val="0"/>
      <w:marBottom w:val="0"/>
      <w:divBdr>
        <w:top w:val="none" w:sz="0" w:space="0" w:color="auto"/>
        <w:left w:val="none" w:sz="0" w:space="0" w:color="auto"/>
        <w:bottom w:val="none" w:sz="0" w:space="0" w:color="auto"/>
        <w:right w:val="none" w:sz="0" w:space="0" w:color="auto"/>
      </w:divBdr>
    </w:div>
    <w:div w:id="1433017835">
      <w:bodyDiv w:val="1"/>
      <w:marLeft w:val="0"/>
      <w:marRight w:val="0"/>
      <w:marTop w:val="0"/>
      <w:marBottom w:val="0"/>
      <w:divBdr>
        <w:top w:val="none" w:sz="0" w:space="0" w:color="auto"/>
        <w:left w:val="none" w:sz="0" w:space="0" w:color="auto"/>
        <w:bottom w:val="none" w:sz="0" w:space="0" w:color="auto"/>
        <w:right w:val="none" w:sz="0" w:space="0" w:color="auto"/>
      </w:divBdr>
    </w:div>
    <w:div w:id="1573655966">
      <w:bodyDiv w:val="1"/>
      <w:marLeft w:val="0"/>
      <w:marRight w:val="0"/>
      <w:marTop w:val="0"/>
      <w:marBottom w:val="0"/>
      <w:divBdr>
        <w:top w:val="none" w:sz="0" w:space="0" w:color="auto"/>
        <w:left w:val="none" w:sz="0" w:space="0" w:color="auto"/>
        <w:bottom w:val="none" w:sz="0" w:space="0" w:color="auto"/>
        <w:right w:val="none" w:sz="0" w:space="0" w:color="auto"/>
      </w:divBdr>
    </w:div>
    <w:div w:id="1626232366">
      <w:bodyDiv w:val="1"/>
      <w:marLeft w:val="0"/>
      <w:marRight w:val="0"/>
      <w:marTop w:val="0"/>
      <w:marBottom w:val="0"/>
      <w:divBdr>
        <w:top w:val="none" w:sz="0" w:space="0" w:color="auto"/>
        <w:left w:val="none" w:sz="0" w:space="0" w:color="auto"/>
        <w:bottom w:val="none" w:sz="0" w:space="0" w:color="auto"/>
        <w:right w:val="none" w:sz="0" w:space="0" w:color="auto"/>
      </w:divBdr>
    </w:div>
    <w:div w:id="1740320237">
      <w:bodyDiv w:val="1"/>
      <w:marLeft w:val="0"/>
      <w:marRight w:val="0"/>
      <w:marTop w:val="0"/>
      <w:marBottom w:val="0"/>
      <w:divBdr>
        <w:top w:val="none" w:sz="0" w:space="0" w:color="auto"/>
        <w:left w:val="none" w:sz="0" w:space="0" w:color="auto"/>
        <w:bottom w:val="none" w:sz="0" w:space="0" w:color="auto"/>
        <w:right w:val="none" w:sz="0" w:space="0" w:color="auto"/>
      </w:divBdr>
    </w:div>
    <w:div w:id="1896965450">
      <w:bodyDiv w:val="1"/>
      <w:marLeft w:val="0"/>
      <w:marRight w:val="0"/>
      <w:marTop w:val="0"/>
      <w:marBottom w:val="0"/>
      <w:divBdr>
        <w:top w:val="none" w:sz="0" w:space="0" w:color="auto"/>
        <w:left w:val="none" w:sz="0" w:space="0" w:color="auto"/>
        <w:bottom w:val="none" w:sz="0" w:space="0" w:color="auto"/>
        <w:right w:val="none" w:sz="0" w:space="0" w:color="auto"/>
      </w:divBdr>
    </w:div>
    <w:div w:id="1926454764">
      <w:bodyDiv w:val="1"/>
      <w:marLeft w:val="0"/>
      <w:marRight w:val="0"/>
      <w:marTop w:val="0"/>
      <w:marBottom w:val="0"/>
      <w:divBdr>
        <w:top w:val="none" w:sz="0" w:space="0" w:color="auto"/>
        <w:left w:val="none" w:sz="0" w:space="0" w:color="auto"/>
        <w:bottom w:val="none" w:sz="0" w:space="0" w:color="auto"/>
        <w:right w:val="none" w:sz="0" w:space="0" w:color="auto"/>
      </w:divBdr>
    </w:div>
    <w:div w:id="20537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hyperlink" Target="http://www.maine.gov/labor/cwr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WRI%20website\CWRI\publications\Word\Template_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1944-3642-46FD-A629-3A521C7A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Template_Brief.dotx</Template>
  <TotalTime>45</TotalTime>
  <Pages>7</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Additional Data on Unemployment Insurance Claims in the</vt:lpstr>
    </vt:vector>
  </TitlesOfParts>
  <Company>Department of Labor</Company>
  <LinksUpToDate>false</LinksUpToDate>
  <CharactersWithSpaces>8744</CharactersWithSpaces>
  <SharedDoc>false</SharedDoc>
  <HLinks>
    <vt:vector size="6" baseType="variant">
      <vt:variant>
        <vt:i4>3539047</vt:i4>
      </vt:variant>
      <vt:variant>
        <vt:i4>0</vt:i4>
      </vt:variant>
      <vt:variant>
        <vt:i4>0</vt:i4>
      </vt:variant>
      <vt:variant>
        <vt:i4>5</vt:i4>
      </vt:variant>
      <vt:variant>
        <vt:lpwstr>http://www.maine.gov/labor/cwri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Data on Unemployment Insurance Claims in the</dc:title>
  <dc:subject/>
  <dc:creator>State of Maine</dc:creator>
  <cp:keywords/>
  <cp:lastModifiedBy>State of Maine</cp:lastModifiedBy>
  <cp:revision>10</cp:revision>
  <cp:lastPrinted>2013-04-09T13:14:00Z</cp:lastPrinted>
  <dcterms:created xsi:type="dcterms:W3CDTF">2013-04-05T15:55:00Z</dcterms:created>
  <dcterms:modified xsi:type="dcterms:W3CDTF">2013-04-09T13:43:00Z</dcterms:modified>
</cp:coreProperties>
</file>