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20" w:rsidRPr="00484A3F" w:rsidRDefault="002E5F3E" w:rsidP="00716620">
      <w:pPr>
        <w:pStyle w:val="Title"/>
        <w:rPr>
          <w:color w:val="FFFFFF"/>
        </w:rPr>
      </w:pPr>
      <w:r>
        <w:rPr>
          <w:color w:val="auto"/>
          <w14:shadow w14:blurRad="0" w14:dist="0" w14:dir="0" w14:sx="0" w14:sy="0" w14:kx="0" w14:ky="0" w14:algn="none">
            <w14:srgbClr w14:val="000000"/>
          </w14:shadow>
          <w14:textFill>
            <w14:solidFill>
              <w14:srgbClr w14:val="FFFFFF"/>
            </w14:solidFill>
          </w14:textFill>
        </w:rPr>
        <w:drawing>
          <wp:anchor distT="0" distB="0" distL="114300" distR="114300" simplePos="0" relativeHeight="251657728" behindDoc="0" locked="0" layoutInCell="1" allowOverlap="0">
            <wp:simplePos x="0" y="0"/>
            <wp:positionH relativeFrom="column">
              <wp:posOffset>0</wp:posOffset>
            </wp:positionH>
            <wp:positionV relativeFrom="paragraph">
              <wp:posOffset>0</wp:posOffset>
            </wp:positionV>
            <wp:extent cx="880110" cy="709930"/>
            <wp:effectExtent l="0" t="0" r="0" b="0"/>
            <wp:wrapNone/>
            <wp:docPr id="12" name="Picture 440" descr="Maine Department of Labor, Center for Workforce Research and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Maine Department of Labor, Center for Workforce Research and Inform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620" w:rsidRPr="00484A3F">
        <w:rPr>
          <w:color w:val="FFFFFF"/>
          <w:szCs w:val="72"/>
        </w:rPr>
        <w:t>Research</w:t>
      </w:r>
      <w:r w:rsidR="00716620" w:rsidRPr="00484A3F">
        <w:rPr>
          <w:color w:val="FFFFFF"/>
        </w:rPr>
        <w:t xml:space="preserve"> Brief</w:t>
      </w:r>
    </w:p>
    <w:p w:rsidR="00716620" w:rsidRPr="00484A3F" w:rsidRDefault="00716620" w:rsidP="00716620">
      <w:pPr>
        <w:pStyle w:val="Subtitle"/>
        <w:rPr>
          <w:color w:val="FFFFFF"/>
        </w:rPr>
      </w:pPr>
      <w:r w:rsidRPr="00484A3F">
        <w:rPr>
          <w:color w:val="FFFFFF"/>
        </w:rPr>
        <w:t xml:space="preserve">Center for </w:t>
      </w:r>
      <w:r w:rsidRPr="00484A3F">
        <w:rPr>
          <w:color w:val="FFFFFF"/>
          <w:szCs w:val="32"/>
        </w:rPr>
        <w:t>Workforce</w:t>
      </w:r>
      <w:r w:rsidRPr="00484A3F">
        <w:rPr>
          <w:color w:val="FFFFFF"/>
        </w:rPr>
        <w:t xml:space="preserve"> Research and Information</w:t>
      </w:r>
    </w:p>
    <w:p w:rsidR="00716620" w:rsidRPr="00DC0571" w:rsidRDefault="00CF5902" w:rsidP="00DC0571">
      <w:pPr>
        <w:pStyle w:val="Header"/>
      </w:pPr>
      <w:r>
        <w:t>May</w:t>
      </w:r>
      <w:r w:rsidR="00716620" w:rsidRPr="00DC0571">
        <w:t xml:space="preserve"> 201</w:t>
      </w:r>
      <w:r w:rsidR="00AA6D54">
        <w:t>3</w:t>
      </w:r>
    </w:p>
    <w:p w:rsidR="00FC096C" w:rsidRDefault="001047D5" w:rsidP="00D521F1">
      <w:pPr>
        <w:pStyle w:val="Heading1"/>
        <w:spacing w:before="480" w:after="480"/>
      </w:pPr>
      <w:r>
        <w:t xml:space="preserve">The </w:t>
      </w:r>
      <w:r w:rsidR="004A64D2">
        <w:t>Maine</w:t>
      </w:r>
      <w:r>
        <w:t xml:space="preserve"> </w:t>
      </w:r>
      <w:r w:rsidR="004A64D2">
        <w:t xml:space="preserve">Labor </w:t>
      </w:r>
      <w:r w:rsidR="00743129">
        <w:t>Force</w:t>
      </w:r>
      <w:r w:rsidR="00E44E08">
        <w:t>—</w:t>
      </w:r>
      <w:r>
        <w:t xml:space="preserve">Aging and </w:t>
      </w:r>
      <w:r w:rsidR="006632E2">
        <w:t xml:space="preserve">Slowly </w:t>
      </w:r>
      <w:r>
        <w:t>Growing</w:t>
      </w:r>
    </w:p>
    <w:p w:rsidR="003971AB" w:rsidRDefault="005F3C3C" w:rsidP="000D32BD">
      <w:pPr>
        <w:pStyle w:val="BodyText"/>
      </w:pPr>
      <w:r>
        <w:t>Th</w:t>
      </w:r>
      <w:r w:rsidR="00986CD5">
        <w:t>e leading edge of the Baby</w:t>
      </w:r>
      <w:r w:rsidR="008E0B73">
        <w:t xml:space="preserve"> </w:t>
      </w:r>
      <w:r w:rsidR="00986CD5">
        <w:t>B</w:t>
      </w:r>
      <w:r w:rsidR="005E1920">
        <w:t xml:space="preserve">oomer </w:t>
      </w:r>
      <w:r w:rsidR="006632E2">
        <w:t xml:space="preserve">segment of the </w:t>
      </w:r>
      <w:r w:rsidR="005E1920">
        <w:t>labor force reached the traditional retirement age of 65 in 2011</w:t>
      </w:r>
      <w:r w:rsidR="00A34ECB">
        <w:t>;</w:t>
      </w:r>
      <w:r w:rsidR="00F40D59">
        <w:t xml:space="preserve"> the youngest Baby B</w:t>
      </w:r>
      <w:r w:rsidR="005E1920">
        <w:t xml:space="preserve">oomers </w:t>
      </w:r>
      <w:r w:rsidR="00A34ECB">
        <w:t xml:space="preserve">will </w:t>
      </w:r>
      <w:r w:rsidR="005E1920">
        <w:t>reach 65 in 2029.</w:t>
      </w:r>
      <w:r w:rsidR="0031282A">
        <w:t xml:space="preserve"> </w:t>
      </w:r>
      <w:r w:rsidR="005E1920">
        <w:t>Th</w:t>
      </w:r>
      <w:r w:rsidR="008E0B73">
        <w:t>is</w:t>
      </w:r>
      <w:r w:rsidR="005E1920">
        <w:t xml:space="preserve"> </w:t>
      </w:r>
      <w:r w:rsidR="006632E2">
        <w:t xml:space="preserve">holds significant </w:t>
      </w:r>
      <w:r w:rsidR="005E1920">
        <w:t xml:space="preserve">implications </w:t>
      </w:r>
      <w:r w:rsidR="00A34ECB">
        <w:t>for</w:t>
      </w:r>
      <w:r w:rsidR="005E1920">
        <w:t xml:space="preserve"> the workforce as </w:t>
      </w:r>
      <w:r w:rsidR="0031282A">
        <w:t xml:space="preserve">workers </w:t>
      </w:r>
      <w:r w:rsidR="005E1920">
        <w:t xml:space="preserve">born between 1946 and 1964 </w:t>
      </w:r>
      <w:r w:rsidR="00E847F5">
        <w:t>reti</w:t>
      </w:r>
      <w:r w:rsidR="00CF7ED8">
        <w:t>re</w:t>
      </w:r>
      <w:r w:rsidR="009D48A6">
        <w:t xml:space="preserve"> over the next twenty years. </w:t>
      </w:r>
      <w:r w:rsidR="00FE106D">
        <w:t>An</w:t>
      </w:r>
      <w:r w:rsidR="00F10725">
        <w:t xml:space="preserve"> aging</w:t>
      </w:r>
      <w:r w:rsidR="00FE106D">
        <w:t>,</w:t>
      </w:r>
      <w:r w:rsidR="00F10725">
        <w:t xml:space="preserve"> slowly growing population </w:t>
      </w:r>
      <w:r w:rsidR="00FE106D">
        <w:t xml:space="preserve">and </w:t>
      </w:r>
      <w:r w:rsidR="006632E2">
        <w:t xml:space="preserve">the </w:t>
      </w:r>
      <w:r w:rsidR="00FE106D">
        <w:t xml:space="preserve">declining rate </w:t>
      </w:r>
      <w:r w:rsidR="006632E2">
        <w:t>of</w:t>
      </w:r>
      <w:r w:rsidR="00FE106D">
        <w:t xml:space="preserve"> residents participat</w:t>
      </w:r>
      <w:r w:rsidR="006632E2">
        <w:t>ing</w:t>
      </w:r>
      <w:r w:rsidR="00FE106D">
        <w:t xml:space="preserve"> in the labor force </w:t>
      </w:r>
      <w:r w:rsidR="00F10725">
        <w:t xml:space="preserve">will </w:t>
      </w:r>
      <w:r w:rsidR="00A34ECB">
        <w:t xml:space="preserve">result in </w:t>
      </w:r>
      <w:r w:rsidR="006B79B2">
        <w:t xml:space="preserve">slow </w:t>
      </w:r>
      <w:r w:rsidR="00A34ECB">
        <w:t xml:space="preserve">labor </w:t>
      </w:r>
      <w:r w:rsidR="006B79B2">
        <w:t>force growth</w:t>
      </w:r>
      <w:r w:rsidR="001047D5">
        <w:t xml:space="preserve"> during the coming years</w:t>
      </w:r>
      <w:r w:rsidR="00986CD5">
        <w:t>.</w:t>
      </w:r>
    </w:p>
    <w:p w:rsidR="00A34ECB" w:rsidRDefault="00A34ECB" w:rsidP="00A34ECB">
      <w:pPr>
        <w:pStyle w:val="Heading2"/>
      </w:pPr>
      <w:r>
        <w:t xml:space="preserve">The </w:t>
      </w:r>
      <w:r w:rsidR="006632E2">
        <w:t xml:space="preserve">changing </w:t>
      </w:r>
      <w:r>
        <w:t>demographic landscape</w:t>
      </w:r>
    </w:p>
    <w:p w:rsidR="00917CBE" w:rsidRDefault="00986CD5" w:rsidP="00491E53">
      <w:pPr>
        <w:pStyle w:val="BodyText"/>
      </w:pPr>
      <w:r>
        <w:t>The movement of the B</w:t>
      </w:r>
      <w:r w:rsidR="00C73695">
        <w:t>aby</w:t>
      </w:r>
      <w:r>
        <w:t xml:space="preserve"> B</w:t>
      </w:r>
      <w:r w:rsidR="00C73695">
        <w:t xml:space="preserve">oomers through the population has </w:t>
      </w:r>
      <w:r w:rsidR="003C4B1A">
        <w:t>changed the demographic landscape</w:t>
      </w:r>
      <w:r w:rsidR="007A29ED">
        <w:t xml:space="preserve">. </w:t>
      </w:r>
      <w:r w:rsidR="00FF6BB9">
        <w:t xml:space="preserve">The number of Maine residents </w:t>
      </w:r>
      <w:r w:rsidR="001D0D64">
        <w:t>over the age of 44</w:t>
      </w:r>
      <w:r w:rsidR="007A29ED">
        <w:t xml:space="preserve"> increased </w:t>
      </w:r>
      <w:r w:rsidR="001D0D64">
        <w:t>122,600</w:t>
      </w:r>
      <w:r w:rsidR="00FF6BB9">
        <w:t xml:space="preserve"> b</w:t>
      </w:r>
      <w:r w:rsidR="00917CBE">
        <w:t>etween 2000 and 2010</w:t>
      </w:r>
      <w:r>
        <w:t xml:space="preserve"> (Baby B</w:t>
      </w:r>
      <w:r w:rsidR="007A29ED">
        <w:t>oomers were aged 46 to 64 years of age in 2010)</w:t>
      </w:r>
      <w:r w:rsidR="003C4B1A">
        <w:t xml:space="preserve">; the number </w:t>
      </w:r>
      <w:r w:rsidR="001D0D64">
        <w:t>under the age of 45 fell</w:t>
      </w:r>
      <w:r w:rsidR="003C4B1A">
        <w:t xml:space="preserve"> </w:t>
      </w:r>
      <w:r w:rsidR="001D0D64">
        <w:t>69,100</w:t>
      </w:r>
      <w:r w:rsidR="003C4B1A">
        <w:t>.</w:t>
      </w:r>
    </w:p>
    <w:p w:rsidR="009D105B" w:rsidRDefault="002E5F3E" w:rsidP="005C10E7">
      <w:pPr>
        <w:pStyle w:val="BodyText"/>
        <w:spacing w:after="240"/>
        <w:jc w:val="center"/>
      </w:pPr>
      <w:r>
        <w:rPr>
          <w:noProof/>
        </w:rPr>
        <w:drawing>
          <wp:inline distT="0" distB="0" distL="0" distR="0">
            <wp:extent cx="5524500" cy="2875205"/>
            <wp:effectExtent l="0" t="0" r="0" b="1905"/>
            <wp:docPr id="1" name="Picture 1" descr="See sheet one on accompanying excel file." title="Maine's population age 45 and over increased 122,600 while those under the age of 45 declined 6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6203" cy="2876091"/>
                    </a:xfrm>
                    <a:prstGeom prst="rect">
                      <a:avLst/>
                    </a:prstGeom>
                    <a:noFill/>
                    <a:ln>
                      <a:noFill/>
                    </a:ln>
                  </pic:spPr>
                </pic:pic>
              </a:graphicData>
            </a:graphic>
          </wp:inline>
        </w:drawing>
      </w:r>
    </w:p>
    <w:p w:rsidR="00F04806" w:rsidRDefault="00D521F1" w:rsidP="00F04806">
      <w:pPr>
        <w:pStyle w:val="Heading2"/>
      </w:pPr>
      <w:r>
        <w:t xml:space="preserve">The </w:t>
      </w:r>
      <w:r w:rsidR="006632E2">
        <w:t>aging M</w:t>
      </w:r>
      <w:r w:rsidR="00F04806">
        <w:t>aine labor force</w:t>
      </w:r>
    </w:p>
    <w:p w:rsidR="00993BE2" w:rsidRDefault="00D10945" w:rsidP="00F04806">
      <w:pPr>
        <w:pStyle w:val="BodyText"/>
      </w:pPr>
      <w:r>
        <w:t xml:space="preserve">The labor force </w:t>
      </w:r>
      <w:r w:rsidR="00E1371C">
        <w:t>grew older</w:t>
      </w:r>
      <w:r>
        <w:t xml:space="preserve"> </w:t>
      </w:r>
      <w:r w:rsidR="00E1371C">
        <w:t>as</w:t>
      </w:r>
      <w:r w:rsidR="00457875">
        <w:t xml:space="preserve"> the population age</w:t>
      </w:r>
      <w:r w:rsidR="00E1371C">
        <w:t>d</w:t>
      </w:r>
      <w:r w:rsidR="00457875">
        <w:t xml:space="preserve"> and participation rates for younger workers decline</w:t>
      </w:r>
      <w:r w:rsidR="00E1371C">
        <w:t>d b</w:t>
      </w:r>
      <w:r w:rsidR="00DF2D2F">
        <w:t>etween 2000 and 201</w:t>
      </w:r>
      <w:r w:rsidR="008F3CC6">
        <w:t>2</w:t>
      </w:r>
      <w:r w:rsidR="00E1371C">
        <w:t>. Labor force participants</w:t>
      </w:r>
      <w:r w:rsidR="00DF2D2F">
        <w:t xml:space="preserve"> under the age of 45 fell 5</w:t>
      </w:r>
      <w:r w:rsidR="008F3CC6">
        <w:t>9</w:t>
      </w:r>
      <w:r w:rsidR="00DF2D2F">
        <w:t xml:space="preserve">,000 while those 45 and over increased </w:t>
      </w:r>
      <w:r w:rsidR="00D93F57">
        <w:t>94</w:t>
      </w:r>
      <w:r w:rsidR="00DF2D2F">
        <w:t>,000.</w:t>
      </w:r>
    </w:p>
    <w:p w:rsidR="00993BE2" w:rsidRDefault="002E5F3E" w:rsidP="00993BE2">
      <w:pPr>
        <w:pStyle w:val="BodyText"/>
        <w:jc w:val="center"/>
      </w:pPr>
      <w:r>
        <w:rPr>
          <w:noProof/>
        </w:rPr>
        <w:lastRenderedPageBreak/>
        <w:drawing>
          <wp:inline distT="0" distB="0" distL="0" distR="0">
            <wp:extent cx="4645157" cy="2781300"/>
            <wp:effectExtent l="0" t="0" r="3175" b="0"/>
            <wp:docPr id="2" name="Picture 2" descr="See sheet two on accompanying excel file." title="Maine's labor force under the age of 45 declined 59,000 while those 45 and over increased 9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6279" cy="2781972"/>
                    </a:xfrm>
                    <a:prstGeom prst="rect">
                      <a:avLst/>
                    </a:prstGeom>
                    <a:noFill/>
                    <a:ln>
                      <a:noFill/>
                    </a:ln>
                  </pic:spPr>
                </pic:pic>
              </a:graphicData>
            </a:graphic>
          </wp:inline>
        </w:drawing>
      </w:r>
    </w:p>
    <w:p w:rsidR="00BC1E66" w:rsidRDefault="00BC1E66" w:rsidP="00F260A5">
      <w:pPr>
        <w:pStyle w:val="BodyText"/>
      </w:pPr>
      <w:r>
        <w:t xml:space="preserve">In the </w:t>
      </w:r>
      <w:r w:rsidR="00C21E72">
        <w:t>last twelve years</w:t>
      </w:r>
      <w:r>
        <w:t xml:space="preserve">, despite an increase </w:t>
      </w:r>
      <w:r w:rsidR="006632E2">
        <w:t xml:space="preserve">of more than 80,000 </w:t>
      </w:r>
      <w:r>
        <w:t>in the civilian noninstitutional population 16 years of age and older, the labor force increased by only 3</w:t>
      </w:r>
      <w:r w:rsidR="005C621C">
        <w:t>4</w:t>
      </w:r>
      <w:r>
        <w:t>,000</w:t>
      </w:r>
      <w:r w:rsidR="00447EC6">
        <w:rPr>
          <w:rFonts w:cs="Calibri"/>
        </w:rPr>
        <w:t>—</w:t>
      </w:r>
      <w:r w:rsidR="00CD5651">
        <w:t>a result</w:t>
      </w:r>
      <w:r>
        <w:t xml:space="preserve"> of a drop in the percentage of residents working or looking for work.</w:t>
      </w:r>
      <w:r w:rsidR="00E11806">
        <w:t xml:space="preserve"> Two forces were at play: the total participation rate fell as the population aged</w:t>
      </w:r>
      <w:r w:rsidR="00C21E72">
        <w:t xml:space="preserve"> (</w:t>
      </w:r>
      <w:r w:rsidR="006632E2">
        <w:t>after</w:t>
      </w:r>
      <w:r w:rsidR="00CD5651">
        <w:t xml:space="preserve"> the prime working years of 25 to 54</w:t>
      </w:r>
      <w:r w:rsidR="00116299">
        <w:t>,</w:t>
      </w:r>
      <w:r w:rsidR="00C21E72">
        <w:t xml:space="preserve"> the participation rate </w:t>
      </w:r>
      <w:r w:rsidR="00CD5651">
        <w:t>starts to decline</w:t>
      </w:r>
      <w:r w:rsidR="00C21E72">
        <w:t>)</w:t>
      </w:r>
      <w:r w:rsidR="00E11806">
        <w:t xml:space="preserve"> and younger worker participation rates dropped due to poor economic conditions and other factors.</w:t>
      </w:r>
    </w:p>
    <w:p w:rsidR="00BC1E66" w:rsidRDefault="00D11816" w:rsidP="00FE2B02">
      <w:pPr>
        <w:pStyle w:val="Heading2"/>
        <w:spacing w:before="0" w:after="120"/>
        <w:jc w:val="center"/>
      </w:pPr>
      <w:r w:rsidRPr="00D11816">
        <w:drawing>
          <wp:inline distT="0" distB="0" distL="0" distR="0">
            <wp:extent cx="4419600" cy="2640981"/>
            <wp:effectExtent l="0" t="0" r="0" b="6985"/>
            <wp:docPr id="13" name="Picture 13" descr="See sheet three on accompanying excel file." title="The Maine labor force participation rate is f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0" cy="2640981"/>
                    </a:xfrm>
                    <a:prstGeom prst="rect">
                      <a:avLst/>
                    </a:prstGeom>
                    <a:noFill/>
                    <a:ln>
                      <a:noFill/>
                    </a:ln>
                  </pic:spPr>
                </pic:pic>
              </a:graphicData>
            </a:graphic>
          </wp:inline>
        </w:drawing>
      </w:r>
    </w:p>
    <w:p w:rsidR="001E2E49" w:rsidRDefault="001E2E49" w:rsidP="001E2E49">
      <w:pPr>
        <w:pStyle w:val="Heading2"/>
      </w:pPr>
      <w:r>
        <w:t>The age of the workforce varies by industry</w:t>
      </w:r>
      <w:r w:rsidR="00D865B7">
        <w:t xml:space="preserve"> and county</w:t>
      </w:r>
    </w:p>
    <w:p w:rsidR="00C05DED" w:rsidRDefault="00C05DED" w:rsidP="002F73B4">
      <w:pPr>
        <w:pStyle w:val="BodyText"/>
      </w:pPr>
      <w:r>
        <w:t>E</w:t>
      </w:r>
      <w:r w:rsidR="002C36B8">
        <w:t>mployment data used in th</w:t>
      </w:r>
      <w:r>
        <w:t>e following</w:t>
      </w:r>
      <w:r w:rsidR="002C36B8">
        <w:t xml:space="preserve"> analysis </w:t>
      </w:r>
      <w:r>
        <w:t>of the age profile of Maine workers</w:t>
      </w:r>
      <w:r w:rsidR="00A31B1B">
        <w:t xml:space="preserve"> by industry</w:t>
      </w:r>
      <w:r>
        <w:t xml:space="preserve"> </w:t>
      </w:r>
      <w:r w:rsidR="002C36B8">
        <w:t>comes from the Local Employment Dynamics Program</w:t>
      </w:r>
      <w:r w:rsidR="005C219F">
        <w:t xml:space="preserve"> (LED)</w:t>
      </w:r>
      <w:r w:rsidR="004341FD">
        <w:t xml:space="preserve"> unless otherwise noted</w:t>
      </w:r>
      <w:r w:rsidR="002C36B8">
        <w:t xml:space="preserve">. </w:t>
      </w:r>
      <w:r w:rsidR="006632E2">
        <w:t>LED defines e</w:t>
      </w:r>
      <w:r w:rsidR="002C36B8">
        <w:t xml:space="preserve">mployment as workers who were employed by the same employer in both the current and previous quarter. </w:t>
      </w:r>
    </w:p>
    <w:p w:rsidR="00D35776" w:rsidRDefault="002F73B4" w:rsidP="002F73B4">
      <w:pPr>
        <w:pStyle w:val="BodyText"/>
      </w:pPr>
      <w:r>
        <w:t xml:space="preserve">Between 1997 (the first year employment data by age </w:t>
      </w:r>
      <w:r w:rsidR="00C05DED">
        <w:t xml:space="preserve">from the </w:t>
      </w:r>
      <w:r w:rsidR="005C7B6E">
        <w:t>LE</w:t>
      </w:r>
      <w:r w:rsidR="00C05DED">
        <w:t xml:space="preserve">D </w:t>
      </w:r>
      <w:r>
        <w:t xml:space="preserve">was available) and 2011, </w:t>
      </w:r>
      <w:r w:rsidR="00C05DED">
        <w:t xml:space="preserve">employment increased </w:t>
      </w:r>
      <w:r w:rsidR="00F8147A">
        <w:t>3</w:t>
      </w:r>
      <w:r w:rsidR="004E2B39">
        <w:t>7,</w:t>
      </w:r>
      <w:r w:rsidR="00F8147A">
        <w:t>000</w:t>
      </w:r>
      <w:r w:rsidR="00C05DED">
        <w:t>. However</w:t>
      </w:r>
      <w:r w:rsidR="00F13B26">
        <w:t>,</w:t>
      </w:r>
      <w:r w:rsidR="00C05DED">
        <w:t xml:space="preserve"> the workforce aged considerably. The numbe</w:t>
      </w:r>
      <w:r w:rsidR="00AB2740">
        <w:t>r of workers under the age of 45</w:t>
      </w:r>
      <w:r w:rsidR="00C05DED">
        <w:t xml:space="preserve"> declined </w:t>
      </w:r>
      <w:r w:rsidR="00285CC7">
        <w:t>5</w:t>
      </w:r>
      <w:r w:rsidR="00F8147A">
        <w:t>9,000</w:t>
      </w:r>
      <w:r w:rsidR="00AB2740">
        <w:t>,</w:t>
      </w:r>
      <w:r w:rsidR="00C05DED">
        <w:t xml:space="preserve"> while thos</w:t>
      </w:r>
      <w:r w:rsidR="00285CC7">
        <w:t xml:space="preserve">e over the age of 44 increased </w:t>
      </w:r>
      <w:r w:rsidR="004E2B39">
        <w:t>96,0</w:t>
      </w:r>
      <w:r w:rsidR="00F8147A">
        <w:t>00</w:t>
      </w:r>
      <w:r w:rsidR="005F4921">
        <w:t xml:space="preserve">, </w:t>
      </w:r>
      <w:r w:rsidR="00347AFC">
        <w:t xml:space="preserve">led by a gain of </w:t>
      </w:r>
      <w:r w:rsidR="004E2B39">
        <w:t>8</w:t>
      </w:r>
      <w:r w:rsidR="00F8147A">
        <w:t>3</w:t>
      </w:r>
      <w:r w:rsidR="004E2B39">
        <w:t>,</w:t>
      </w:r>
      <w:r w:rsidR="00F8147A">
        <w:t>000 B</w:t>
      </w:r>
      <w:r w:rsidR="00347AFC">
        <w:t>aby</w:t>
      </w:r>
      <w:r w:rsidR="00F8147A">
        <w:t xml:space="preserve"> B</w:t>
      </w:r>
      <w:r w:rsidR="00347AFC">
        <w:t>oomer</w:t>
      </w:r>
      <w:r w:rsidR="009103C7">
        <w:t xml:space="preserve"> workers (45 to 64)</w:t>
      </w:r>
      <w:r w:rsidR="00347AFC">
        <w:t>.</w:t>
      </w:r>
      <w:r w:rsidR="007269F3">
        <w:t xml:space="preserve"> During the next ten years </w:t>
      </w:r>
      <w:r w:rsidR="004E2B39">
        <w:t>18</w:t>
      </w:r>
      <w:r w:rsidR="007269F3">
        <w:t xml:space="preserve"> percent of current Maine workers will reach the age of 65; during the next twenty years </w:t>
      </w:r>
      <w:r w:rsidR="006632E2">
        <w:t xml:space="preserve">that percentage will rise to </w:t>
      </w:r>
      <w:r w:rsidR="00285CC7">
        <w:t>4</w:t>
      </w:r>
      <w:r w:rsidR="004E2B39">
        <w:t>3</w:t>
      </w:r>
      <w:r w:rsidR="007269F3">
        <w:t xml:space="preserve"> percent.</w:t>
      </w:r>
    </w:p>
    <w:p w:rsidR="00A70625" w:rsidRDefault="002E5F3E" w:rsidP="00E236B8">
      <w:pPr>
        <w:pStyle w:val="BodyText"/>
        <w:jc w:val="center"/>
      </w:pPr>
      <w:r>
        <w:rPr>
          <w:noProof/>
        </w:rPr>
        <w:lastRenderedPageBreak/>
        <w:drawing>
          <wp:inline distT="0" distB="0" distL="0" distR="0">
            <wp:extent cx="5200650" cy="2762250"/>
            <wp:effectExtent l="0" t="0" r="0" b="0"/>
            <wp:docPr id="4" name="Picture 4" descr=" See sheet four on accompanying excel file.        " title="Maine workers are getting 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0" cy="2762250"/>
                    </a:xfrm>
                    <a:prstGeom prst="rect">
                      <a:avLst/>
                    </a:prstGeom>
                    <a:noFill/>
                    <a:ln>
                      <a:noFill/>
                    </a:ln>
                  </pic:spPr>
                </pic:pic>
              </a:graphicData>
            </a:graphic>
          </wp:inline>
        </w:drawing>
      </w:r>
    </w:p>
    <w:p w:rsidR="00DC4FA2" w:rsidRDefault="00BB3F4E" w:rsidP="003D10BD">
      <w:pPr>
        <w:pStyle w:val="Heading3"/>
      </w:pPr>
      <w:r>
        <w:t>Almost half of all p</w:t>
      </w:r>
      <w:r w:rsidR="00DC4FA2">
        <w:t xml:space="preserve">rivate </w:t>
      </w:r>
      <w:r>
        <w:t xml:space="preserve">industry workers are over 44 years </w:t>
      </w:r>
      <w:r w:rsidRPr="003D10BD">
        <w:t>old</w:t>
      </w:r>
    </w:p>
    <w:p w:rsidR="00A3437F" w:rsidRDefault="00A3437F" w:rsidP="00017492">
      <w:pPr>
        <w:pStyle w:val="BodyText"/>
      </w:pPr>
      <w:r>
        <w:t>Currently, 4</w:t>
      </w:r>
      <w:r w:rsidR="00E468AD">
        <w:t>6</w:t>
      </w:r>
      <w:r>
        <w:t xml:space="preserve"> percent of private industry workers are at least 45 year</w:t>
      </w:r>
      <w:r w:rsidR="00BB3F4E">
        <w:t>s</w:t>
      </w:r>
      <w:r>
        <w:t xml:space="preserve"> old. </w:t>
      </w:r>
      <w:r w:rsidR="005D16F8">
        <w:t>Withi</w:t>
      </w:r>
      <w:r w:rsidR="006F6C31">
        <w:t xml:space="preserve">n the next twenty years, </w:t>
      </w:r>
      <w:r w:rsidR="00F9740B">
        <w:t xml:space="preserve">at least </w:t>
      </w:r>
      <w:r>
        <w:t>4</w:t>
      </w:r>
      <w:r w:rsidR="00434F48">
        <w:t xml:space="preserve">0 percent of the current workforce for </w:t>
      </w:r>
      <w:r w:rsidR="006F6C31">
        <w:t>m</w:t>
      </w:r>
      <w:r w:rsidR="00206B8E">
        <w:t>ost</w:t>
      </w:r>
      <w:r w:rsidR="006F6C31">
        <w:t xml:space="preserve"> sectors </w:t>
      </w:r>
      <w:r>
        <w:t xml:space="preserve">will be </w:t>
      </w:r>
      <w:r w:rsidR="005D16F8">
        <w:t>65 or older</w:t>
      </w:r>
      <w:r w:rsidR="006F6C31">
        <w:t xml:space="preserve">. </w:t>
      </w:r>
    </w:p>
    <w:p w:rsidR="00A3437F" w:rsidRDefault="002E5F3E" w:rsidP="00A3437F">
      <w:pPr>
        <w:pStyle w:val="BodyText"/>
        <w:jc w:val="center"/>
      </w:pPr>
      <w:r>
        <w:rPr>
          <w:noProof/>
        </w:rPr>
        <w:drawing>
          <wp:inline distT="0" distB="0" distL="0" distR="0">
            <wp:extent cx="5095875" cy="4438650"/>
            <wp:effectExtent l="0" t="0" r="9525" b="0"/>
            <wp:docPr id="5" name="Picture 5" descr="See sheet five in accompanying excel file." title="At least forty percent of the workers in most private industry sectors were 45 or older i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5875" cy="4438650"/>
                    </a:xfrm>
                    <a:prstGeom prst="rect">
                      <a:avLst/>
                    </a:prstGeom>
                    <a:noFill/>
                    <a:ln>
                      <a:noFill/>
                    </a:ln>
                  </pic:spPr>
                </pic:pic>
              </a:graphicData>
            </a:graphic>
          </wp:inline>
        </w:drawing>
      </w:r>
    </w:p>
    <w:p w:rsidR="00E02705" w:rsidRDefault="00F65CB3" w:rsidP="00017492">
      <w:pPr>
        <w:pStyle w:val="BodyText"/>
      </w:pPr>
      <w:r>
        <w:t>Of immediate concern are those Baby B</w:t>
      </w:r>
      <w:r w:rsidR="009C6980">
        <w:t xml:space="preserve">oomers </w:t>
      </w:r>
      <w:r w:rsidR="00CD1FE1">
        <w:t>who</w:t>
      </w:r>
      <w:r w:rsidR="009C6980">
        <w:t xml:space="preserve"> will be eligible to retire during the next ten years, currently age 55 to 64</w:t>
      </w:r>
      <w:r w:rsidR="00F13B26">
        <w:t xml:space="preserve">, and </w:t>
      </w:r>
      <w:r w:rsidR="0092080A">
        <w:t>workers</w:t>
      </w:r>
      <w:r w:rsidR="00F13B26">
        <w:t xml:space="preserve"> 65 and over</w:t>
      </w:r>
      <w:r w:rsidR="00447EC6">
        <w:rPr>
          <w:rFonts w:cs="Calibri"/>
        </w:rPr>
        <w:t>—</w:t>
      </w:r>
      <w:r w:rsidR="006F6C31">
        <w:t xml:space="preserve">workers </w:t>
      </w:r>
      <w:r w:rsidR="00447EC6">
        <w:t xml:space="preserve">that age are </w:t>
      </w:r>
      <w:r w:rsidR="006F6C31">
        <w:t xml:space="preserve">most likely to leave the labor force or </w:t>
      </w:r>
      <w:r w:rsidR="006F6C31">
        <w:lastRenderedPageBreak/>
        <w:t xml:space="preserve">reduce their work hours. </w:t>
      </w:r>
      <w:r w:rsidR="004F33AB">
        <w:t>Workers ag</w:t>
      </w:r>
      <w:r>
        <w:t>e 55 or over accounted for 22</w:t>
      </w:r>
      <w:r w:rsidR="004F33AB">
        <w:t xml:space="preserve"> percent of the workforce in 2011</w:t>
      </w:r>
      <w:r w:rsidR="00125709">
        <w:t>; by industry</w:t>
      </w:r>
      <w:r w:rsidR="00F702E2">
        <w:t xml:space="preserve"> sector</w:t>
      </w:r>
      <w:r w:rsidR="00125709">
        <w:t xml:space="preserve"> the percentage ranged from 10 percent </w:t>
      </w:r>
      <w:r w:rsidR="00447EC6">
        <w:t>(</w:t>
      </w:r>
      <w:r w:rsidR="00125709">
        <w:t>accommodation and food services</w:t>
      </w:r>
      <w:r w:rsidR="00447EC6">
        <w:t>)</w:t>
      </w:r>
      <w:r w:rsidR="00125709">
        <w:t xml:space="preserve"> to 30 percent</w:t>
      </w:r>
      <w:r w:rsidR="00447EC6">
        <w:t xml:space="preserve"> (</w:t>
      </w:r>
      <w:r w:rsidR="00770830">
        <w:t>mining</w:t>
      </w:r>
      <w:r w:rsidR="00447EC6">
        <w:t>)</w:t>
      </w:r>
      <w:r w:rsidR="00770830">
        <w:t>.</w:t>
      </w:r>
    </w:p>
    <w:tbl>
      <w:tblPr>
        <w:tblW w:w="6675" w:type="dxa"/>
        <w:jc w:val="center"/>
        <w:tblInd w:w="93" w:type="dxa"/>
        <w:tblLook w:val="04A0" w:firstRow="1" w:lastRow="0" w:firstColumn="1" w:lastColumn="0" w:noHBand="0" w:noVBand="1"/>
      </w:tblPr>
      <w:tblGrid>
        <w:gridCol w:w="4065"/>
        <w:gridCol w:w="1253"/>
        <w:gridCol w:w="1357"/>
      </w:tblGrid>
      <w:tr w:rsidR="00E02705" w:rsidTr="005549B7">
        <w:trPr>
          <w:trHeight w:val="300"/>
          <w:jc w:val="center"/>
        </w:trPr>
        <w:tc>
          <w:tcPr>
            <w:tcW w:w="6675" w:type="dxa"/>
            <w:gridSpan w:val="3"/>
            <w:tcBorders>
              <w:top w:val="single" w:sz="4" w:space="0" w:color="auto"/>
              <w:left w:val="single" w:sz="4" w:space="0" w:color="auto"/>
              <w:bottom w:val="nil"/>
              <w:right w:val="single" w:sz="4" w:space="0" w:color="000000"/>
            </w:tcBorders>
            <w:shd w:val="clear" w:color="auto" w:fill="auto"/>
            <w:noWrap/>
            <w:vAlign w:val="bottom"/>
            <w:hideMark/>
          </w:tcPr>
          <w:p w:rsidR="00E02705" w:rsidRPr="00E02705" w:rsidRDefault="00E02705">
            <w:pPr>
              <w:jc w:val="center"/>
              <w:rPr>
                <w:rFonts w:ascii="Calibri" w:hAnsi="Calibri" w:cs="Calibri"/>
                <w:b/>
                <w:bCs/>
                <w:color w:val="000000"/>
                <w:sz w:val="18"/>
                <w:szCs w:val="18"/>
              </w:rPr>
            </w:pPr>
            <w:r w:rsidRPr="00E02705">
              <w:rPr>
                <w:rFonts w:ascii="Calibri" w:hAnsi="Calibri" w:cs="Calibri"/>
                <w:b/>
                <w:bCs/>
                <w:color w:val="000000"/>
                <w:sz w:val="18"/>
                <w:szCs w:val="18"/>
              </w:rPr>
              <w:t xml:space="preserve">Employment in 2011 by Private Industry Sector in Maine </w:t>
            </w:r>
          </w:p>
        </w:tc>
      </w:tr>
      <w:tr w:rsidR="00E02705" w:rsidTr="005549B7">
        <w:trPr>
          <w:trHeight w:val="300"/>
          <w:jc w:val="center"/>
        </w:trPr>
        <w:tc>
          <w:tcPr>
            <w:tcW w:w="667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E02705" w:rsidRPr="00E02705" w:rsidRDefault="00E02705">
            <w:pPr>
              <w:jc w:val="center"/>
              <w:rPr>
                <w:rFonts w:ascii="Calibri" w:hAnsi="Calibri" w:cs="Calibri"/>
                <w:b/>
                <w:bCs/>
                <w:color w:val="000000"/>
                <w:sz w:val="18"/>
                <w:szCs w:val="18"/>
              </w:rPr>
            </w:pPr>
            <w:r w:rsidRPr="00E02705">
              <w:rPr>
                <w:rFonts w:ascii="Calibri" w:hAnsi="Calibri" w:cs="Calibri"/>
                <w:b/>
                <w:bCs/>
                <w:color w:val="000000"/>
                <w:sz w:val="18"/>
                <w:szCs w:val="18"/>
              </w:rPr>
              <w:t>(sorted by percent aged 55 and older)</w:t>
            </w:r>
          </w:p>
        </w:tc>
      </w:tr>
      <w:tr w:rsidR="00E02705" w:rsidTr="005549B7">
        <w:trPr>
          <w:trHeight w:val="300"/>
          <w:jc w:val="center"/>
        </w:trPr>
        <w:tc>
          <w:tcPr>
            <w:tcW w:w="40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2705" w:rsidRPr="00E02705" w:rsidRDefault="00E02705">
            <w:pPr>
              <w:jc w:val="center"/>
              <w:rPr>
                <w:rFonts w:ascii="Calibri" w:hAnsi="Calibri" w:cs="Calibri"/>
                <w:b/>
                <w:bCs/>
                <w:color w:val="000000"/>
                <w:sz w:val="18"/>
                <w:szCs w:val="18"/>
              </w:rPr>
            </w:pPr>
            <w:r w:rsidRPr="00E02705">
              <w:rPr>
                <w:rFonts w:ascii="Calibri" w:hAnsi="Calibri" w:cs="Calibri"/>
                <w:b/>
                <w:bCs/>
                <w:color w:val="000000"/>
                <w:sz w:val="18"/>
                <w:szCs w:val="18"/>
              </w:rPr>
              <w:t>Industry Sector</w:t>
            </w:r>
          </w:p>
        </w:tc>
        <w:tc>
          <w:tcPr>
            <w:tcW w:w="2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02705" w:rsidRPr="00E02705" w:rsidRDefault="00E02705">
            <w:pPr>
              <w:jc w:val="center"/>
              <w:rPr>
                <w:rFonts w:ascii="Calibri" w:hAnsi="Calibri" w:cs="Calibri"/>
                <w:b/>
                <w:bCs/>
                <w:color w:val="000000"/>
                <w:sz w:val="18"/>
                <w:szCs w:val="18"/>
              </w:rPr>
            </w:pPr>
            <w:r w:rsidRPr="00E02705">
              <w:rPr>
                <w:rFonts w:ascii="Calibri" w:hAnsi="Calibri" w:cs="Calibri"/>
                <w:b/>
                <w:bCs/>
                <w:color w:val="000000"/>
                <w:sz w:val="18"/>
                <w:szCs w:val="18"/>
              </w:rPr>
              <w:t>Employment</w:t>
            </w:r>
          </w:p>
        </w:tc>
      </w:tr>
      <w:tr w:rsidR="00E02705" w:rsidTr="006303E5">
        <w:trPr>
          <w:trHeight w:val="300"/>
          <w:jc w:val="center"/>
        </w:trPr>
        <w:tc>
          <w:tcPr>
            <w:tcW w:w="4065" w:type="dxa"/>
            <w:vMerge/>
            <w:tcBorders>
              <w:top w:val="nil"/>
              <w:left w:val="single" w:sz="4" w:space="0" w:color="auto"/>
              <w:bottom w:val="single" w:sz="4" w:space="0" w:color="000000"/>
              <w:right w:val="single" w:sz="4" w:space="0" w:color="auto"/>
            </w:tcBorders>
            <w:vAlign w:val="center"/>
            <w:hideMark/>
          </w:tcPr>
          <w:p w:rsidR="00E02705" w:rsidRPr="00E02705" w:rsidRDefault="00E02705">
            <w:pPr>
              <w:rPr>
                <w:rFonts w:ascii="Calibri" w:hAnsi="Calibri" w:cs="Calibri"/>
                <w:b/>
                <w:bCs/>
                <w:color w:val="000000"/>
                <w:sz w:val="18"/>
                <w:szCs w:val="18"/>
              </w:rPr>
            </w:pPr>
          </w:p>
        </w:tc>
        <w:tc>
          <w:tcPr>
            <w:tcW w:w="1253" w:type="dxa"/>
            <w:tcBorders>
              <w:top w:val="nil"/>
              <w:left w:val="nil"/>
              <w:bottom w:val="single" w:sz="4" w:space="0" w:color="auto"/>
              <w:right w:val="nil"/>
            </w:tcBorders>
            <w:shd w:val="clear" w:color="auto" w:fill="auto"/>
            <w:noWrap/>
            <w:vAlign w:val="bottom"/>
            <w:hideMark/>
          </w:tcPr>
          <w:p w:rsidR="00E02705" w:rsidRPr="00E02705" w:rsidRDefault="00E02705">
            <w:pPr>
              <w:jc w:val="center"/>
              <w:rPr>
                <w:rFonts w:ascii="Calibri" w:hAnsi="Calibri" w:cs="Calibri"/>
                <w:b/>
                <w:bCs/>
                <w:color w:val="000000"/>
                <w:sz w:val="18"/>
                <w:szCs w:val="18"/>
              </w:rPr>
            </w:pPr>
            <w:r w:rsidRPr="00E02705">
              <w:rPr>
                <w:rFonts w:ascii="Calibri" w:hAnsi="Calibri" w:cs="Calibri"/>
                <w:b/>
                <w:bCs/>
                <w:color w:val="000000"/>
                <w:sz w:val="18"/>
                <w:szCs w:val="18"/>
              </w:rPr>
              <w:t>Total*</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E02705" w:rsidRPr="00E02705" w:rsidRDefault="00E02705">
            <w:pPr>
              <w:jc w:val="center"/>
              <w:rPr>
                <w:rFonts w:ascii="Calibri" w:hAnsi="Calibri" w:cs="Calibri"/>
                <w:b/>
                <w:bCs/>
                <w:color w:val="000000"/>
                <w:sz w:val="18"/>
                <w:szCs w:val="18"/>
              </w:rPr>
            </w:pPr>
            <w:r w:rsidRPr="00E02705">
              <w:rPr>
                <w:rFonts w:ascii="Calibri" w:hAnsi="Calibri" w:cs="Calibri"/>
                <w:b/>
                <w:bCs/>
                <w:color w:val="000000"/>
                <w:sz w:val="18"/>
                <w:szCs w:val="18"/>
              </w:rPr>
              <w:t>Percent 55+**</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Mining</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203</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30.2%</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Real Estate and Rental and Leasing</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6,265</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28.0%</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Educational Services</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11,496</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27.7%</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Transportation and Warehousing</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15,007</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26.2%</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Utilities</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1,609</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25.9%</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Manufacturing</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50,768</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25.4%</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Health Care and Social Assistance</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99,451</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24.5%</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Professional, Scientific, and Technical Services</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23,444</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23.4%</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Other Services</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16,384</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23.3%</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Agriculture, Forestry, Fishing, and Hunting</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5,903</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22.9%</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Wholesale Trade</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19,054</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22.4%</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Management of Companies and Enterprises</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7,139</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22.4%</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Information</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8,260</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22.4%</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Arts, Entertainment, and Recreation</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8,030</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21.1%</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Retail Trade</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81,127</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20.8%</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Finance and Insurance</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23,958</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19.9%</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Administrative and Support and Waste</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26,766</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18.4%</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Construction</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25,202</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18.3%</w:t>
            </w:r>
          </w:p>
        </w:tc>
      </w:tr>
      <w:tr w:rsidR="00E02705" w:rsidTr="006303E5">
        <w:trPr>
          <w:trHeight w:val="300"/>
          <w:jc w:val="center"/>
        </w:trPr>
        <w:tc>
          <w:tcPr>
            <w:tcW w:w="4065" w:type="dxa"/>
            <w:tcBorders>
              <w:top w:val="nil"/>
              <w:left w:val="single" w:sz="4" w:space="0" w:color="auto"/>
              <w:bottom w:val="nil"/>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Accommodation and Food Services</w:t>
            </w:r>
          </w:p>
        </w:tc>
        <w:tc>
          <w:tcPr>
            <w:tcW w:w="1253" w:type="dxa"/>
            <w:tcBorders>
              <w:top w:val="nil"/>
              <w:left w:val="single" w:sz="4" w:space="0" w:color="auto"/>
              <w:bottom w:val="nil"/>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52,127</w:t>
            </w:r>
          </w:p>
        </w:tc>
        <w:tc>
          <w:tcPr>
            <w:tcW w:w="1357" w:type="dxa"/>
            <w:tcBorders>
              <w:top w:val="nil"/>
              <w:left w:val="single" w:sz="4" w:space="0" w:color="auto"/>
              <w:bottom w:val="nil"/>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10.1%</w:t>
            </w:r>
          </w:p>
        </w:tc>
      </w:tr>
      <w:tr w:rsidR="00E02705" w:rsidTr="006303E5">
        <w:trPr>
          <w:trHeight w:val="300"/>
          <w:jc w:val="center"/>
        </w:trPr>
        <w:tc>
          <w:tcPr>
            <w:tcW w:w="4065" w:type="dxa"/>
            <w:tcBorders>
              <w:top w:val="nil"/>
              <w:left w:val="single" w:sz="4" w:space="0" w:color="auto"/>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 </w:t>
            </w:r>
          </w:p>
        </w:tc>
        <w:tc>
          <w:tcPr>
            <w:tcW w:w="1253" w:type="dxa"/>
            <w:tcBorders>
              <w:top w:val="nil"/>
              <w:left w:val="single" w:sz="4" w:space="0" w:color="auto"/>
              <w:right w:val="nil"/>
            </w:tcBorders>
            <w:shd w:val="clear" w:color="auto" w:fill="auto"/>
            <w:noWrap/>
            <w:vAlign w:val="bottom"/>
            <w:hideMark/>
          </w:tcPr>
          <w:p w:rsidR="00E02705" w:rsidRPr="00E02705" w:rsidRDefault="00E02705" w:rsidP="006303E5">
            <w:pPr>
              <w:jc w:val="right"/>
              <w:rPr>
                <w:rFonts w:ascii="Calibri" w:hAnsi="Calibri" w:cs="Calibri"/>
                <w:color w:val="000000"/>
                <w:sz w:val="18"/>
                <w:szCs w:val="18"/>
              </w:rPr>
            </w:pPr>
          </w:p>
        </w:tc>
        <w:tc>
          <w:tcPr>
            <w:tcW w:w="1357" w:type="dxa"/>
            <w:tcBorders>
              <w:top w:val="nil"/>
              <w:left w:val="single" w:sz="4" w:space="0" w:color="auto"/>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 </w:t>
            </w:r>
          </w:p>
        </w:tc>
      </w:tr>
      <w:tr w:rsidR="00E02705" w:rsidTr="006303E5">
        <w:trPr>
          <w:trHeight w:val="300"/>
          <w:jc w:val="center"/>
        </w:trPr>
        <w:tc>
          <w:tcPr>
            <w:tcW w:w="4065" w:type="dxa"/>
            <w:tcBorders>
              <w:top w:val="nil"/>
              <w:left w:val="single" w:sz="4" w:space="0" w:color="auto"/>
              <w:bottom w:val="single" w:sz="4" w:space="0" w:color="auto"/>
              <w:right w:val="nil"/>
            </w:tcBorders>
            <w:shd w:val="clear" w:color="auto" w:fill="auto"/>
            <w:noWrap/>
            <w:vAlign w:val="bottom"/>
            <w:hideMark/>
          </w:tcPr>
          <w:p w:rsidR="00E02705" w:rsidRPr="00E02705" w:rsidRDefault="00E02705">
            <w:pPr>
              <w:rPr>
                <w:rFonts w:ascii="Calibri" w:hAnsi="Calibri" w:cs="Calibri"/>
                <w:color w:val="000000"/>
                <w:sz w:val="18"/>
                <w:szCs w:val="18"/>
              </w:rPr>
            </w:pPr>
            <w:r w:rsidRPr="00E02705">
              <w:rPr>
                <w:rFonts w:ascii="Calibri" w:hAnsi="Calibri" w:cs="Calibri"/>
                <w:color w:val="000000"/>
                <w:sz w:val="18"/>
                <w:szCs w:val="18"/>
              </w:rPr>
              <w:t>All Private Industries</w:t>
            </w:r>
          </w:p>
        </w:tc>
        <w:tc>
          <w:tcPr>
            <w:tcW w:w="1253" w:type="dxa"/>
            <w:tcBorders>
              <w:top w:val="nil"/>
              <w:left w:val="single" w:sz="4" w:space="0" w:color="auto"/>
              <w:bottom w:val="single" w:sz="4" w:space="0" w:color="auto"/>
              <w:right w:val="nil"/>
            </w:tcBorders>
            <w:shd w:val="clear" w:color="auto" w:fill="auto"/>
            <w:noWrap/>
            <w:vAlign w:val="bottom"/>
            <w:hideMark/>
          </w:tcPr>
          <w:p w:rsidR="00E02705" w:rsidRPr="00E02705" w:rsidRDefault="00E02705" w:rsidP="006303E5">
            <w:pPr>
              <w:ind w:firstLineChars="200" w:firstLine="360"/>
              <w:jc w:val="right"/>
              <w:rPr>
                <w:rFonts w:ascii="Calibri" w:hAnsi="Calibri" w:cs="Calibri"/>
                <w:color w:val="000000"/>
                <w:sz w:val="18"/>
                <w:szCs w:val="18"/>
              </w:rPr>
            </w:pPr>
            <w:r w:rsidRPr="00E02705">
              <w:rPr>
                <w:rFonts w:ascii="Calibri" w:hAnsi="Calibri" w:cs="Calibri"/>
                <w:color w:val="000000"/>
                <w:sz w:val="18"/>
                <w:szCs w:val="18"/>
              </w:rPr>
              <w:t>482,311</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rsidR="00E02705" w:rsidRPr="00E02705" w:rsidRDefault="00E02705" w:rsidP="006303E5">
            <w:pPr>
              <w:ind w:firstLineChars="300" w:firstLine="540"/>
              <w:jc w:val="both"/>
              <w:rPr>
                <w:rFonts w:ascii="Calibri" w:hAnsi="Calibri" w:cs="Calibri"/>
                <w:color w:val="000000"/>
                <w:sz w:val="18"/>
                <w:szCs w:val="18"/>
              </w:rPr>
            </w:pPr>
            <w:r w:rsidRPr="00E02705">
              <w:rPr>
                <w:rFonts w:ascii="Calibri" w:hAnsi="Calibri" w:cs="Calibri"/>
                <w:color w:val="000000"/>
                <w:sz w:val="18"/>
                <w:szCs w:val="18"/>
              </w:rPr>
              <w:t>21.5%</w:t>
            </w:r>
          </w:p>
        </w:tc>
      </w:tr>
      <w:tr w:rsidR="00E02705" w:rsidTr="006303E5">
        <w:trPr>
          <w:trHeight w:val="300"/>
          <w:jc w:val="center"/>
        </w:trPr>
        <w:tc>
          <w:tcPr>
            <w:tcW w:w="4065" w:type="dxa"/>
            <w:tcBorders>
              <w:top w:val="single" w:sz="4" w:space="0" w:color="auto"/>
              <w:bottom w:val="nil"/>
              <w:right w:val="nil"/>
            </w:tcBorders>
            <w:shd w:val="clear" w:color="auto" w:fill="auto"/>
            <w:noWrap/>
            <w:vAlign w:val="bottom"/>
            <w:hideMark/>
          </w:tcPr>
          <w:p w:rsidR="00E02705" w:rsidRDefault="00E02705" w:rsidP="00E02705">
            <w:pPr>
              <w:rPr>
                <w:rFonts w:ascii="Calibri" w:hAnsi="Calibri" w:cs="Calibri"/>
                <w:color w:val="000000"/>
                <w:sz w:val="16"/>
                <w:szCs w:val="16"/>
              </w:rPr>
            </w:pPr>
            <w:r>
              <w:rPr>
                <w:rFonts w:ascii="Calibri" w:hAnsi="Calibri" w:cs="Calibri"/>
                <w:color w:val="000000"/>
                <w:sz w:val="16"/>
                <w:szCs w:val="16"/>
              </w:rPr>
              <w:t xml:space="preserve"> *Quarterly Census of Employment and Wages. </w:t>
            </w:r>
          </w:p>
          <w:p w:rsidR="00E02705" w:rsidRDefault="005549B7" w:rsidP="00E02705">
            <w:pPr>
              <w:rPr>
                <w:rFonts w:ascii="Calibri" w:hAnsi="Calibri" w:cs="Calibri"/>
                <w:color w:val="000000"/>
                <w:sz w:val="16"/>
                <w:szCs w:val="16"/>
              </w:rPr>
            </w:pPr>
            <w:r>
              <w:rPr>
                <w:rFonts w:ascii="Calibri" w:hAnsi="Calibri" w:cs="Calibri"/>
                <w:color w:val="000000"/>
                <w:sz w:val="16"/>
                <w:szCs w:val="16"/>
              </w:rPr>
              <w:t xml:space="preserve"> </w:t>
            </w:r>
            <w:r w:rsidR="00E02705">
              <w:rPr>
                <w:rFonts w:ascii="Calibri" w:hAnsi="Calibri" w:cs="Calibri"/>
                <w:color w:val="000000"/>
                <w:sz w:val="16"/>
                <w:szCs w:val="16"/>
              </w:rPr>
              <w:t>**Local Employment Dynamics Program.</w:t>
            </w:r>
          </w:p>
        </w:tc>
        <w:tc>
          <w:tcPr>
            <w:tcW w:w="1253" w:type="dxa"/>
            <w:tcBorders>
              <w:top w:val="single" w:sz="4" w:space="0" w:color="auto"/>
              <w:left w:val="nil"/>
              <w:bottom w:val="nil"/>
              <w:right w:val="nil"/>
            </w:tcBorders>
            <w:shd w:val="clear" w:color="auto" w:fill="auto"/>
            <w:noWrap/>
            <w:vAlign w:val="bottom"/>
            <w:hideMark/>
          </w:tcPr>
          <w:p w:rsidR="00E02705" w:rsidRDefault="00E02705">
            <w:pPr>
              <w:rPr>
                <w:rFonts w:ascii="Calibri" w:hAnsi="Calibri" w:cs="Calibri"/>
                <w:color w:val="000000"/>
                <w:sz w:val="22"/>
                <w:szCs w:val="22"/>
              </w:rPr>
            </w:pPr>
          </w:p>
        </w:tc>
        <w:tc>
          <w:tcPr>
            <w:tcW w:w="1357" w:type="dxa"/>
            <w:tcBorders>
              <w:top w:val="single" w:sz="4" w:space="0" w:color="auto"/>
              <w:left w:val="nil"/>
              <w:bottom w:val="nil"/>
              <w:right w:val="nil"/>
            </w:tcBorders>
            <w:shd w:val="clear" w:color="auto" w:fill="auto"/>
            <w:noWrap/>
            <w:vAlign w:val="bottom"/>
            <w:hideMark/>
          </w:tcPr>
          <w:p w:rsidR="00E02705" w:rsidRDefault="00E02705">
            <w:pPr>
              <w:rPr>
                <w:rFonts w:ascii="Calibri" w:hAnsi="Calibri" w:cs="Calibri"/>
                <w:color w:val="000000"/>
                <w:sz w:val="22"/>
                <w:szCs w:val="22"/>
              </w:rPr>
            </w:pPr>
          </w:p>
        </w:tc>
      </w:tr>
    </w:tbl>
    <w:p w:rsidR="000D79B8" w:rsidRDefault="000D79B8" w:rsidP="00F55CE8">
      <w:pPr>
        <w:pStyle w:val="Heading3"/>
      </w:pPr>
      <w:r>
        <w:t xml:space="preserve">Government </w:t>
      </w:r>
      <w:r w:rsidR="00BB3F4E">
        <w:t>workers are older, on average, than private sector workers</w:t>
      </w:r>
    </w:p>
    <w:p w:rsidR="00FA7525" w:rsidRDefault="002D0A46" w:rsidP="00770830">
      <w:pPr>
        <w:pStyle w:val="BodyText"/>
      </w:pPr>
      <w:r>
        <w:t>On average, g</w:t>
      </w:r>
      <w:r w:rsidR="000D79B8">
        <w:t xml:space="preserve">overnment workers </w:t>
      </w:r>
      <w:r w:rsidR="00B71C41">
        <w:t>are</w:t>
      </w:r>
      <w:r w:rsidR="000D79B8">
        <w:t xml:space="preserve"> older than workers in the private sector.</w:t>
      </w:r>
      <w:r w:rsidR="00AE592A">
        <w:t xml:space="preserve"> </w:t>
      </w:r>
      <w:r w:rsidR="00431079">
        <w:t>A</w:t>
      </w:r>
      <w:r w:rsidR="000D79B8">
        <w:t>lmost 62 percent of government workers are currently over the age of 44 compared to 4</w:t>
      </w:r>
      <w:r w:rsidR="00431079">
        <w:t>6</w:t>
      </w:r>
      <w:r w:rsidR="000D79B8">
        <w:t xml:space="preserve"> percent of private sector workers</w:t>
      </w:r>
      <w:r w:rsidR="00B71C41">
        <w:t>; 33 percent of government workers are over the age of 54 compared to 22 percent of private sector workers</w:t>
      </w:r>
      <w:r w:rsidR="000D79B8">
        <w:t xml:space="preserve">. </w:t>
      </w:r>
    </w:p>
    <w:p w:rsidR="000D79B8" w:rsidRDefault="00FA7525" w:rsidP="00770830">
      <w:pPr>
        <w:pStyle w:val="BodyText"/>
      </w:pPr>
      <w:r>
        <w:t xml:space="preserve">There were </w:t>
      </w:r>
      <w:r w:rsidR="008E0136">
        <w:t>97,</w:t>
      </w:r>
      <w:r w:rsidR="00323A33">
        <w:t>400</w:t>
      </w:r>
      <w:r>
        <w:t xml:space="preserve"> government employees</w:t>
      </w:r>
      <w:r w:rsidR="006D54EA">
        <w:t xml:space="preserve"> (federal, state, and local)</w:t>
      </w:r>
      <w:r>
        <w:t xml:space="preserve"> in 2011</w:t>
      </w:r>
      <w:r w:rsidR="00323A33">
        <w:t xml:space="preserve">. </w:t>
      </w:r>
      <w:r w:rsidR="006D54EA">
        <w:t>P</w:t>
      </w:r>
      <w:r w:rsidR="006C652F">
        <w:t>ublic schools, the University of Maine system, the Maine Community College system, and other government-ope</w:t>
      </w:r>
      <w:r w:rsidR="006D54EA">
        <w:t xml:space="preserve">rated educational institutions </w:t>
      </w:r>
      <w:r w:rsidR="006C652F">
        <w:t xml:space="preserve">accounted for 56 percent of </w:t>
      </w:r>
      <w:r w:rsidR="006D54EA">
        <w:t xml:space="preserve">state and local </w:t>
      </w:r>
      <w:r w:rsidR="006C652F">
        <w:t>government workers.</w:t>
      </w:r>
      <w:r w:rsidR="00EC0E23">
        <w:t xml:space="preserve"> </w:t>
      </w:r>
      <w:r w:rsidR="00AE592A">
        <w:t>Nearly</w:t>
      </w:r>
      <w:r w:rsidR="00B71C41">
        <w:t xml:space="preserve"> 64 percent of</w:t>
      </w:r>
      <w:r w:rsidR="00786079">
        <w:t xml:space="preserve"> </w:t>
      </w:r>
      <w:r w:rsidR="00170316">
        <w:t xml:space="preserve">all </w:t>
      </w:r>
      <w:r w:rsidR="00786079">
        <w:t>educational services</w:t>
      </w:r>
      <w:r w:rsidR="00B71C41">
        <w:t xml:space="preserve"> workers </w:t>
      </w:r>
      <w:r w:rsidR="00786079">
        <w:t xml:space="preserve">were </w:t>
      </w:r>
      <w:r w:rsidR="00B71C41">
        <w:t>over the age of 44 and 3</w:t>
      </w:r>
      <w:r w:rsidR="002D0A46">
        <w:t>6</w:t>
      </w:r>
      <w:r w:rsidR="00B71C41">
        <w:t xml:space="preserve"> percent over the age of 54.</w:t>
      </w:r>
      <w:r w:rsidR="000D79B8">
        <w:t xml:space="preserve"> </w:t>
      </w:r>
    </w:p>
    <w:p w:rsidR="000D79B8" w:rsidRPr="000D79B8" w:rsidRDefault="002E5F3E" w:rsidP="009B4B8E">
      <w:pPr>
        <w:spacing w:after="120"/>
        <w:jc w:val="center"/>
      </w:pPr>
      <w:r>
        <w:rPr>
          <w:noProof/>
        </w:rPr>
        <w:lastRenderedPageBreak/>
        <w:drawing>
          <wp:inline distT="0" distB="0" distL="0" distR="0">
            <wp:extent cx="4581525" cy="2743200"/>
            <wp:effectExtent l="0" t="0" r="9525" b="0"/>
            <wp:docPr id="6" name="Picture 6" descr="See sheet six in accompanying excel file." title="Over 60 percent of government workers in 2011 were over the age of 44; 33 percent were over the age of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rsidR="00D865B7" w:rsidRDefault="00D865B7" w:rsidP="00D865B7">
      <w:pPr>
        <w:pStyle w:val="Heading2"/>
      </w:pPr>
      <w:r w:rsidRPr="00A96251">
        <w:t>Rural Counties Have Older Workforces</w:t>
      </w:r>
    </w:p>
    <w:p w:rsidR="00D006A2" w:rsidRDefault="00D865B7" w:rsidP="00D865B7">
      <w:pPr>
        <w:pStyle w:val="BodyText"/>
      </w:pPr>
      <w:r>
        <w:t>No county will escape the demographic challenge posed by the aging workforce. Even in Cumberland County, which has the youngest workforce, 2</w:t>
      </w:r>
      <w:r w:rsidR="007F2192">
        <w:t>2</w:t>
      </w:r>
      <w:r>
        <w:t xml:space="preserve"> percent are 55 years of age or older and 46 percent are 45 or older. The urban, more populous counties (Cumberland, Androscoggin, Penobscot, and York) were the only counties with the average age of the workforce below the statewide average in 2011. These counties have younger populations and are centers of commerce with a concentration of industries that employ, on average, younger workers.</w:t>
      </w:r>
    </w:p>
    <w:p w:rsidR="00D865B7" w:rsidRPr="00A96251" w:rsidRDefault="00D006A2" w:rsidP="00D006A2">
      <w:pPr>
        <w:pStyle w:val="BodyText"/>
        <w:jc w:val="center"/>
      </w:pPr>
      <w:r>
        <w:rPr>
          <w:b/>
          <w:noProof/>
        </w:rPr>
        <w:drawing>
          <wp:inline distT="0" distB="0" distL="0" distR="0" wp14:anchorId="69A68148" wp14:editId="33BA8617">
            <wp:extent cx="3602736" cy="3941064"/>
            <wp:effectExtent l="0" t="0" r="0" b="2540"/>
            <wp:docPr id="7" name="Picture 7" descr="See sheet seven in accompanying excel file." title="at least 20 percent of the workforce was aged 55 or over in every county i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2736" cy="3941064"/>
                    </a:xfrm>
                    <a:prstGeom prst="rect">
                      <a:avLst/>
                    </a:prstGeom>
                    <a:noFill/>
                    <a:ln>
                      <a:noFill/>
                    </a:ln>
                  </pic:spPr>
                </pic:pic>
              </a:graphicData>
            </a:graphic>
          </wp:inline>
        </w:drawing>
      </w:r>
    </w:p>
    <w:p w:rsidR="00D865B7" w:rsidRDefault="00D865B7" w:rsidP="00305894">
      <w:pPr>
        <w:pStyle w:val="Heading2"/>
      </w:pPr>
      <w:r>
        <w:lastRenderedPageBreak/>
        <w:t>Aging workforce is expected to result in many job openings between 2010 and 2020</w:t>
      </w:r>
    </w:p>
    <w:p w:rsidR="00C71342" w:rsidRDefault="00C71342" w:rsidP="00C71342">
      <w:pPr>
        <w:pStyle w:val="BodyText"/>
      </w:pPr>
      <w:r>
        <w:t xml:space="preserve">The impact of </w:t>
      </w:r>
      <w:r w:rsidR="00EF2D7D">
        <w:t>near-term replacement needs</w:t>
      </w:r>
      <w:r>
        <w:t>, measured by the number and percent of workers age 55</w:t>
      </w:r>
      <w:r w:rsidR="00EF2D7D">
        <w:t xml:space="preserve"> and over</w:t>
      </w:r>
      <w:r>
        <w:t>, depend</w:t>
      </w:r>
      <w:r w:rsidR="004610D1">
        <w:t>s</w:t>
      </w:r>
      <w:r>
        <w:t xml:space="preserve"> on the industry. Some sectors have a large percentage of workers over the age of 54, but employ a relatively small number of older workers and will need relatively few replacement workers</w:t>
      </w:r>
      <w:r w:rsidR="00BC5BD0">
        <w:rPr>
          <w:rFonts w:cs="Calibri"/>
        </w:rPr>
        <w:t>—</w:t>
      </w:r>
      <w:r>
        <w:t>mining; real estate, rental, and leasing; and utilities are examples.</w:t>
      </w:r>
    </w:p>
    <w:p w:rsidR="00C71342" w:rsidRDefault="00C71342" w:rsidP="00C71342">
      <w:pPr>
        <w:pStyle w:val="BodyText"/>
      </w:pPr>
      <w:r>
        <w:t xml:space="preserve">Manufacturing has a high </w:t>
      </w:r>
      <w:r w:rsidR="005A7E8D">
        <w:t>share</w:t>
      </w:r>
      <w:r>
        <w:t xml:space="preserve"> </w:t>
      </w:r>
      <w:r w:rsidR="005A7E8D">
        <w:t xml:space="preserve">of </w:t>
      </w:r>
      <w:r>
        <w:t>workers over the age of 54. This sector will need to replace experienced workers, with the demand for workers tempered somewhat by expected job losses.</w:t>
      </w:r>
      <w:r w:rsidR="0071508E">
        <w:t xml:space="preserve"> However, according to an article from the Journal of the American Enterprise Institute published January 28, 2013, “… there is general consensus by both the Boston Consulting Group and the manufacturing industry that any skilled worker shortages today will be eclipsed by much larger challenges in the coming decade because of the pending wave of retirements.”</w:t>
      </w:r>
    </w:p>
    <w:p w:rsidR="00282D1F" w:rsidRDefault="00C71342" w:rsidP="00A96251">
      <w:pPr>
        <w:pStyle w:val="BodyText"/>
      </w:pPr>
      <w:r>
        <w:t xml:space="preserve">Two industry sectors stand out due to the large </w:t>
      </w:r>
      <w:r w:rsidR="005A7E8D">
        <w:t>share</w:t>
      </w:r>
      <w:r>
        <w:t xml:space="preserve"> of workers 55 and over; </w:t>
      </w:r>
      <w:r w:rsidR="00BC5BD0">
        <w:t xml:space="preserve">the </w:t>
      </w:r>
      <w:r>
        <w:t xml:space="preserve">health care </w:t>
      </w:r>
      <w:r w:rsidR="00BC5BD0">
        <w:t>and</w:t>
      </w:r>
      <w:r>
        <w:t xml:space="preserve"> social assistance </w:t>
      </w:r>
      <w:r w:rsidR="00BC5BD0">
        <w:t xml:space="preserve">sector </w:t>
      </w:r>
      <w:r>
        <w:t xml:space="preserve">and education </w:t>
      </w:r>
      <w:r w:rsidR="00BC5BD0">
        <w:t xml:space="preserve">sector </w:t>
      </w:r>
      <w:r>
        <w:t>(public and private).</w:t>
      </w:r>
      <w:r w:rsidR="00812103">
        <w:t xml:space="preserve"> I</w:t>
      </w:r>
      <w:r>
        <w:t xml:space="preserve">n addition to high replacement needs, </w:t>
      </w:r>
      <w:r w:rsidR="00812103">
        <w:t xml:space="preserve">jobs in both of these sectors </w:t>
      </w:r>
      <w:r>
        <w:t xml:space="preserve">are expected to </w:t>
      </w:r>
      <w:r w:rsidR="00812103">
        <w:t>increase</w:t>
      </w:r>
      <w:r>
        <w:t xml:space="preserve"> </w:t>
      </w:r>
      <w:r w:rsidR="00E946E5">
        <w:t>faster than average</w:t>
      </w:r>
      <w:r w:rsidR="005A7E8D">
        <w:t xml:space="preserve"> </w:t>
      </w:r>
      <w:r>
        <w:t>between 2010 and 2020.</w:t>
      </w:r>
    </w:p>
    <w:p w:rsidR="00A96251" w:rsidRDefault="00282D1F" w:rsidP="00A96251">
      <w:pPr>
        <w:pStyle w:val="BodyText"/>
      </w:pPr>
      <w:r>
        <w:t xml:space="preserve">Individual industries are listed in </w:t>
      </w:r>
      <w:r w:rsidR="00E05AF0">
        <w:t>Appendix A</w:t>
      </w:r>
      <w:r>
        <w:t xml:space="preserve"> at the end of this brief. The percentage of workers over the age of 54 range</w:t>
      </w:r>
      <w:r w:rsidR="00E05AF0">
        <w:t>d</w:t>
      </w:r>
      <w:r>
        <w:t xml:space="preserve"> from </w:t>
      </w:r>
      <w:r w:rsidR="00BC5BD0">
        <w:t>8</w:t>
      </w:r>
      <w:r>
        <w:t xml:space="preserve"> percent in </w:t>
      </w:r>
      <w:r w:rsidR="005A7E8D">
        <w:t>eating and drinking places to 44</w:t>
      </w:r>
      <w:r>
        <w:t xml:space="preserve"> percent in transit and ground passenger transportation.</w:t>
      </w:r>
    </w:p>
    <w:p w:rsidR="00D006A2" w:rsidRDefault="00EC5DA8" w:rsidP="00ED278C">
      <w:pPr>
        <w:pStyle w:val="BodyText"/>
      </w:pPr>
      <w:r>
        <w:t>Within each industry</w:t>
      </w:r>
      <w:r w:rsidR="00BC5BD0">
        <w:t>,</w:t>
      </w:r>
      <w:r>
        <w:t xml:space="preserve"> workers are employed in a wide variety of occupations. </w:t>
      </w:r>
      <w:r w:rsidR="005A7E8D">
        <w:t>P</w:t>
      </w:r>
      <w:r>
        <w:t>rojections developed</w:t>
      </w:r>
      <w:r w:rsidR="00C515A8">
        <w:t xml:space="preserve"> by the Maine Department of Labor indicate an expected 19,50</w:t>
      </w:r>
      <w:r w:rsidR="005B7934">
        <w:t>0</w:t>
      </w:r>
      <w:r w:rsidR="00C515A8">
        <w:t xml:space="preserve"> job openings annually</w:t>
      </w:r>
      <w:r>
        <w:t xml:space="preserve"> between 2010 and 2020</w:t>
      </w:r>
      <w:r w:rsidR="00C515A8">
        <w:t>, with 4,</w:t>
      </w:r>
      <w:r w:rsidR="005B7934">
        <w:t>400</w:t>
      </w:r>
      <w:r w:rsidR="00C515A8">
        <w:t xml:space="preserve"> due to job growth and 1</w:t>
      </w:r>
      <w:r w:rsidR="005B7934">
        <w:t>5</w:t>
      </w:r>
      <w:r w:rsidR="00C515A8">
        <w:t>,</w:t>
      </w:r>
      <w:r w:rsidR="005B7934">
        <w:t>100</w:t>
      </w:r>
      <w:r w:rsidR="00C515A8">
        <w:t xml:space="preserve"> due to replacement needs. The replacement needs stem from workers permanently leaving their occupation, primarily due to retirements. </w:t>
      </w:r>
      <w:r w:rsidR="00925EE0">
        <w:t xml:space="preserve">For projections of job openings by individual </w:t>
      </w:r>
      <w:r w:rsidR="00F23599">
        <w:t>occupation</w:t>
      </w:r>
      <w:r w:rsidR="00BC5BD0">
        <w:t>,</w:t>
      </w:r>
      <w:r w:rsidR="00925EE0">
        <w:t xml:space="preserve"> go to </w:t>
      </w:r>
      <w:r w:rsidR="00925EE0" w:rsidRPr="00925EE0">
        <w:t>http://www.maine.gov/labor/cwri/outlook.html</w:t>
      </w:r>
      <w:r w:rsidR="00925EE0">
        <w:t>.</w:t>
      </w:r>
      <w:r w:rsidR="00D006A2" w:rsidRPr="00D006A2">
        <w:t xml:space="preserve"> </w:t>
      </w:r>
    </w:p>
    <w:p w:rsidR="00ED278C" w:rsidRDefault="00D006A2" w:rsidP="00D006A2">
      <w:pPr>
        <w:pStyle w:val="BodyText"/>
        <w:jc w:val="center"/>
      </w:pPr>
      <w:r>
        <w:rPr>
          <w:noProof/>
        </w:rPr>
        <w:drawing>
          <wp:inline distT="0" distB="0" distL="0" distR="0" wp14:anchorId="54EB23E8" wp14:editId="5BCD5A5D">
            <wp:extent cx="5657850" cy="3858810"/>
            <wp:effectExtent l="0" t="0" r="0" b="8890"/>
            <wp:docPr id="8" name="Picture 8" descr="See sheet eight in accompanying excel file." title="Most occupational openings in Maine will be the result of replacement needs between 2010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57850" cy="3858810"/>
                    </a:xfrm>
                    <a:prstGeom prst="rect">
                      <a:avLst/>
                    </a:prstGeom>
                    <a:noFill/>
                    <a:ln>
                      <a:noFill/>
                    </a:ln>
                  </pic:spPr>
                </pic:pic>
              </a:graphicData>
            </a:graphic>
          </wp:inline>
        </w:drawing>
      </w:r>
    </w:p>
    <w:p w:rsidR="00D26F41" w:rsidRDefault="00D26F41" w:rsidP="00305894">
      <w:pPr>
        <w:pStyle w:val="Heading2"/>
      </w:pPr>
      <w:r>
        <w:lastRenderedPageBreak/>
        <w:t>Where will the future labor supply come from?</w:t>
      </w:r>
    </w:p>
    <w:p w:rsidR="00F753D8" w:rsidRDefault="00F753D8" w:rsidP="00F753D8">
      <w:pPr>
        <w:pStyle w:val="BodyText"/>
      </w:pPr>
      <w:r>
        <w:t>The extent to which labor force growth materializes depends on population changes and within-age-group changes in labor force participation.</w:t>
      </w:r>
    </w:p>
    <w:p w:rsidR="00F753D8" w:rsidRDefault="00F753D8" w:rsidP="00F55CE8">
      <w:pPr>
        <w:pStyle w:val="Heading3"/>
      </w:pPr>
      <w:r>
        <w:t xml:space="preserve">The population is expected to grow </w:t>
      </w:r>
      <w:r w:rsidRPr="00F55CE8">
        <w:t>slowly</w:t>
      </w:r>
      <w:r>
        <w:t xml:space="preserve"> and older</w:t>
      </w:r>
      <w:bookmarkStart w:id="0" w:name="_GoBack"/>
      <w:bookmarkEnd w:id="0"/>
    </w:p>
    <w:p w:rsidR="00F753D8" w:rsidRDefault="00F753D8" w:rsidP="00F753D8">
      <w:pPr>
        <w:pStyle w:val="BodyText"/>
      </w:pPr>
      <w:r>
        <w:t>Between 2010 and 2012, there was little population gain (+83</w:t>
      </w:r>
      <w:r w:rsidR="00393FAC">
        <w:t>0</w:t>
      </w:r>
      <w:r>
        <w:t>) in Maine according to U.S. Census Bureau estimates. Slow population growth is expected through 20</w:t>
      </w:r>
      <w:r w:rsidR="00F2788D">
        <w:t xml:space="preserve">30 </w:t>
      </w:r>
      <w:r>
        <w:t xml:space="preserve">(latest projections from the </w:t>
      </w:r>
      <w:r w:rsidR="00F2788D">
        <w:t>Maine Office of Policy and Management</w:t>
      </w:r>
      <w:r w:rsidR="00B8336E">
        <w:t>)</w:t>
      </w:r>
      <w:r>
        <w:t xml:space="preserve"> with little, if any, natural increase (births less deaths) and substantial net in-migration unlikely.</w:t>
      </w:r>
    </w:p>
    <w:p w:rsidR="00F753D8" w:rsidRDefault="00F753D8" w:rsidP="00F753D8">
      <w:pPr>
        <w:pStyle w:val="BodyText"/>
      </w:pPr>
      <w:r>
        <w:t>Not only is the total population expected to increase minimally over the next two decades, net gains are anticipated only by the population 65 years of age or older</w:t>
      </w:r>
      <w:r w:rsidR="0092190E">
        <w:t>; this</w:t>
      </w:r>
      <w:r>
        <w:t xml:space="preserve"> will result in a downward pressure on the percentage of the total population participating in the labor force. Population projections through 20</w:t>
      </w:r>
      <w:r w:rsidR="00F2788D">
        <w:t>30</w:t>
      </w:r>
      <w:r>
        <w:t xml:space="preserve"> </w:t>
      </w:r>
      <w:r w:rsidR="00F2788D">
        <w:t>a</w:t>
      </w:r>
      <w:r>
        <w:t>lso indicate there will be a significant decline in the prime working age population (25</w:t>
      </w:r>
      <w:r w:rsidR="008E0B73">
        <w:rPr>
          <w:rFonts w:cs="Calibri"/>
        </w:rPr>
        <w:t xml:space="preserve"> to </w:t>
      </w:r>
      <w:r>
        <w:t>54).</w:t>
      </w:r>
    </w:p>
    <w:p w:rsidR="00F753D8" w:rsidRDefault="002E5F3E" w:rsidP="00F753D8">
      <w:pPr>
        <w:pStyle w:val="BodyText"/>
        <w:jc w:val="center"/>
      </w:pPr>
      <w:r>
        <w:rPr>
          <w:noProof/>
        </w:rPr>
        <w:drawing>
          <wp:inline distT="0" distB="0" distL="0" distR="0">
            <wp:extent cx="5857875" cy="2705100"/>
            <wp:effectExtent l="0" t="0" r="9525" b="0"/>
            <wp:docPr id="9" name="Picture 9" descr="See sheet nine in accompanying excel file." title="The prime working age population (25-54) in Maine is expected to decline through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57875" cy="2705100"/>
                    </a:xfrm>
                    <a:prstGeom prst="rect">
                      <a:avLst/>
                    </a:prstGeom>
                    <a:noFill/>
                    <a:ln>
                      <a:noFill/>
                    </a:ln>
                  </pic:spPr>
                </pic:pic>
              </a:graphicData>
            </a:graphic>
          </wp:inline>
        </w:drawing>
      </w:r>
    </w:p>
    <w:p w:rsidR="00D75DC9" w:rsidRDefault="00D75DC9" w:rsidP="00F55CE8">
      <w:pPr>
        <w:pStyle w:val="Heading3"/>
      </w:pPr>
      <w:r>
        <w:t xml:space="preserve">Future labor force growth will likely depend on </w:t>
      </w:r>
      <w:r w:rsidRPr="00F55CE8">
        <w:t>rising</w:t>
      </w:r>
      <w:r>
        <w:t xml:space="preserve"> participation by older workers</w:t>
      </w:r>
    </w:p>
    <w:p w:rsidR="00142CC9" w:rsidRDefault="00A62C57" w:rsidP="00A62C57">
      <w:pPr>
        <w:pStyle w:val="BodyText"/>
      </w:pPr>
      <w:r>
        <w:t xml:space="preserve">Without positive changes in </w:t>
      </w:r>
      <w:r w:rsidR="008F1890">
        <w:t xml:space="preserve">labor force participation rates </w:t>
      </w:r>
      <w:r>
        <w:t>within</w:t>
      </w:r>
      <w:r w:rsidR="008F1890">
        <w:t xml:space="preserve"> </w:t>
      </w:r>
      <w:r>
        <w:t>age group</w:t>
      </w:r>
      <w:r w:rsidR="008F1890">
        <w:t>s</w:t>
      </w:r>
      <w:r>
        <w:t>, the changing age distribution of the population</w:t>
      </w:r>
      <w:r w:rsidR="008F1890">
        <w:t xml:space="preserve">, combined with slow population growth, </w:t>
      </w:r>
      <w:r>
        <w:t>will lead to a reduction in the size of the labor force. The share of the total population working or looking for work (labor force participation rate) slows significantly after age 5</w:t>
      </w:r>
      <w:r w:rsidR="008B5413">
        <w:t>0</w:t>
      </w:r>
      <w:r>
        <w:t xml:space="preserve">. Thus, as aging baby boomers move into their 60s, the rising share of older Mainers is playing a significant </w:t>
      </w:r>
      <w:r w:rsidR="00457875">
        <w:t xml:space="preserve">and growing </w:t>
      </w:r>
      <w:r>
        <w:t xml:space="preserve">role in </w:t>
      </w:r>
      <w:r w:rsidR="008F1890">
        <w:t>slowing labor force growth</w:t>
      </w:r>
      <w:r>
        <w:t>. However, the participation rate of older workers has been rising and</w:t>
      </w:r>
      <w:r w:rsidR="0092190E">
        <w:t>,</w:t>
      </w:r>
      <w:r>
        <w:t xml:space="preserve"> though still much lower than prime age worker rates, has provided some </w:t>
      </w:r>
      <w:r w:rsidR="00142CC9">
        <w:t>additional</w:t>
      </w:r>
      <w:r w:rsidR="00D75DC9">
        <w:t xml:space="preserve"> </w:t>
      </w:r>
      <w:r>
        <w:t>labor force growth</w:t>
      </w:r>
      <w:r w:rsidR="00142CC9">
        <w:t>.</w:t>
      </w:r>
    </w:p>
    <w:p w:rsidR="001E5C55" w:rsidRDefault="00A62C57" w:rsidP="00D006A2">
      <w:pPr>
        <w:pStyle w:val="BodyText"/>
        <w:spacing w:before="240"/>
      </w:pPr>
      <w:r>
        <w:t xml:space="preserve">The participation rates for age groups </w:t>
      </w:r>
      <w:r w:rsidR="0092190E">
        <w:t>younger</w:t>
      </w:r>
      <w:r>
        <w:t xml:space="preserve"> than 55 dropped during the 2000s due to poor economic conditions and other factors. </w:t>
      </w:r>
      <w:r w:rsidR="004341FD">
        <w:t>As a result, there were 2</w:t>
      </w:r>
      <w:r w:rsidR="009268D8">
        <w:t>9</w:t>
      </w:r>
      <w:r w:rsidR="004341FD">
        <w:t>,000 fewer labor force participants aged 16 to 54 than there would have been had participation rates remained at 2000 levels. Conversely, participation rates rose for workers over the age of 54</w:t>
      </w:r>
      <w:r w:rsidR="0092190E">
        <w:t>,</w:t>
      </w:r>
      <w:r w:rsidR="004341FD">
        <w:t xml:space="preserve"> accounting for an additional 28,000 labor force participants.</w:t>
      </w:r>
    </w:p>
    <w:p w:rsidR="001E5C55" w:rsidRDefault="001E5C55" w:rsidP="001E5C55">
      <w:pPr>
        <w:rPr>
          <w:rFonts w:ascii="Calibri" w:hAnsi="Calibri" w:cs="Tahoma"/>
        </w:rPr>
      </w:pPr>
      <w:r>
        <w:br w:type="page"/>
      </w:r>
    </w:p>
    <w:tbl>
      <w:tblPr>
        <w:tblW w:w="8517" w:type="dxa"/>
        <w:jc w:val="center"/>
        <w:tblInd w:w="93" w:type="dxa"/>
        <w:tblLook w:val="04A0" w:firstRow="1" w:lastRow="0" w:firstColumn="1" w:lastColumn="0" w:noHBand="0" w:noVBand="1"/>
      </w:tblPr>
      <w:tblGrid>
        <w:gridCol w:w="1393"/>
        <w:gridCol w:w="1073"/>
        <w:gridCol w:w="1073"/>
        <w:gridCol w:w="1463"/>
        <w:gridCol w:w="1043"/>
        <w:gridCol w:w="1180"/>
        <w:gridCol w:w="1292"/>
      </w:tblGrid>
      <w:tr w:rsidR="00CF1B02" w:rsidTr="00CF1B02">
        <w:trPr>
          <w:trHeight w:val="300"/>
          <w:jc w:val="center"/>
        </w:trPr>
        <w:tc>
          <w:tcPr>
            <w:tcW w:w="851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1B02" w:rsidRPr="00CF1B02" w:rsidRDefault="00CF1B02" w:rsidP="00D006A2">
            <w:pPr>
              <w:spacing w:before="240"/>
              <w:jc w:val="center"/>
              <w:rPr>
                <w:rFonts w:ascii="Arial" w:hAnsi="Arial" w:cs="Arial"/>
                <w:b/>
                <w:bCs/>
                <w:color w:val="000000"/>
                <w:sz w:val="18"/>
                <w:szCs w:val="18"/>
              </w:rPr>
            </w:pPr>
            <w:r w:rsidRPr="00CF1B02">
              <w:rPr>
                <w:rFonts w:ascii="Arial" w:hAnsi="Arial" w:cs="Arial"/>
                <w:b/>
                <w:bCs/>
                <w:color w:val="000000"/>
                <w:sz w:val="18"/>
                <w:szCs w:val="18"/>
              </w:rPr>
              <w:lastRenderedPageBreak/>
              <w:t>Labor Market Indicators by Age in Maine</w:t>
            </w:r>
          </w:p>
        </w:tc>
      </w:tr>
      <w:tr w:rsidR="00CF1B02" w:rsidTr="00CF1B02">
        <w:trPr>
          <w:trHeight w:val="300"/>
          <w:jc w:val="center"/>
        </w:trPr>
        <w:tc>
          <w:tcPr>
            <w:tcW w:w="13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1B02" w:rsidRPr="00CF1B02" w:rsidRDefault="00CF1B02">
            <w:pPr>
              <w:jc w:val="center"/>
              <w:rPr>
                <w:rFonts w:ascii="Arial" w:hAnsi="Arial" w:cs="Arial"/>
                <w:b/>
                <w:bCs/>
                <w:color w:val="000000"/>
                <w:sz w:val="18"/>
                <w:szCs w:val="18"/>
              </w:rPr>
            </w:pPr>
            <w:r w:rsidRPr="00CF1B02">
              <w:rPr>
                <w:rFonts w:ascii="Arial" w:hAnsi="Arial" w:cs="Arial"/>
                <w:b/>
                <w:bCs/>
                <w:color w:val="000000"/>
                <w:sz w:val="18"/>
                <w:szCs w:val="18"/>
              </w:rPr>
              <w:t>Age</w:t>
            </w:r>
          </w:p>
        </w:tc>
        <w:tc>
          <w:tcPr>
            <w:tcW w:w="2146" w:type="dxa"/>
            <w:gridSpan w:val="2"/>
            <w:tcBorders>
              <w:top w:val="single" w:sz="4" w:space="0" w:color="auto"/>
              <w:left w:val="nil"/>
              <w:bottom w:val="nil"/>
              <w:right w:val="single" w:sz="4" w:space="0" w:color="000000"/>
            </w:tcBorders>
            <w:shd w:val="clear" w:color="auto" w:fill="auto"/>
            <w:noWrap/>
            <w:vAlign w:val="bottom"/>
            <w:hideMark/>
          </w:tcPr>
          <w:p w:rsidR="00CF1B02" w:rsidRPr="00CF1B02" w:rsidRDefault="00CF1B02">
            <w:pPr>
              <w:jc w:val="center"/>
              <w:rPr>
                <w:rFonts w:ascii="Arial" w:hAnsi="Arial" w:cs="Arial"/>
                <w:b/>
                <w:bCs/>
                <w:color w:val="000000"/>
                <w:sz w:val="18"/>
                <w:szCs w:val="18"/>
              </w:rPr>
            </w:pPr>
            <w:r w:rsidRPr="00CF1B02">
              <w:rPr>
                <w:rFonts w:ascii="Arial" w:hAnsi="Arial" w:cs="Arial"/>
                <w:b/>
                <w:bCs/>
                <w:color w:val="000000"/>
                <w:sz w:val="18"/>
                <w:szCs w:val="18"/>
              </w:rPr>
              <w:t>Civilian Labor Force</w:t>
            </w:r>
          </w:p>
        </w:tc>
        <w:tc>
          <w:tcPr>
            <w:tcW w:w="14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1B02" w:rsidRPr="00CF1B02" w:rsidRDefault="00CF1B02">
            <w:pPr>
              <w:jc w:val="center"/>
              <w:rPr>
                <w:rFonts w:ascii="Arial" w:hAnsi="Arial" w:cs="Arial"/>
                <w:b/>
                <w:bCs/>
                <w:color w:val="000000"/>
                <w:sz w:val="18"/>
                <w:szCs w:val="18"/>
              </w:rPr>
            </w:pPr>
            <w:r w:rsidRPr="00CF1B02">
              <w:rPr>
                <w:rFonts w:ascii="Arial" w:hAnsi="Arial" w:cs="Arial"/>
                <w:b/>
                <w:bCs/>
                <w:color w:val="000000"/>
                <w:sz w:val="18"/>
                <w:szCs w:val="18"/>
              </w:rPr>
              <w:t>Population*</w:t>
            </w:r>
          </w:p>
        </w:tc>
        <w:tc>
          <w:tcPr>
            <w:tcW w:w="3515" w:type="dxa"/>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rsidR="00CF1B02" w:rsidRPr="00CF1B02" w:rsidRDefault="00CF1B02">
            <w:pPr>
              <w:jc w:val="center"/>
              <w:rPr>
                <w:rFonts w:ascii="Arial" w:hAnsi="Arial" w:cs="Arial"/>
                <w:b/>
                <w:bCs/>
                <w:color w:val="000000"/>
                <w:sz w:val="18"/>
                <w:szCs w:val="18"/>
              </w:rPr>
            </w:pPr>
            <w:r w:rsidRPr="00CF1B02">
              <w:rPr>
                <w:rFonts w:ascii="Arial" w:hAnsi="Arial" w:cs="Arial"/>
                <w:b/>
                <w:bCs/>
                <w:color w:val="000000"/>
                <w:sz w:val="18"/>
                <w:szCs w:val="18"/>
              </w:rPr>
              <w:t>Civilian Labor Force, 2012</w:t>
            </w:r>
          </w:p>
        </w:tc>
      </w:tr>
      <w:tr w:rsidR="00CF1B02" w:rsidTr="00CF1B02">
        <w:trPr>
          <w:trHeight w:val="300"/>
          <w:jc w:val="center"/>
        </w:trPr>
        <w:tc>
          <w:tcPr>
            <w:tcW w:w="1393" w:type="dxa"/>
            <w:vMerge/>
            <w:tcBorders>
              <w:top w:val="nil"/>
              <w:left w:val="single" w:sz="4" w:space="0" w:color="auto"/>
              <w:bottom w:val="single" w:sz="4" w:space="0" w:color="000000"/>
              <w:right w:val="single" w:sz="4" w:space="0" w:color="auto"/>
            </w:tcBorders>
            <w:vAlign w:val="center"/>
            <w:hideMark/>
          </w:tcPr>
          <w:p w:rsidR="00CF1B02" w:rsidRPr="00CF1B02" w:rsidRDefault="00CF1B02">
            <w:pPr>
              <w:rPr>
                <w:rFonts w:ascii="Arial" w:hAnsi="Arial" w:cs="Arial"/>
                <w:b/>
                <w:bCs/>
                <w:color w:val="000000"/>
                <w:sz w:val="18"/>
                <w:szCs w:val="18"/>
              </w:rPr>
            </w:pPr>
          </w:p>
        </w:tc>
        <w:tc>
          <w:tcPr>
            <w:tcW w:w="2146" w:type="dxa"/>
            <w:gridSpan w:val="2"/>
            <w:tcBorders>
              <w:top w:val="nil"/>
              <w:left w:val="nil"/>
              <w:bottom w:val="single" w:sz="4" w:space="0" w:color="auto"/>
              <w:right w:val="single" w:sz="4" w:space="0" w:color="000000"/>
            </w:tcBorders>
            <w:shd w:val="clear" w:color="auto" w:fill="auto"/>
            <w:noWrap/>
            <w:vAlign w:val="bottom"/>
            <w:hideMark/>
          </w:tcPr>
          <w:p w:rsidR="00CF1B02" w:rsidRPr="00CF1B02" w:rsidRDefault="00CF1B02">
            <w:pPr>
              <w:jc w:val="center"/>
              <w:rPr>
                <w:rFonts w:ascii="Arial" w:hAnsi="Arial" w:cs="Arial"/>
                <w:b/>
                <w:bCs/>
                <w:color w:val="000000"/>
                <w:sz w:val="18"/>
                <w:szCs w:val="18"/>
              </w:rPr>
            </w:pPr>
            <w:r w:rsidRPr="00CF1B02">
              <w:rPr>
                <w:rFonts w:ascii="Arial" w:hAnsi="Arial" w:cs="Arial"/>
                <w:b/>
                <w:bCs/>
                <w:color w:val="000000"/>
                <w:sz w:val="18"/>
                <w:szCs w:val="18"/>
              </w:rPr>
              <w:t>Participation Rate</w:t>
            </w:r>
          </w:p>
        </w:tc>
        <w:tc>
          <w:tcPr>
            <w:tcW w:w="1463" w:type="dxa"/>
            <w:vMerge/>
            <w:tcBorders>
              <w:top w:val="nil"/>
              <w:left w:val="single" w:sz="4" w:space="0" w:color="auto"/>
              <w:bottom w:val="single" w:sz="4" w:space="0" w:color="000000"/>
              <w:right w:val="single" w:sz="4" w:space="0" w:color="auto"/>
            </w:tcBorders>
            <w:vAlign w:val="center"/>
            <w:hideMark/>
          </w:tcPr>
          <w:p w:rsidR="00CF1B02" w:rsidRPr="00CF1B02" w:rsidRDefault="00CF1B02">
            <w:pPr>
              <w:rPr>
                <w:rFonts w:ascii="Arial" w:hAnsi="Arial" w:cs="Arial"/>
                <w:b/>
                <w:bCs/>
                <w:color w:val="000000"/>
                <w:sz w:val="18"/>
                <w:szCs w:val="18"/>
              </w:rPr>
            </w:pPr>
          </w:p>
        </w:tc>
        <w:tc>
          <w:tcPr>
            <w:tcW w:w="3515" w:type="dxa"/>
            <w:gridSpan w:val="3"/>
            <w:vMerge/>
            <w:tcBorders>
              <w:top w:val="single" w:sz="4" w:space="0" w:color="auto"/>
              <w:left w:val="nil"/>
              <w:bottom w:val="single" w:sz="4" w:space="0" w:color="000000"/>
              <w:right w:val="single" w:sz="4" w:space="0" w:color="000000"/>
            </w:tcBorders>
            <w:vAlign w:val="center"/>
            <w:hideMark/>
          </w:tcPr>
          <w:p w:rsidR="00CF1B02" w:rsidRPr="00CF1B02" w:rsidRDefault="00CF1B02">
            <w:pPr>
              <w:rPr>
                <w:rFonts w:ascii="Arial" w:hAnsi="Arial" w:cs="Arial"/>
                <w:b/>
                <w:bCs/>
                <w:color w:val="000000"/>
                <w:sz w:val="18"/>
                <w:szCs w:val="18"/>
              </w:rPr>
            </w:pPr>
          </w:p>
        </w:tc>
      </w:tr>
      <w:tr w:rsidR="00CF1B02" w:rsidTr="00CF1B02">
        <w:trPr>
          <w:trHeight w:val="300"/>
          <w:jc w:val="center"/>
        </w:trPr>
        <w:tc>
          <w:tcPr>
            <w:tcW w:w="1393" w:type="dxa"/>
            <w:vMerge/>
            <w:tcBorders>
              <w:top w:val="nil"/>
              <w:left w:val="single" w:sz="4" w:space="0" w:color="auto"/>
              <w:bottom w:val="single" w:sz="4" w:space="0" w:color="000000"/>
              <w:right w:val="single" w:sz="4" w:space="0" w:color="auto"/>
            </w:tcBorders>
            <w:vAlign w:val="center"/>
            <w:hideMark/>
          </w:tcPr>
          <w:p w:rsidR="00CF1B02" w:rsidRPr="00CF1B02" w:rsidRDefault="00CF1B02">
            <w:pPr>
              <w:rPr>
                <w:rFonts w:ascii="Arial" w:hAnsi="Arial" w:cs="Arial"/>
                <w:b/>
                <w:bCs/>
                <w:color w:val="000000"/>
                <w:sz w:val="18"/>
                <w:szCs w:val="18"/>
              </w:rPr>
            </w:pPr>
          </w:p>
        </w:tc>
        <w:tc>
          <w:tcPr>
            <w:tcW w:w="1073" w:type="dxa"/>
            <w:tcBorders>
              <w:top w:val="nil"/>
              <w:left w:val="nil"/>
              <w:bottom w:val="single" w:sz="4" w:space="0" w:color="auto"/>
              <w:right w:val="single" w:sz="4" w:space="0" w:color="auto"/>
            </w:tcBorders>
            <w:shd w:val="clear" w:color="auto" w:fill="auto"/>
            <w:noWrap/>
            <w:vAlign w:val="bottom"/>
            <w:hideMark/>
          </w:tcPr>
          <w:p w:rsidR="00CF1B02" w:rsidRPr="00CF1B02" w:rsidRDefault="00CF1B02">
            <w:pPr>
              <w:jc w:val="center"/>
              <w:rPr>
                <w:rFonts w:ascii="Arial" w:hAnsi="Arial" w:cs="Arial"/>
                <w:b/>
                <w:bCs/>
                <w:color w:val="000000"/>
                <w:sz w:val="18"/>
                <w:szCs w:val="18"/>
              </w:rPr>
            </w:pPr>
            <w:r w:rsidRPr="00CF1B02">
              <w:rPr>
                <w:rFonts w:ascii="Arial" w:hAnsi="Arial" w:cs="Arial"/>
                <w:b/>
                <w:bCs/>
                <w:color w:val="000000"/>
                <w:sz w:val="18"/>
                <w:szCs w:val="18"/>
              </w:rPr>
              <w:t>2000</w:t>
            </w:r>
          </w:p>
        </w:tc>
        <w:tc>
          <w:tcPr>
            <w:tcW w:w="1073" w:type="dxa"/>
            <w:tcBorders>
              <w:top w:val="nil"/>
              <w:left w:val="nil"/>
              <w:bottom w:val="single" w:sz="4" w:space="0" w:color="auto"/>
              <w:right w:val="single" w:sz="4" w:space="0" w:color="auto"/>
            </w:tcBorders>
            <w:shd w:val="clear" w:color="auto" w:fill="auto"/>
            <w:noWrap/>
            <w:vAlign w:val="bottom"/>
            <w:hideMark/>
          </w:tcPr>
          <w:p w:rsidR="00CF1B02" w:rsidRPr="00CF1B02" w:rsidRDefault="00CF1B02">
            <w:pPr>
              <w:jc w:val="center"/>
              <w:rPr>
                <w:rFonts w:ascii="Arial" w:hAnsi="Arial" w:cs="Arial"/>
                <w:b/>
                <w:bCs/>
                <w:color w:val="000000"/>
                <w:sz w:val="18"/>
                <w:szCs w:val="18"/>
              </w:rPr>
            </w:pPr>
            <w:r w:rsidRPr="00CF1B02">
              <w:rPr>
                <w:rFonts w:ascii="Arial" w:hAnsi="Arial" w:cs="Arial"/>
                <w:b/>
                <w:bCs/>
                <w:color w:val="000000"/>
                <w:sz w:val="18"/>
                <w:szCs w:val="18"/>
              </w:rPr>
              <w:t>2012</w:t>
            </w:r>
          </w:p>
        </w:tc>
        <w:tc>
          <w:tcPr>
            <w:tcW w:w="1463" w:type="dxa"/>
            <w:tcBorders>
              <w:top w:val="nil"/>
              <w:left w:val="nil"/>
              <w:bottom w:val="single" w:sz="4" w:space="0" w:color="auto"/>
              <w:right w:val="single" w:sz="4" w:space="0" w:color="auto"/>
            </w:tcBorders>
            <w:shd w:val="clear" w:color="auto" w:fill="auto"/>
            <w:noWrap/>
            <w:vAlign w:val="bottom"/>
            <w:hideMark/>
          </w:tcPr>
          <w:p w:rsidR="00CF1B02" w:rsidRPr="00CF1B02" w:rsidRDefault="00CF1B02" w:rsidP="00CF1B02">
            <w:pPr>
              <w:ind w:firstLineChars="200" w:firstLine="361"/>
              <w:rPr>
                <w:rFonts w:ascii="Arial" w:hAnsi="Arial" w:cs="Arial"/>
                <w:b/>
                <w:bCs/>
                <w:color w:val="000000"/>
                <w:sz w:val="18"/>
                <w:szCs w:val="18"/>
              </w:rPr>
            </w:pPr>
            <w:r w:rsidRPr="00CF1B02">
              <w:rPr>
                <w:rFonts w:ascii="Arial" w:hAnsi="Arial" w:cs="Arial"/>
                <w:b/>
                <w:bCs/>
                <w:color w:val="000000"/>
                <w:sz w:val="18"/>
                <w:szCs w:val="18"/>
              </w:rPr>
              <w:t>2012</w:t>
            </w:r>
          </w:p>
        </w:tc>
        <w:tc>
          <w:tcPr>
            <w:tcW w:w="1043" w:type="dxa"/>
            <w:tcBorders>
              <w:top w:val="nil"/>
              <w:left w:val="nil"/>
              <w:bottom w:val="single" w:sz="4" w:space="0" w:color="auto"/>
              <w:right w:val="single" w:sz="4" w:space="0" w:color="auto"/>
            </w:tcBorders>
            <w:shd w:val="clear" w:color="auto" w:fill="auto"/>
            <w:noWrap/>
            <w:vAlign w:val="bottom"/>
            <w:hideMark/>
          </w:tcPr>
          <w:p w:rsidR="00CF1B02" w:rsidRPr="00CF1B02" w:rsidRDefault="00CF1B02">
            <w:pPr>
              <w:jc w:val="center"/>
              <w:rPr>
                <w:rFonts w:ascii="Arial" w:hAnsi="Arial" w:cs="Arial"/>
                <w:b/>
                <w:bCs/>
                <w:color w:val="000000"/>
                <w:sz w:val="18"/>
                <w:szCs w:val="18"/>
              </w:rPr>
            </w:pPr>
            <w:r w:rsidRPr="00CF1B02">
              <w:rPr>
                <w:rFonts w:ascii="Arial" w:hAnsi="Arial" w:cs="Arial"/>
                <w:b/>
                <w:bCs/>
                <w:color w:val="000000"/>
                <w:sz w:val="18"/>
                <w:szCs w:val="18"/>
              </w:rPr>
              <w:t>Actual</w:t>
            </w:r>
          </w:p>
        </w:tc>
        <w:tc>
          <w:tcPr>
            <w:tcW w:w="1180" w:type="dxa"/>
            <w:tcBorders>
              <w:top w:val="nil"/>
              <w:left w:val="nil"/>
              <w:bottom w:val="single" w:sz="4" w:space="0" w:color="auto"/>
              <w:right w:val="nil"/>
            </w:tcBorders>
            <w:shd w:val="clear" w:color="auto" w:fill="auto"/>
            <w:noWrap/>
            <w:vAlign w:val="bottom"/>
            <w:hideMark/>
          </w:tcPr>
          <w:p w:rsidR="00CF1B02" w:rsidRPr="00CF1B02" w:rsidRDefault="00CF1B02">
            <w:pPr>
              <w:jc w:val="center"/>
              <w:rPr>
                <w:rFonts w:ascii="Arial" w:hAnsi="Arial" w:cs="Arial"/>
                <w:b/>
                <w:bCs/>
                <w:color w:val="000000"/>
                <w:sz w:val="18"/>
                <w:szCs w:val="18"/>
              </w:rPr>
            </w:pPr>
            <w:r w:rsidRPr="00CF1B02">
              <w:rPr>
                <w:rFonts w:ascii="Arial" w:hAnsi="Arial" w:cs="Arial"/>
                <w:b/>
                <w:bCs/>
                <w:color w:val="000000"/>
                <w:sz w:val="18"/>
                <w:szCs w:val="18"/>
              </w:rPr>
              <w:t>Adjusted**</w:t>
            </w:r>
          </w:p>
        </w:tc>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CF1B02" w:rsidRPr="00CF1B02" w:rsidRDefault="00CF1B02">
            <w:pPr>
              <w:jc w:val="center"/>
              <w:rPr>
                <w:rFonts w:ascii="Arial" w:hAnsi="Arial" w:cs="Arial"/>
                <w:b/>
                <w:bCs/>
                <w:color w:val="000000"/>
                <w:sz w:val="18"/>
                <w:szCs w:val="18"/>
              </w:rPr>
            </w:pPr>
            <w:r w:rsidRPr="00CF1B02">
              <w:rPr>
                <w:rFonts w:ascii="Arial" w:hAnsi="Arial" w:cs="Arial"/>
                <w:b/>
                <w:bCs/>
                <w:color w:val="000000"/>
                <w:sz w:val="18"/>
                <w:szCs w:val="18"/>
              </w:rPr>
              <w:t>Difference</w:t>
            </w:r>
          </w:p>
        </w:tc>
      </w:tr>
      <w:tr w:rsidR="00CF1B02" w:rsidTr="00CF1B02">
        <w:trPr>
          <w:trHeight w:val="285"/>
          <w:jc w:val="center"/>
        </w:trPr>
        <w:tc>
          <w:tcPr>
            <w:tcW w:w="1393" w:type="dxa"/>
            <w:tcBorders>
              <w:top w:val="nil"/>
              <w:left w:val="single" w:sz="4" w:space="0" w:color="auto"/>
              <w:bottom w:val="nil"/>
              <w:right w:val="single" w:sz="4" w:space="0" w:color="auto"/>
            </w:tcBorders>
            <w:shd w:val="clear" w:color="auto" w:fill="auto"/>
            <w:noWrap/>
            <w:vAlign w:val="bottom"/>
            <w:hideMark/>
          </w:tcPr>
          <w:p w:rsidR="00CF1B02" w:rsidRPr="00CF1B02" w:rsidRDefault="00CF1B02">
            <w:pPr>
              <w:rPr>
                <w:rFonts w:ascii="Arial" w:hAnsi="Arial" w:cs="Arial"/>
                <w:color w:val="000000"/>
                <w:sz w:val="18"/>
                <w:szCs w:val="18"/>
              </w:rPr>
            </w:pPr>
            <w:r w:rsidRPr="00CF1B02">
              <w:rPr>
                <w:rFonts w:ascii="Arial" w:hAnsi="Arial" w:cs="Arial"/>
                <w:color w:val="000000"/>
                <w:sz w:val="18"/>
                <w:szCs w:val="18"/>
              </w:rPr>
              <w:t>16-24</w:t>
            </w:r>
          </w:p>
        </w:tc>
        <w:tc>
          <w:tcPr>
            <w:tcW w:w="1073" w:type="dxa"/>
            <w:tcBorders>
              <w:top w:val="nil"/>
              <w:left w:val="nil"/>
              <w:bottom w:val="nil"/>
              <w:right w:val="single" w:sz="4" w:space="0" w:color="auto"/>
            </w:tcBorders>
            <w:shd w:val="clear" w:color="auto" w:fill="auto"/>
            <w:noWrap/>
            <w:vAlign w:val="bottom"/>
            <w:hideMark/>
          </w:tcPr>
          <w:p w:rsidR="00CF1B02" w:rsidRPr="00CF1B02" w:rsidRDefault="00CF1B02" w:rsidP="00CF1B02">
            <w:pPr>
              <w:ind w:firstLineChars="100" w:firstLine="180"/>
              <w:jc w:val="center"/>
              <w:rPr>
                <w:rFonts w:ascii="Arial" w:hAnsi="Arial" w:cs="Arial"/>
                <w:color w:val="000000"/>
                <w:sz w:val="18"/>
                <w:szCs w:val="18"/>
              </w:rPr>
            </w:pPr>
            <w:r w:rsidRPr="00CF1B02">
              <w:rPr>
                <w:rFonts w:ascii="Arial" w:hAnsi="Arial" w:cs="Arial"/>
                <w:color w:val="000000"/>
                <w:sz w:val="18"/>
                <w:szCs w:val="18"/>
              </w:rPr>
              <w:t>69.1%</w:t>
            </w:r>
          </w:p>
        </w:tc>
        <w:tc>
          <w:tcPr>
            <w:tcW w:w="1073" w:type="dxa"/>
            <w:tcBorders>
              <w:top w:val="nil"/>
              <w:left w:val="nil"/>
              <w:bottom w:val="nil"/>
              <w:right w:val="nil"/>
            </w:tcBorders>
            <w:shd w:val="clear" w:color="auto" w:fill="auto"/>
            <w:noWrap/>
            <w:vAlign w:val="bottom"/>
            <w:hideMark/>
          </w:tcPr>
          <w:p w:rsidR="00CF1B02" w:rsidRPr="00CF1B02" w:rsidRDefault="00CF1B02" w:rsidP="00CF1B02">
            <w:pPr>
              <w:ind w:firstLineChars="100" w:firstLine="180"/>
              <w:jc w:val="center"/>
              <w:rPr>
                <w:rFonts w:ascii="Arial" w:hAnsi="Arial" w:cs="Arial"/>
                <w:color w:val="000000"/>
                <w:sz w:val="18"/>
                <w:szCs w:val="18"/>
              </w:rPr>
            </w:pPr>
            <w:r w:rsidRPr="00CF1B02">
              <w:rPr>
                <w:rFonts w:ascii="Arial" w:hAnsi="Arial" w:cs="Arial"/>
                <w:color w:val="000000"/>
                <w:sz w:val="18"/>
                <w:szCs w:val="18"/>
              </w:rPr>
              <w:t>62.7%</w:t>
            </w:r>
          </w:p>
        </w:tc>
        <w:tc>
          <w:tcPr>
            <w:tcW w:w="1463" w:type="dxa"/>
            <w:tcBorders>
              <w:top w:val="nil"/>
              <w:left w:val="single" w:sz="4" w:space="0" w:color="auto"/>
              <w:bottom w:val="nil"/>
              <w:right w:val="single" w:sz="4" w:space="0" w:color="auto"/>
            </w:tcBorders>
            <w:shd w:val="clear" w:color="auto" w:fill="auto"/>
            <w:noWrap/>
            <w:vAlign w:val="bottom"/>
            <w:hideMark/>
          </w:tcPr>
          <w:p w:rsidR="00CF1B02" w:rsidRPr="00CF1B02" w:rsidRDefault="00CF1B02" w:rsidP="00CF1B02">
            <w:pPr>
              <w:ind w:firstLineChars="200" w:firstLine="360"/>
              <w:rPr>
                <w:rFonts w:ascii="Arial" w:hAnsi="Arial" w:cs="Arial"/>
                <w:color w:val="000000"/>
                <w:sz w:val="18"/>
                <w:szCs w:val="18"/>
              </w:rPr>
            </w:pPr>
            <w:r w:rsidRPr="00CF1B02">
              <w:rPr>
                <w:rFonts w:ascii="Arial" w:hAnsi="Arial" w:cs="Arial"/>
                <w:color w:val="000000"/>
                <w:sz w:val="18"/>
                <w:szCs w:val="18"/>
              </w:rPr>
              <w:t>155</w:t>
            </w:r>
          </w:p>
        </w:tc>
        <w:tc>
          <w:tcPr>
            <w:tcW w:w="1043" w:type="dxa"/>
            <w:tcBorders>
              <w:top w:val="nil"/>
              <w:left w:val="nil"/>
              <w:bottom w:val="nil"/>
              <w:right w:val="nil"/>
            </w:tcBorders>
            <w:shd w:val="clear" w:color="auto" w:fill="auto"/>
            <w:noWrap/>
            <w:vAlign w:val="bottom"/>
            <w:hideMark/>
          </w:tcPr>
          <w:p w:rsidR="00CF1B02" w:rsidRPr="00CF1B02" w:rsidRDefault="00CF1B02" w:rsidP="00041149">
            <w:pPr>
              <w:ind w:firstLineChars="200" w:firstLine="360"/>
              <w:rPr>
                <w:rFonts w:ascii="Arial" w:hAnsi="Arial" w:cs="Arial"/>
                <w:color w:val="000000"/>
                <w:sz w:val="18"/>
                <w:szCs w:val="18"/>
              </w:rPr>
            </w:pPr>
            <w:r w:rsidRPr="00CF1B02">
              <w:rPr>
                <w:rFonts w:ascii="Arial" w:hAnsi="Arial" w:cs="Arial"/>
                <w:color w:val="000000"/>
                <w:sz w:val="18"/>
                <w:szCs w:val="18"/>
              </w:rPr>
              <w:t>97</w:t>
            </w:r>
          </w:p>
        </w:tc>
        <w:tc>
          <w:tcPr>
            <w:tcW w:w="1180" w:type="dxa"/>
            <w:tcBorders>
              <w:top w:val="nil"/>
              <w:left w:val="single" w:sz="4" w:space="0" w:color="auto"/>
              <w:bottom w:val="nil"/>
              <w:right w:val="single" w:sz="4" w:space="0" w:color="auto"/>
            </w:tcBorders>
            <w:shd w:val="clear" w:color="auto" w:fill="auto"/>
            <w:noWrap/>
            <w:vAlign w:val="bottom"/>
            <w:hideMark/>
          </w:tcPr>
          <w:p w:rsidR="00CF1B02" w:rsidRPr="00CF1B02" w:rsidRDefault="00CF1B02" w:rsidP="00041149">
            <w:pPr>
              <w:jc w:val="center"/>
              <w:rPr>
                <w:rFonts w:ascii="Arial" w:hAnsi="Arial" w:cs="Arial"/>
                <w:color w:val="000000"/>
                <w:sz w:val="18"/>
                <w:szCs w:val="18"/>
              </w:rPr>
            </w:pPr>
            <w:r w:rsidRPr="00CF1B02">
              <w:rPr>
                <w:rFonts w:ascii="Arial" w:hAnsi="Arial" w:cs="Arial"/>
                <w:color w:val="000000"/>
                <w:sz w:val="18"/>
                <w:szCs w:val="18"/>
              </w:rPr>
              <w:t>107</w:t>
            </w:r>
          </w:p>
        </w:tc>
        <w:tc>
          <w:tcPr>
            <w:tcW w:w="1292" w:type="dxa"/>
            <w:tcBorders>
              <w:top w:val="nil"/>
              <w:left w:val="nil"/>
              <w:bottom w:val="nil"/>
              <w:right w:val="single" w:sz="4" w:space="0" w:color="auto"/>
            </w:tcBorders>
            <w:shd w:val="clear" w:color="auto" w:fill="auto"/>
            <w:noWrap/>
            <w:vAlign w:val="bottom"/>
            <w:hideMark/>
          </w:tcPr>
          <w:p w:rsidR="00CF1B02" w:rsidRPr="00CF1B02" w:rsidRDefault="00CF1B02" w:rsidP="00CF1B02">
            <w:pPr>
              <w:ind w:firstLineChars="200" w:firstLine="360"/>
              <w:rPr>
                <w:rFonts w:ascii="Arial" w:hAnsi="Arial" w:cs="Arial"/>
                <w:color w:val="000000"/>
                <w:sz w:val="18"/>
                <w:szCs w:val="18"/>
              </w:rPr>
            </w:pPr>
            <w:r>
              <w:rPr>
                <w:rFonts w:ascii="Arial" w:hAnsi="Arial" w:cs="Arial"/>
                <w:color w:val="000000"/>
                <w:sz w:val="18"/>
                <w:szCs w:val="18"/>
              </w:rPr>
              <w:t xml:space="preserve"> -</w:t>
            </w:r>
            <w:r w:rsidRPr="00CF1B02">
              <w:rPr>
                <w:rFonts w:ascii="Arial" w:hAnsi="Arial" w:cs="Arial"/>
                <w:color w:val="000000"/>
                <w:sz w:val="18"/>
                <w:szCs w:val="18"/>
              </w:rPr>
              <w:t>10</w:t>
            </w:r>
          </w:p>
        </w:tc>
      </w:tr>
      <w:tr w:rsidR="00CF1B02" w:rsidTr="00CF1B02">
        <w:trPr>
          <w:trHeight w:val="285"/>
          <w:jc w:val="center"/>
        </w:trPr>
        <w:tc>
          <w:tcPr>
            <w:tcW w:w="1393" w:type="dxa"/>
            <w:tcBorders>
              <w:top w:val="nil"/>
              <w:left w:val="single" w:sz="4" w:space="0" w:color="auto"/>
              <w:bottom w:val="nil"/>
              <w:right w:val="single" w:sz="4" w:space="0" w:color="auto"/>
            </w:tcBorders>
            <w:shd w:val="clear" w:color="auto" w:fill="auto"/>
            <w:noWrap/>
            <w:vAlign w:val="bottom"/>
            <w:hideMark/>
          </w:tcPr>
          <w:p w:rsidR="00CF1B02" w:rsidRPr="00CF1B02" w:rsidRDefault="00CF1B02">
            <w:pPr>
              <w:rPr>
                <w:rFonts w:ascii="Arial" w:hAnsi="Arial" w:cs="Arial"/>
                <w:color w:val="000000"/>
                <w:sz w:val="18"/>
                <w:szCs w:val="18"/>
              </w:rPr>
            </w:pPr>
            <w:r w:rsidRPr="00CF1B02">
              <w:rPr>
                <w:rFonts w:ascii="Arial" w:hAnsi="Arial" w:cs="Arial"/>
                <w:color w:val="000000"/>
                <w:sz w:val="18"/>
                <w:szCs w:val="18"/>
              </w:rPr>
              <w:t>25-54</w:t>
            </w:r>
          </w:p>
        </w:tc>
        <w:tc>
          <w:tcPr>
            <w:tcW w:w="1073" w:type="dxa"/>
            <w:tcBorders>
              <w:top w:val="nil"/>
              <w:left w:val="nil"/>
              <w:bottom w:val="nil"/>
              <w:right w:val="single" w:sz="4" w:space="0" w:color="auto"/>
            </w:tcBorders>
            <w:shd w:val="clear" w:color="auto" w:fill="auto"/>
            <w:noWrap/>
            <w:vAlign w:val="bottom"/>
            <w:hideMark/>
          </w:tcPr>
          <w:p w:rsidR="00CF1B02" w:rsidRPr="00CF1B02" w:rsidRDefault="00CF1B02" w:rsidP="00CF1B02">
            <w:pPr>
              <w:ind w:firstLineChars="100" w:firstLine="180"/>
              <w:jc w:val="center"/>
              <w:rPr>
                <w:rFonts w:ascii="Arial" w:hAnsi="Arial" w:cs="Arial"/>
                <w:color w:val="000000"/>
                <w:sz w:val="18"/>
                <w:szCs w:val="18"/>
              </w:rPr>
            </w:pPr>
            <w:r w:rsidRPr="00CF1B02">
              <w:rPr>
                <w:rFonts w:ascii="Arial" w:hAnsi="Arial" w:cs="Arial"/>
                <w:color w:val="000000"/>
                <w:sz w:val="18"/>
                <w:szCs w:val="18"/>
              </w:rPr>
              <w:t>86.0%</w:t>
            </w:r>
          </w:p>
        </w:tc>
        <w:tc>
          <w:tcPr>
            <w:tcW w:w="1073" w:type="dxa"/>
            <w:tcBorders>
              <w:top w:val="nil"/>
              <w:left w:val="nil"/>
              <w:bottom w:val="nil"/>
              <w:right w:val="nil"/>
            </w:tcBorders>
            <w:shd w:val="clear" w:color="auto" w:fill="auto"/>
            <w:noWrap/>
            <w:vAlign w:val="bottom"/>
            <w:hideMark/>
          </w:tcPr>
          <w:p w:rsidR="00CF1B02" w:rsidRPr="00CF1B02" w:rsidRDefault="00CF1B02" w:rsidP="00CF1B02">
            <w:pPr>
              <w:ind w:firstLineChars="100" w:firstLine="180"/>
              <w:jc w:val="center"/>
              <w:rPr>
                <w:rFonts w:ascii="Arial" w:hAnsi="Arial" w:cs="Arial"/>
                <w:color w:val="000000"/>
                <w:sz w:val="18"/>
                <w:szCs w:val="18"/>
              </w:rPr>
            </w:pPr>
            <w:r w:rsidRPr="00CF1B02">
              <w:rPr>
                <w:rFonts w:ascii="Arial" w:hAnsi="Arial" w:cs="Arial"/>
                <w:color w:val="000000"/>
                <w:sz w:val="18"/>
                <w:szCs w:val="18"/>
              </w:rPr>
              <w:t>82.3%</w:t>
            </w:r>
          </w:p>
        </w:tc>
        <w:tc>
          <w:tcPr>
            <w:tcW w:w="1463" w:type="dxa"/>
            <w:tcBorders>
              <w:top w:val="nil"/>
              <w:left w:val="single" w:sz="4" w:space="0" w:color="auto"/>
              <w:bottom w:val="nil"/>
              <w:right w:val="single" w:sz="4" w:space="0" w:color="auto"/>
            </w:tcBorders>
            <w:shd w:val="clear" w:color="auto" w:fill="auto"/>
            <w:noWrap/>
            <w:vAlign w:val="bottom"/>
            <w:hideMark/>
          </w:tcPr>
          <w:p w:rsidR="00CF1B02" w:rsidRPr="00CF1B02" w:rsidRDefault="00CF1B02" w:rsidP="00CF1B02">
            <w:pPr>
              <w:ind w:firstLineChars="200" w:firstLine="360"/>
              <w:rPr>
                <w:rFonts w:ascii="Arial" w:hAnsi="Arial" w:cs="Arial"/>
                <w:color w:val="000000"/>
                <w:sz w:val="18"/>
                <w:szCs w:val="18"/>
              </w:rPr>
            </w:pPr>
            <w:r w:rsidRPr="00CF1B02">
              <w:rPr>
                <w:rFonts w:ascii="Arial" w:hAnsi="Arial" w:cs="Arial"/>
                <w:color w:val="000000"/>
                <w:sz w:val="18"/>
                <w:szCs w:val="18"/>
              </w:rPr>
              <w:t>515</w:t>
            </w:r>
          </w:p>
        </w:tc>
        <w:tc>
          <w:tcPr>
            <w:tcW w:w="1043" w:type="dxa"/>
            <w:tcBorders>
              <w:top w:val="nil"/>
              <w:left w:val="nil"/>
              <w:bottom w:val="nil"/>
              <w:right w:val="nil"/>
            </w:tcBorders>
            <w:shd w:val="clear" w:color="auto" w:fill="auto"/>
            <w:noWrap/>
            <w:vAlign w:val="bottom"/>
            <w:hideMark/>
          </w:tcPr>
          <w:p w:rsidR="00CF1B02" w:rsidRPr="00CF1B02" w:rsidRDefault="00CF1B02" w:rsidP="00041149">
            <w:pPr>
              <w:jc w:val="center"/>
              <w:rPr>
                <w:rFonts w:ascii="Arial" w:hAnsi="Arial" w:cs="Arial"/>
                <w:color w:val="000000"/>
                <w:sz w:val="18"/>
                <w:szCs w:val="18"/>
              </w:rPr>
            </w:pPr>
            <w:r w:rsidRPr="00CF1B02">
              <w:rPr>
                <w:rFonts w:ascii="Arial" w:hAnsi="Arial" w:cs="Arial"/>
                <w:color w:val="000000"/>
                <w:sz w:val="18"/>
                <w:szCs w:val="18"/>
              </w:rPr>
              <w:t>424</w:t>
            </w:r>
          </w:p>
        </w:tc>
        <w:tc>
          <w:tcPr>
            <w:tcW w:w="1180" w:type="dxa"/>
            <w:tcBorders>
              <w:top w:val="nil"/>
              <w:left w:val="single" w:sz="4" w:space="0" w:color="auto"/>
              <w:bottom w:val="nil"/>
              <w:right w:val="single" w:sz="4" w:space="0" w:color="auto"/>
            </w:tcBorders>
            <w:shd w:val="clear" w:color="auto" w:fill="auto"/>
            <w:noWrap/>
            <w:vAlign w:val="bottom"/>
            <w:hideMark/>
          </w:tcPr>
          <w:p w:rsidR="00CF1B02" w:rsidRPr="00CF1B02" w:rsidRDefault="00CF1B02" w:rsidP="00041149">
            <w:pPr>
              <w:jc w:val="center"/>
              <w:rPr>
                <w:rFonts w:ascii="Arial" w:hAnsi="Arial" w:cs="Arial"/>
                <w:color w:val="000000"/>
                <w:sz w:val="18"/>
                <w:szCs w:val="18"/>
              </w:rPr>
            </w:pPr>
            <w:r w:rsidRPr="00CF1B02">
              <w:rPr>
                <w:rFonts w:ascii="Arial" w:hAnsi="Arial" w:cs="Arial"/>
                <w:color w:val="000000"/>
                <w:sz w:val="18"/>
                <w:szCs w:val="18"/>
              </w:rPr>
              <w:t>443</w:t>
            </w:r>
          </w:p>
        </w:tc>
        <w:tc>
          <w:tcPr>
            <w:tcW w:w="1292" w:type="dxa"/>
            <w:tcBorders>
              <w:top w:val="nil"/>
              <w:left w:val="nil"/>
              <w:bottom w:val="nil"/>
              <w:right w:val="single" w:sz="4" w:space="0" w:color="auto"/>
            </w:tcBorders>
            <w:shd w:val="clear" w:color="auto" w:fill="auto"/>
            <w:noWrap/>
            <w:vAlign w:val="bottom"/>
            <w:hideMark/>
          </w:tcPr>
          <w:p w:rsidR="00CF1B02" w:rsidRPr="00CF1B02" w:rsidRDefault="00CF1B02" w:rsidP="00CF1B02">
            <w:pPr>
              <w:ind w:firstLineChars="200" w:firstLine="360"/>
              <w:rPr>
                <w:rFonts w:ascii="Arial" w:hAnsi="Arial" w:cs="Arial"/>
                <w:color w:val="000000"/>
                <w:sz w:val="18"/>
                <w:szCs w:val="18"/>
              </w:rPr>
            </w:pPr>
            <w:r>
              <w:rPr>
                <w:rFonts w:ascii="Arial" w:hAnsi="Arial" w:cs="Arial"/>
                <w:color w:val="000000"/>
                <w:sz w:val="18"/>
                <w:szCs w:val="18"/>
              </w:rPr>
              <w:t xml:space="preserve"> -</w:t>
            </w:r>
            <w:r w:rsidRPr="00CF1B02">
              <w:rPr>
                <w:rFonts w:ascii="Arial" w:hAnsi="Arial" w:cs="Arial"/>
                <w:color w:val="000000"/>
                <w:sz w:val="18"/>
                <w:szCs w:val="18"/>
              </w:rPr>
              <w:t>19</w:t>
            </w:r>
          </w:p>
        </w:tc>
      </w:tr>
      <w:tr w:rsidR="00CF1B02" w:rsidTr="00D006A2">
        <w:trPr>
          <w:trHeight w:val="285"/>
          <w:jc w:val="center"/>
        </w:trPr>
        <w:tc>
          <w:tcPr>
            <w:tcW w:w="1393" w:type="dxa"/>
            <w:tcBorders>
              <w:top w:val="nil"/>
              <w:left w:val="single" w:sz="4" w:space="0" w:color="auto"/>
              <w:right w:val="single" w:sz="4" w:space="0" w:color="auto"/>
            </w:tcBorders>
            <w:shd w:val="clear" w:color="auto" w:fill="auto"/>
            <w:noWrap/>
            <w:vAlign w:val="bottom"/>
            <w:hideMark/>
          </w:tcPr>
          <w:p w:rsidR="00CF1B02" w:rsidRPr="00CF1B02" w:rsidRDefault="00CF1B02">
            <w:pPr>
              <w:rPr>
                <w:rFonts w:ascii="Arial" w:hAnsi="Arial" w:cs="Arial"/>
                <w:color w:val="000000"/>
                <w:sz w:val="18"/>
                <w:szCs w:val="18"/>
              </w:rPr>
            </w:pPr>
            <w:r w:rsidRPr="00CF1B02">
              <w:rPr>
                <w:rFonts w:ascii="Arial" w:hAnsi="Arial" w:cs="Arial"/>
                <w:color w:val="000000"/>
                <w:sz w:val="18"/>
                <w:szCs w:val="18"/>
              </w:rPr>
              <w:t>55-64</w:t>
            </w:r>
          </w:p>
        </w:tc>
        <w:tc>
          <w:tcPr>
            <w:tcW w:w="1073" w:type="dxa"/>
            <w:tcBorders>
              <w:top w:val="nil"/>
              <w:left w:val="nil"/>
              <w:right w:val="single" w:sz="4" w:space="0" w:color="auto"/>
            </w:tcBorders>
            <w:shd w:val="clear" w:color="auto" w:fill="auto"/>
            <w:noWrap/>
            <w:vAlign w:val="bottom"/>
            <w:hideMark/>
          </w:tcPr>
          <w:p w:rsidR="00CF1B02" w:rsidRPr="00CF1B02" w:rsidRDefault="00CF1B02" w:rsidP="00CF1B02">
            <w:pPr>
              <w:ind w:firstLineChars="100" w:firstLine="180"/>
              <w:jc w:val="center"/>
              <w:rPr>
                <w:rFonts w:ascii="Arial" w:hAnsi="Arial" w:cs="Arial"/>
                <w:color w:val="000000"/>
                <w:sz w:val="18"/>
                <w:szCs w:val="18"/>
              </w:rPr>
            </w:pPr>
            <w:r w:rsidRPr="00CF1B02">
              <w:rPr>
                <w:rFonts w:ascii="Arial" w:hAnsi="Arial" w:cs="Arial"/>
                <w:color w:val="000000"/>
                <w:sz w:val="18"/>
                <w:szCs w:val="18"/>
              </w:rPr>
              <w:t>61.6%</w:t>
            </w:r>
          </w:p>
        </w:tc>
        <w:tc>
          <w:tcPr>
            <w:tcW w:w="1073" w:type="dxa"/>
            <w:tcBorders>
              <w:top w:val="nil"/>
              <w:left w:val="nil"/>
              <w:right w:val="nil"/>
            </w:tcBorders>
            <w:shd w:val="clear" w:color="auto" w:fill="auto"/>
            <w:noWrap/>
            <w:vAlign w:val="bottom"/>
            <w:hideMark/>
          </w:tcPr>
          <w:p w:rsidR="00CF1B02" w:rsidRPr="00CF1B02" w:rsidRDefault="00CF1B02" w:rsidP="00CF1B02">
            <w:pPr>
              <w:ind w:firstLineChars="100" w:firstLine="180"/>
              <w:jc w:val="center"/>
              <w:rPr>
                <w:rFonts w:ascii="Arial" w:hAnsi="Arial" w:cs="Arial"/>
                <w:color w:val="000000"/>
                <w:sz w:val="18"/>
                <w:szCs w:val="18"/>
              </w:rPr>
            </w:pPr>
            <w:r w:rsidRPr="00CF1B02">
              <w:rPr>
                <w:rFonts w:ascii="Arial" w:hAnsi="Arial" w:cs="Arial"/>
                <w:color w:val="000000"/>
                <w:sz w:val="18"/>
                <w:szCs w:val="18"/>
              </w:rPr>
              <w:t>68.6%</w:t>
            </w:r>
          </w:p>
        </w:tc>
        <w:tc>
          <w:tcPr>
            <w:tcW w:w="1463" w:type="dxa"/>
            <w:tcBorders>
              <w:top w:val="nil"/>
              <w:left w:val="single" w:sz="4" w:space="0" w:color="auto"/>
              <w:right w:val="single" w:sz="4" w:space="0" w:color="auto"/>
            </w:tcBorders>
            <w:shd w:val="clear" w:color="auto" w:fill="auto"/>
            <w:noWrap/>
            <w:vAlign w:val="bottom"/>
            <w:hideMark/>
          </w:tcPr>
          <w:p w:rsidR="00CF1B02" w:rsidRPr="00CF1B02" w:rsidRDefault="00CF1B02" w:rsidP="00CF1B02">
            <w:pPr>
              <w:ind w:firstLineChars="200" w:firstLine="360"/>
              <w:rPr>
                <w:rFonts w:ascii="Arial" w:hAnsi="Arial" w:cs="Arial"/>
                <w:color w:val="000000"/>
                <w:sz w:val="18"/>
                <w:szCs w:val="18"/>
              </w:rPr>
            </w:pPr>
            <w:r w:rsidRPr="00CF1B02">
              <w:rPr>
                <w:rFonts w:ascii="Arial" w:hAnsi="Arial" w:cs="Arial"/>
                <w:color w:val="000000"/>
                <w:sz w:val="18"/>
                <w:szCs w:val="18"/>
              </w:rPr>
              <w:t>204</w:t>
            </w:r>
          </w:p>
        </w:tc>
        <w:tc>
          <w:tcPr>
            <w:tcW w:w="1043" w:type="dxa"/>
            <w:tcBorders>
              <w:top w:val="nil"/>
              <w:left w:val="nil"/>
              <w:right w:val="nil"/>
            </w:tcBorders>
            <w:shd w:val="clear" w:color="auto" w:fill="auto"/>
            <w:noWrap/>
            <w:vAlign w:val="bottom"/>
            <w:hideMark/>
          </w:tcPr>
          <w:p w:rsidR="00CF1B02" w:rsidRPr="00CF1B02" w:rsidRDefault="00CF1B02" w:rsidP="00041149">
            <w:pPr>
              <w:jc w:val="center"/>
              <w:rPr>
                <w:rFonts w:ascii="Arial" w:hAnsi="Arial" w:cs="Arial"/>
                <w:color w:val="000000"/>
                <w:sz w:val="18"/>
                <w:szCs w:val="18"/>
              </w:rPr>
            </w:pPr>
            <w:r w:rsidRPr="00CF1B02">
              <w:rPr>
                <w:rFonts w:ascii="Arial" w:hAnsi="Arial" w:cs="Arial"/>
                <w:color w:val="000000"/>
                <w:sz w:val="18"/>
                <w:szCs w:val="18"/>
              </w:rPr>
              <w:t>140</w:t>
            </w:r>
          </w:p>
        </w:tc>
        <w:tc>
          <w:tcPr>
            <w:tcW w:w="1180" w:type="dxa"/>
            <w:tcBorders>
              <w:top w:val="nil"/>
              <w:left w:val="single" w:sz="4" w:space="0" w:color="auto"/>
              <w:right w:val="single" w:sz="4" w:space="0" w:color="auto"/>
            </w:tcBorders>
            <w:shd w:val="clear" w:color="auto" w:fill="auto"/>
            <w:noWrap/>
            <w:vAlign w:val="bottom"/>
            <w:hideMark/>
          </w:tcPr>
          <w:p w:rsidR="00CF1B02" w:rsidRPr="00CF1B02" w:rsidRDefault="00CF1B02" w:rsidP="00041149">
            <w:pPr>
              <w:jc w:val="center"/>
              <w:rPr>
                <w:rFonts w:ascii="Arial" w:hAnsi="Arial" w:cs="Arial"/>
                <w:color w:val="000000"/>
                <w:sz w:val="18"/>
                <w:szCs w:val="18"/>
              </w:rPr>
            </w:pPr>
            <w:r w:rsidRPr="00CF1B02">
              <w:rPr>
                <w:rFonts w:ascii="Arial" w:hAnsi="Arial" w:cs="Arial"/>
                <w:color w:val="000000"/>
                <w:sz w:val="18"/>
                <w:szCs w:val="18"/>
              </w:rPr>
              <w:t>126</w:t>
            </w:r>
          </w:p>
        </w:tc>
        <w:tc>
          <w:tcPr>
            <w:tcW w:w="1292" w:type="dxa"/>
            <w:tcBorders>
              <w:top w:val="nil"/>
              <w:left w:val="nil"/>
              <w:right w:val="single" w:sz="4" w:space="0" w:color="auto"/>
            </w:tcBorders>
            <w:shd w:val="clear" w:color="auto" w:fill="auto"/>
            <w:noWrap/>
            <w:vAlign w:val="bottom"/>
            <w:hideMark/>
          </w:tcPr>
          <w:p w:rsidR="00CF1B02" w:rsidRPr="00CF1B02" w:rsidRDefault="00CF1B02" w:rsidP="00CF1B02">
            <w:pPr>
              <w:ind w:firstLineChars="200" w:firstLine="360"/>
              <w:rPr>
                <w:rFonts w:ascii="Arial" w:hAnsi="Arial" w:cs="Arial"/>
                <w:color w:val="000000"/>
                <w:sz w:val="18"/>
                <w:szCs w:val="18"/>
              </w:rPr>
            </w:pPr>
            <w:r>
              <w:rPr>
                <w:rFonts w:ascii="Arial" w:hAnsi="Arial" w:cs="Arial"/>
                <w:color w:val="000000"/>
                <w:sz w:val="18"/>
                <w:szCs w:val="18"/>
              </w:rPr>
              <w:t>+</w:t>
            </w:r>
            <w:r w:rsidRPr="00CF1B02">
              <w:rPr>
                <w:rFonts w:ascii="Arial" w:hAnsi="Arial" w:cs="Arial"/>
                <w:color w:val="000000"/>
                <w:sz w:val="18"/>
                <w:szCs w:val="18"/>
              </w:rPr>
              <w:t>14</w:t>
            </w:r>
          </w:p>
        </w:tc>
      </w:tr>
      <w:tr w:rsidR="00CF1B02" w:rsidTr="00D006A2">
        <w:trPr>
          <w:trHeight w:val="285"/>
          <w:jc w:val="center"/>
        </w:trPr>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CF1B02" w:rsidRPr="00CF1B02" w:rsidRDefault="00CF1B02">
            <w:pPr>
              <w:rPr>
                <w:rFonts w:ascii="Arial" w:hAnsi="Arial" w:cs="Arial"/>
                <w:color w:val="000000"/>
                <w:sz w:val="18"/>
                <w:szCs w:val="18"/>
              </w:rPr>
            </w:pPr>
            <w:r w:rsidRPr="00CF1B02">
              <w:rPr>
                <w:rFonts w:ascii="Arial" w:hAnsi="Arial" w:cs="Arial"/>
                <w:color w:val="000000"/>
                <w:sz w:val="18"/>
                <w:szCs w:val="18"/>
              </w:rPr>
              <w:t>65 and over</w:t>
            </w:r>
          </w:p>
        </w:tc>
        <w:tc>
          <w:tcPr>
            <w:tcW w:w="1073" w:type="dxa"/>
            <w:tcBorders>
              <w:top w:val="nil"/>
              <w:left w:val="nil"/>
              <w:bottom w:val="single" w:sz="4" w:space="0" w:color="auto"/>
              <w:right w:val="single" w:sz="4" w:space="0" w:color="auto"/>
            </w:tcBorders>
            <w:shd w:val="clear" w:color="auto" w:fill="auto"/>
            <w:noWrap/>
            <w:vAlign w:val="bottom"/>
            <w:hideMark/>
          </w:tcPr>
          <w:p w:rsidR="00CF1B02" w:rsidRPr="00CF1B02" w:rsidRDefault="00CF1B02" w:rsidP="00CF1B02">
            <w:pPr>
              <w:ind w:firstLineChars="100" w:firstLine="180"/>
              <w:jc w:val="center"/>
              <w:rPr>
                <w:rFonts w:ascii="Arial" w:hAnsi="Arial" w:cs="Arial"/>
                <w:color w:val="000000"/>
                <w:sz w:val="18"/>
                <w:szCs w:val="18"/>
              </w:rPr>
            </w:pPr>
            <w:r w:rsidRPr="00CF1B02">
              <w:rPr>
                <w:rFonts w:ascii="Arial" w:hAnsi="Arial" w:cs="Arial"/>
                <w:color w:val="000000"/>
                <w:sz w:val="18"/>
                <w:szCs w:val="18"/>
              </w:rPr>
              <w:t>13.9%</w:t>
            </w:r>
          </w:p>
        </w:tc>
        <w:tc>
          <w:tcPr>
            <w:tcW w:w="1073" w:type="dxa"/>
            <w:tcBorders>
              <w:top w:val="nil"/>
              <w:left w:val="nil"/>
              <w:bottom w:val="single" w:sz="4" w:space="0" w:color="auto"/>
              <w:right w:val="nil"/>
            </w:tcBorders>
            <w:shd w:val="clear" w:color="auto" w:fill="auto"/>
            <w:noWrap/>
            <w:vAlign w:val="bottom"/>
            <w:hideMark/>
          </w:tcPr>
          <w:p w:rsidR="00CF1B02" w:rsidRPr="00CF1B02" w:rsidRDefault="00CF1B02" w:rsidP="00CF1B02">
            <w:pPr>
              <w:ind w:firstLineChars="100" w:firstLine="180"/>
              <w:jc w:val="center"/>
              <w:rPr>
                <w:rFonts w:ascii="Arial" w:hAnsi="Arial" w:cs="Arial"/>
                <w:color w:val="000000"/>
                <w:sz w:val="18"/>
                <w:szCs w:val="18"/>
              </w:rPr>
            </w:pPr>
            <w:r w:rsidRPr="00CF1B02">
              <w:rPr>
                <w:rFonts w:ascii="Arial" w:hAnsi="Arial" w:cs="Arial"/>
                <w:color w:val="000000"/>
                <w:sz w:val="18"/>
                <w:szCs w:val="18"/>
              </w:rPr>
              <w:t>20.3%</w:t>
            </w:r>
          </w:p>
        </w:tc>
        <w:tc>
          <w:tcPr>
            <w:tcW w:w="1463" w:type="dxa"/>
            <w:tcBorders>
              <w:top w:val="nil"/>
              <w:left w:val="single" w:sz="4" w:space="0" w:color="auto"/>
              <w:bottom w:val="single" w:sz="4" w:space="0" w:color="auto"/>
              <w:right w:val="single" w:sz="4" w:space="0" w:color="auto"/>
            </w:tcBorders>
            <w:shd w:val="clear" w:color="auto" w:fill="auto"/>
            <w:noWrap/>
            <w:vAlign w:val="bottom"/>
            <w:hideMark/>
          </w:tcPr>
          <w:p w:rsidR="00CF1B02" w:rsidRPr="00CF1B02" w:rsidRDefault="00CF1B02" w:rsidP="00CF1B02">
            <w:pPr>
              <w:ind w:firstLineChars="200" w:firstLine="360"/>
              <w:rPr>
                <w:rFonts w:ascii="Arial" w:hAnsi="Arial" w:cs="Arial"/>
                <w:color w:val="000000"/>
                <w:sz w:val="18"/>
                <w:szCs w:val="18"/>
              </w:rPr>
            </w:pPr>
            <w:r w:rsidRPr="00CF1B02">
              <w:rPr>
                <w:rFonts w:ascii="Arial" w:hAnsi="Arial" w:cs="Arial"/>
                <w:color w:val="000000"/>
                <w:sz w:val="18"/>
                <w:szCs w:val="18"/>
              </w:rPr>
              <w:t>210</w:t>
            </w:r>
          </w:p>
        </w:tc>
        <w:tc>
          <w:tcPr>
            <w:tcW w:w="1043" w:type="dxa"/>
            <w:tcBorders>
              <w:top w:val="nil"/>
              <w:left w:val="nil"/>
              <w:bottom w:val="single" w:sz="4" w:space="0" w:color="auto"/>
              <w:right w:val="nil"/>
            </w:tcBorders>
            <w:shd w:val="clear" w:color="auto" w:fill="auto"/>
            <w:noWrap/>
            <w:vAlign w:val="bottom"/>
            <w:hideMark/>
          </w:tcPr>
          <w:p w:rsidR="00CF1B02" w:rsidRPr="00CF1B02" w:rsidRDefault="00CF1B02" w:rsidP="00041149">
            <w:pPr>
              <w:ind w:firstLineChars="200" w:firstLine="360"/>
              <w:rPr>
                <w:rFonts w:ascii="Arial" w:hAnsi="Arial" w:cs="Arial"/>
                <w:color w:val="000000"/>
                <w:sz w:val="18"/>
                <w:szCs w:val="18"/>
              </w:rPr>
            </w:pPr>
            <w:r w:rsidRPr="00CF1B02">
              <w:rPr>
                <w:rFonts w:ascii="Arial" w:hAnsi="Arial" w:cs="Arial"/>
                <w:color w:val="000000"/>
                <w:sz w:val="18"/>
                <w:szCs w:val="18"/>
              </w:rPr>
              <w:t>43</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F1B02" w:rsidRPr="00CF1B02" w:rsidRDefault="00041149" w:rsidP="00041149">
            <w:pPr>
              <w:ind w:firstLineChars="200" w:firstLine="360"/>
              <w:rPr>
                <w:rFonts w:ascii="Arial" w:hAnsi="Arial" w:cs="Arial"/>
                <w:color w:val="000000"/>
                <w:sz w:val="18"/>
                <w:szCs w:val="18"/>
              </w:rPr>
            </w:pPr>
            <w:r>
              <w:rPr>
                <w:rFonts w:ascii="Arial" w:hAnsi="Arial" w:cs="Arial"/>
                <w:color w:val="000000"/>
                <w:sz w:val="18"/>
                <w:szCs w:val="18"/>
              </w:rPr>
              <w:t xml:space="preserve"> </w:t>
            </w:r>
            <w:r w:rsidR="00CF1B02" w:rsidRPr="00CF1B02">
              <w:rPr>
                <w:rFonts w:ascii="Arial" w:hAnsi="Arial" w:cs="Arial"/>
                <w:color w:val="000000"/>
                <w:sz w:val="18"/>
                <w:szCs w:val="18"/>
              </w:rPr>
              <w:t>29</w:t>
            </w:r>
          </w:p>
        </w:tc>
        <w:tc>
          <w:tcPr>
            <w:tcW w:w="1292" w:type="dxa"/>
            <w:tcBorders>
              <w:top w:val="nil"/>
              <w:left w:val="nil"/>
              <w:bottom w:val="single" w:sz="4" w:space="0" w:color="auto"/>
              <w:right w:val="single" w:sz="4" w:space="0" w:color="auto"/>
            </w:tcBorders>
            <w:shd w:val="clear" w:color="auto" w:fill="auto"/>
            <w:noWrap/>
            <w:vAlign w:val="bottom"/>
            <w:hideMark/>
          </w:tcPr>
          <w:p w:rsidR="00CF1B02" w:rsidRPr="00CF1B02" w:rsidRDefault="00CF1B02" w:rsidP="00CF1B02">
            <w:pPr>
              <w:ind w:firstLineChars="200" w:firstLine="360"/>
              <w:rPr>
                <w:rFonts w:ascii="Arial" w:hAnsi="Arial" w:cs="Arial"/>
                <w:color w:val="000000"/>
                <w:sz w:val="18"/>
                <w:szCs w:val="18"/>
              </w:rPr>
            </w:pPr>
            <w:r>
              <w:rPr>
                <w:rFonts w:ascii="Arial" w:hAnsi="Arial" w:cs="Arial"/>
                <w:color w:val="000000"/>
                <w:sz w:val="18"/>
                <w:szCs w:val="18"/>
              </w:rPr>
              <w:t>+</w:t>
            </w:r>
            <w:r w:rsidRPr="00CF1B02">
              <w:rPr>
                <w:rFonts w:ascii="Arial" w:hAnsi="Arial" w:cs="Arial"/>
                <w:color w:val="000000"/>
                <w:sz w:val="18"/>
                <w:szCs w:val="18"/>
              </w:rPr>
              <w:t>14</w:t>
            </w:r>
          </w:p>
        </w:tc>
      </w:tr>
      <w:tr w:rsidR="00CF1B02" w:rsidTr="00D006A2">
        <w:trPr>
          <w:trHeight w:val="285"/>
          <w:jc w:val="center"/>
        </w:trPr>
        <w:tc>
          <w:tcPr>
            <w:tcW w:w="3539" w:type="dxa"/>
            <w:gridSpan w:val="3"/>
            <w:tcBorders>
              <w:top w:val="single" w:sz="4" w:space="0" w:color="auto"/>
              <w:right w:val="nil"/>
            </w:tcBorders>
            <w:shd w:val="clear" w:color="auto" w:fill="auto"/>
            <w:noWrap/>
            <w:vAlign w:val="bottom"/>
            <w:hideMark/>
          </w:tcPr>
          <w:p w:rsidR="00CF1B02" w:rsidRPr="00CF1B02" w:rsidRDefault="00CF1B02">
            <w:pPr>
              <w:rPr>
                <w:rFonts w:ascii="Arial" w:hAnsi="Arial" w:cs="Arial"/>
                <w:color w:val="000000"/>
                <w:sz w:val="14"/>
                <w:szCs w:val="14"/>
              </w:rPr>
            </w:pPr>
            <w:r w:rsidRPr="00CF1B02">
              <w:rPr>
                <w:rFonts w:ascii="Arial" w:hAnsi="Arial" w:cs="Arial"/>
                <w:color w:val="000000"/>
                <w:sz w:val="14"/>
                <w:szCs w:val="14"/>
              </w:rPr>
              <w:t>Source: Current Population Survey.</w:t>
            </w:r>
          </w:p>
        </w:tc>
        <w:tc>
          <w:tcPr>
            <w:tcW w:w="1463" w:type="dxa"/>
            <w:tcBorders>
              <w:top w:val="single" w:sz="4" w:space="0" w:color="auto"/>
              <w:left w:val="nil"/>
              <w:right w:val="nil"/>
            </w:tcBorders>
            <w:shd w:val="clear" w:color="auto" w:fill="auto"/>
            <w:noWrap/>
            <w:vAlign w:val="bottom"/>
            <w:hideMark/>
          </w:tcPr>
          <w:p w:rsidR="00CF1B02" w:rsidRPr="00CF1B02" w:rsidRDefault="00CF1B02">
            <w:pPr>
              <w:rPr>
                <w:rFonts w:ascii="Arial" w:hAnsi="Arial" w:cs="Arial"/>
                <w:color w:val="000000"/>
                <w:sz w:val="14"/>
                <w:szCs w:val="14"/>
              </w:rPr>
            </w:pPr>
          </w:p>
        </w:tc>
        <w:tc>
          <w:tcPr>
            <w:tcW w:w="1043" w:type="dxa"/>
            <w:tcBorders>
              <w:top w:val="single" w:sz="4" w:space="0" w:color="auto"/>
              <w:left w:val="nil"/>
              <w:right w:val="nil"/>
            </w:tcBorders>
            <w:shd w:val="clear" w:color="auto" w:fill="auto"/>
            <w:noWrap/>
            <w:vAlign w:val="bottom"/>
            <w:hideMark/>
          </w:tcPr>
          <w:p w:rsidR="00CF1B02" w:rsidRDefault="00CF1B02">
            <w:pPr>
              <w:rPr>
                <w:rFonts w:ascii="Arial" w:hAnsi="Arial" w:cs="Arial"/>
                <w:color w:val="000000"/>
                <w:sz w:val="22"/>
                <w:szCs w:val="22"/>
              </w:rPr>
            </w:pPr>
          </w:p>
        </w:tc>
        <w:tc>
          <w:tcPr>
            <w:tcW w:w="1180" w:type="dxa"/>
            <w:tcBorders>
              <w:top w:val="single" w:sz="4" w:space="0" w:color="auto"/>
              <w:left w:val="nil"/>
              <w:right w:val="nil"/>
            </w:tcBorders>
            <w:shd w:val="clear" w:color="auto" w:fill="auto"/>
            <w:noWrap/>
            <w:vAlign w:val="bottom"/>
            <w:hideMark/>
          </w:tcPr>
          <w:p w:rsidR="00CF1B02" w:rsidRDefault="00CF1B02">
            <w:pPr>
              <w:rPr>
                <w:rFonts w:ascii="Arial" w:hAnsi="Arial" w:cs="Arial"/>
                <w:color w:val="000000"/>
                <w:sz w:val="22"/>
                <w:szCs w:val="22"/>
              </w:rPr>
            </w:pPr>
          </w:p>
        </w:tc>
        <w:tc>
          <w:tcPr>
            <w:tcW w:w="1292" w:type="dxa"/>
            <w:tcBorders>
              <w:top w:val="single" w:sz="4" w:space="0" w:color="auto"/>
              <w:left w:val="nil"/>
              <w:right w:val="nil"/>
            </w:tcBorders>
            <w:shd w:val="clear" w:color="auto" w:fill="auto"/>
            <w:noWrap/>
            <w:vAlign w:val="bottom"/>
            <w:hideMark/>
          </w:tcPr>
          <w:p w:rsidR="00CF1B02" w:rsidRDefault="00CF1B02">
            <w:pPr>
              <w:rPr>
                <w:rFonts w:ascii="Arial" w:hAnsi="Arial" w:cs="Arial"/>
                <w:color w:val="000000"/>
                <w:sz w:val="22"/>
                <w:szCs w:val="22"/>
              </w:rPr>
            </w:pPr>
          </w:p>
        </w:tc>
      </w:tr>
      <w:tr w:rsidR="00CF1B02" w:rsidTr="00D006A2">
        <w:trPr>
          <w:trHeight w:val="285"/>
          <w:jc w:val="center"/>
        </w:trPr>
        <w:tc>
          <w:tcPr>
            <w:tcW w:w="5002" w:type="dxa"/>
            <w:gridSpan w:val="4"/>
            <w:tcBorders>
              <w:top w:val="nil"/>
              <w:right w:val="nil"/>
            </w:tcBorders>
            <w:shd w:val="clear" w:color="auto" w:fill="auto"/>
            <w:noWrap/>
            <w:vAlign w:val="bottom"/>
            <w:hideMark/>
          </w:tcPr>
          <w:p w:rsidR="00CF1B02" w:rsidRPr="00CF1B02" w:rsidRDefault="00CF1B02">
            <w:pPr>
              <w:rPr>
                <w:rFonts w:ascii="Arial" w:hAnsi="Arial" w:cs="Arial"/>
                <w:color w:val="000000"/>
                <w:sz w:val="14"/>
                <w:szCs w:val="14"/>
              </w:rPr>
            </w:pPr>
            <w:r w:rsidRPr="00CF1B02">
              <w:rPr>
                <w:rFonts w:ascii="Arial" w:hAnsi="Arial" w:cs="Arial"/>
                <w:color w:val="000000"/>
                <w:sz w:val="14"/>
                <w:szCs w:val="14"/>
              </w:rPr>
              <w:t>*Civilian noninstitutional population in thousands.</w:t>
            </w:r>
          </w:p>
        </w:tc>
        <w:tc>
          <w:tcPr>
            <w:tcW w:w="1043" w:type="dxa"/>
            <w:tcBorders>
              <w:top w:val="nil"/>
              <w:left w:val="nil"/>
              <w:right w:val="nil"/>
            </w:tcBorders>
            <w:shd w:val="clear" w:color="auto" w:fill="auto"/>
            <w:noWrap/>
            <w:vAlign w:val="bottom"/>
            <w:hideMark/>
          </w:tcPr>
          <w:p w:rsidR="00CF1B02" w:rsidRDefault="00CF1B02">
            <w:pPr>
              <w:rPr>
                <w:rFonts w:ascii="Arial" w:hAnsi="Arial" w:cs="Arial"/>
                <w:color w:val="000000"/>
                <w:sz w:val="22"/>
                <w:szCs w:val="22"/>
              </w:rPr>
            </w:pPr>
          </w:p>
        </w:tc>
        <w:tc>
          <w:tcPr>
            <w:tcW w:w="1180" w:type="dxa"/>
            <w:tcBorders>
              <w:top w:val="nil"/>
              <w:left w:val="nil"/>
              <w:right w:val="nil"/>
            </w:tcBorders>
            <w:shd w:val="clear" w:color="auto" w:fill="auto"/>
            <w:noWrap/>
            <w:vAlign w:val="bottom"/>
            <w:hideMark/>
          </w:tcPr>
          <w:p w:rsidR="00CF1B02" w:rsidRDefault="00CF1B02">
            <w:pPr>
              <w:rPr>
                <w:rFonts w:ascii="Arial" w:hAnsi="Arial" w:cs="Arial"/>
                <w:color w:val="000000"/>
                <w:sz w:val="22"/>
                <w:szCs w:val="22"/>
              </w:rPr>
            </w:pPr>
          </w:p>
        </w:tc>
        <w:tc>
          <w:tcPr>
            <w:tcW w:w="1292" w:type="dxa"/>
            <w:tcBorders>
              <w:top w:val="nil"/>
              <w:left w:val="nil"/>
              <w:right w:val="nil"/>
            </w:tcBorders>
            <w:shd w:val="clear" w:color="auto" w:fill="auto"/>
            <w:noWrap/>
            <w:vAlign w:val="bottom"/>
            <w:hideMark/>
          </w:tcPr>
          <w:p w:rsidR="00CF1B02" w:rsidRDefault="00CF1B02">
            <w:pPr>
              <w:rPr>
                <w:rFonts w:ascii="Arial" w:hAnsi="Arial" w:cs="Arial"/>
                <w:color w:val="000000"/>
                <w:sz w:val="22"/>
                <w:szCs w:val="22"/>
              </w:rPr>
            </w:pPr>
          </w:p>
        </w:tc>
      </w:tr>
      <w:tr w:rsidR="00CF1B02" w:rsidTr="00D006A2">
        <w:trPr>
          <w:trHeight w:val="285"/>
          <w:jc w:val="center"/>
        </w:trPr>
        <w:tc>
          <w:tcPr>
            <w:tcW w:w="5002" w:type="dxa"/>
            <w:gridSpan w:val="4"/>
            <w:tcBorders>
              <w:bottom w:val="nil"/>
              <w:right w:val="nil"/>
            </w:tcBorders>
            <w:shd w:val="clear" w:color="auto" w:fill="auto"/>
            <w:noWrap/>
            <w:vAlign w:val="bottom"/>
            <w:hideMark/>
          </w:tcPr>
          <w:p w:rsidR="00CF1B02" w:rsidRPr="00CF1B02" w:rsidRDefault="00CF1B02">
            <w:pPr>
              <w:rPr>
                <w:rFonts w:ascii="Arial" w:hAnsi="Arial" w:cs="Arial"/>
                <w:color w:val="000000"/>
                <w:sz w:val="14"/>
                <w:szCs w:val="14"/>
              </w:rPr>
            </w:pPr>
            <w:r w:rsidRPr="00CF1B02">
              <w:rPr>
                <w:rFonts w:ascii="Arial" w:hAnsi="Arial" w:cs="Arial"/>
                <w:color w:val="000000"/>
                <w:sz w:val="14"/>
                <w:szCs w:val="14"/>
              </w:rPr>
              <w:t>**2000 participation rates applied to 2011 population.</w:t>
            </w:r>
          </w:p>
        </w:tc>
        <w:tc>
          <w:tcPr>
            <w:tcW w:w="1043" w:type="dxa"/>
            <w:tcBorders>
              <w:left w:val="nil"/>
              <w:bottom w:val="nil"/>
              <w:right w:val="nil"/>
            </w:tcBorders>
            <w:shd w:val="clear" w:color="auto" w:fill="auto"/>
            <w:noWrap/>
            <w:vAlign w:val="bottom"/>
            <w:hideMark/>
          </w:tcPr>
          <w:p w:rsidR="00CF1B02" w:rsidRDefault="00CF1B02">
            <w:pPr>
              <w:ind w:firstLineChars="200" w:firstLine="440"/>
              <w:jc w:val="right"/>
              <w:rPr>
                <w:rFonts w:ascii="Arial" w:hAnsi="Arial" w:cs="Arial"/>
                <w:color w:val="000000"/>
                <w:sz w:val="22"/>
                <w:szCs w:val="22"/>
              </w:rPr>
            </w:pPr>
          </w:p>
        </w:tc>
        <w:tc>
          <w:tcPr>
            <w:tcW w:w="1180" w:type="dxa"/>
            <w:tcBorders>
              <w:left w:val="nil"/>
              <w:bottom w:val="nil"/>
              <w:right w:val="nil"/>
            </w:tcBorders>
            <w:shd w:val="clear" w:color="auto" w:fill="auto"/>
            <w:noWrap/>
            <w:vAlign w:val="bottom"/>
            <w:hideMark/>
          </w:tcPr>
          <w:p w:rsidR="00CF1B02" w:rsidRDefault="00CF1B02">
            <w:pPr>
              <w:ind w:firstLineChars="200" w:firstLine="440"/>
              <w:jc w:val="right"/>
              <w:rPr>
                <w:rFonts w:ascii="Arial" w:hAnsi="Arial" w:cs="Arial"/>
                <w:color w:val="000000"/>
                <w:sz w:val="22"/>
                <w:szCs w:val="22"/>
              </w:rPr>
            </w:pPr>
          </w:p>
        </w:tc>
        <w:tc>
          <w:tcPr>
            <w:tcW w:w="1292" w:type="dxa"/>
            <w:tcBorders>
              <w:left w:val="nil"/>
              <w:bottom w:val="nil"/>
              <w:right w:val="nil"/>
            </w:tcBorders>
            <w:shd w:val="clear" w:color="auto" w:fill="auto"/>
            <w:noWrap/>
            <w:vAlign w:val="bottom"/>
            <w:hideMark/>
          </w:tcPr>
          <w:p w:rsidR="00CF1B02" w:rsidRDefault="00CF1B02">
            <w:pPr>
              <w:ind w:firstLineChars="200" w:firstLine="440"/>
              <w:jc w:val="right"/>
              <w:rPr>
                <w:rFonts w:ascii="Arial" w:hAnsi="Arial" w:cs="Arial"/>
                <w:color w:val="000000"/>
                <w:sz w:val="22"/>
                <w:szCs w:val="22"/>
              </w:rPr>
            </w:pPr>
          </w:p>
        </w:tc>
      </w:tr>
    </w:tbl>
    <w:p w:rsidR="00CF1B02" w:rsidRDefault="00CF1B02" w:rsidP="00D25CBF">
      <w:pPr>
        <w:pStyle w:val="BodyText"/>
      </w:pPr>
    </w:p>
    <w:p w:rsidR="00D25CBF" w:rsidRDefault="00D25CBF" w:rsidP="00D25CBF">
      <w:pPr>
        <w:pStyle w:val="BodyText"/>
      </w:pPr>
      <w:r>
        <w:t xml:space="preserve">Data collected by the Bureau of Labor Statistics since 1948 indicates that attachment to the labor force of older workers dropped steadily </w:t>
      </w:r>
      <w:r w:rsidR="0092190E">
        <w:t xml:space="preserve">nationally </w:t>
      </w:r>
      <w:r>
        <w:t xml:space="preserve">until the mid-1990s, after which it began to increase. This trend also is evidenced in Maine data collected since 1983. </w:t>
      </w:r>
      <w:r w:rsidR="0092190E">
        <w:t>R</w:t>
      </w:r>
      <w:r>
        <w:t xml:space="preserve">easons cited for the increasing participation rate </w:t>
      </w:r>
      <w:r w:rsidR="0092190E">
        <w:t>include</w:t>
      </w:r>
      <w:r>
        <w:t xml:space="preserve"> </w:t>
      </w:r>
      <w:r w:rsidR="002F1FB9">
        <w:t xml:space="preserve">improving health and lifespans, </w:t>
      </w:r>
      <w:r>
        <w:t>pension plan changes or losses, a chronic low savings rate resulting in a lack of adequate resources for retirement, rising health care costs, and, more recently, the downturn in the housing market.</w:t>
      </w:r>
    </w:p>
    <w:p w:rsidR="00D25CBF" w:rsidRDefault="002E5F3E" w:rsidP="00D25CBF">
      <w:pPr>
        <w:pStyle w:val="BodyText"/>
        <w:jc w:val="center"/>
      </w:pPr>
      <w:r>
        <w:rPr>
          <w:noProof/>
        </w:rPr>
        <w:drawing>
          <wp:inline distT="0" distB="0" distL="0" distR="0">
            <wp:extent cx="4581525" cy="2790825"/>
            <wp:effectExtent l="0" t="0" r="9525" b="9525"/>
            <wp:docPr id="10" name="Picture 10" descr="See sheet 10 in accompanying excel file." title="attachment of older workers to the labor force has increased since the mid-199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1525" cy="2790825"/>
                    </a:xfrm>
                    <a:prstGeom prst="rect">
                      <a:avLst/>
                    </a:prstGeom>
                    <a:noFill/>
                    <a:ln>
                      <a:noFill/>
                    </a:ln>
                  </pic:spPr>
                </pic:pic>
              </a:graphicData>
            </a:graphic>
          </wp:inline>
        </w:drawing>
      </w:r>
    </w:p>
    <w:p w:rsidR="00D25CBF" w:rsidRDefault="00D25CBF" w:rsidP="00D25CBF">
      <w:pPr>
        <w:pStyle w:val="BodyText"/>
      </w:pPr>
      <w:r>
        <w:t xml:space="preserve">Over the past </w:t>
      </w:r>
      <w:r w:rsidR="00143680">
        <w:t>12 years</w:t>
      </w:r>
      <w:r w:rsidR="00116299">
        <w:t>,</w:t>
      </w:r>
      <w:r>
        <w:t xml:space="preserve"> the labor force participation rate of workers age 55 and over continued to increase while other age groups withdrew from the labor market. Perhaps even more significant, the percentage of the population employed (employment to population ratio) increased for older workers while </w:t>
      </w:r>
      <w:r w:rsidR="0092190E">
        <w:t xml:space="preserve">it </w:t>
      </w:r>
      <w:r>
        <w:t>declin</w:t>
      </w:r>
      <w:r w:rsidR="0092190E">
        <w:t>ed</w:t>
      </w:r>
      <w:r>
        <w:t xml:space="preserve"> for other age groups. Even with the onset of the Great Recession at the end of 2007, older workers, on average, had positive outcomes in labor force attachment and employment. </w:t>
      </w:r>
    </w:p>
    <w:p w:rsidR="00796033" w:rsidRDefault="00D25CBF" w:rsidP="00D75DC9">
      <w:pPr>
        <w:pStyle w:val="BodyText"/>
      </w:pPr>
      <w:r>
        <w:t xml:space="preserve">The population age 55 and over was more likely to </w:t>
      </w:r>
      <w:r w:rsidR="004540FA">
        <w:t>be in</w:t>
      </w:r>
      <w:r>
        <w:t xml:space="preserve"> the labor force</w:t>
      </w:r>
      <w:r w:rsidR="00ED2968">
        <w:t xml:space="preserve"> and</w:t>
      </w:r>
      <w:r>
        <w:t xml:space="preserve"> more likely to </w:t>
      </w:r>
      <w:r w:rsidR="004540FA">
        <w:t>be employed</w:t>
      </w:r>
      <w:r>
        <w:t xml:space="preserve"> as evidenced by rising employment levels and lower unemployment rates. Possible reasons for the apparent advantage older workers had in the labor market include seniority which allowed those with jobs to keep them, and the ability to take a part-time or lower-wage job to supplement retirement income</w:t>
      </w:r>
      <w:r w:rsidR="0092190E">
        <w:t>, which made</w:t>
      </w:r>
      <w:r>
        <w:t xml:space="preserve"> it easier to find and take available jobs.</w:t>
      </w:r>
    </w:p>
    <w:tbl>
      <w:tblPr>
        <w:tblW w:w="10548" w:type="dxa"/>
        <w:tblInd w:w="93" w:type="dxa"/>
        <w:tblLook w:val="04A0" w:firstRow="1" w:lastRow="0" w:firstColumn="1" w:lastColumn="0" w:noHBand="0" w:noVBand="1"/>
      </w:tblPr>
      <w:tblGrid>
        <w:gridCol w:w="3866"/>
        <w:gridCol w:w="1099"/>
        <w:gridCol w:w="1080"/>
        <w:gridCol w:w="1170"/>
        <w:gridCol w:w="891"/>
        <w:gridCol w:w="1221"/>
        <w:gridCol w:w="1221"/>
      </w:tblGrid>
      <w:tr w:rsidR="007448FB" w:rsidTr="007448FB">
        <w:trPr>
          <w:trHeight w:val="300"/>
        </w:trPr>
        <w:tc>
          <w:tcPr>
            <w:tcW w:w="1054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48FB" w:rsidRPr="007448FB" w:rsidRDefault="007448FB">
            <w:pPr>
              <w:jc w:val="center"/>
              <w:rPr>
                <w:rFonts w:ascii="Arial" w:hAnsi="Arial" w:cs="Arial"/>
                <w:b/>
                <w:bCs/>
                <w:color w:val="000000"/>
                <w:sz w:val="18"/>
                <w:szCs w:val="18"/>
              </w:rPr>
            </w:pPr>
            <w:r w:rsidRPr="007448FB">
              <w:rPr>
                <w:rFonts w:ascii="Arial" w:hAnsi="Arial" w:cs="Arial"/>
                <w:b/>
                <w:bCs/>
                <w:color w:val="000000"/>
                <w:sz w:val="18"/>
                <w:szCs w:val="18"/>
              </w:rPr>
              <w:lastRenderedPageBreak/>
              <w:t>Labor Market Indicators by Age in Maine</w:t>
            </w:r>
          </w:p>
        </w:tc>
      </w:tr>
      <w:tr w:rsidR="007448FB" w:rsidTr="007448FB">
        <w:trPr>
          <w:trHeight w:val="300"/>
        </w:trPr>
        <w:tc>
          <w:tcPr>
            <w:tcW w:w="3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8FB" w:rsidRPr="007448FB" w:rsidRDefault="007448FB">
            <w:pPr>
              <w:jc w:val="center"/>
              <w:rPr>
                <w:rFonts w:ascii="Arial" w:hAnsi="Arial" w:cs="Arial"/>
                <w:b/>
                <w:bCs/>
                <w:color w:val="000000"/>
                <w:sz w:val="18"/>
                <w:szCs w:val="18"/>
              </w:rPr>
            </w:pPr>
            <w:r w:rsidRPr="007448FB">
              <w:rPr>
                <w:rFonts w:ascii="Arial" w:hAnsi="Arial" w:cs="Arial"/>
                <w:b/>
                <w:bCs/>
                <w:color w:val="000000"/>
                <w:sz w:val="18"/>
                <w:szCs w:val="18"/>
              </w:rPr>
              <w:t>Indicators</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8FB" w:rsidRPr="007448FB" w:rsidRDefault="007448FB">
            <w:pPr>
              <w:jc w:val="center"/>
              <w:rPr>
                <w:rFonts w:ascii="Arial" w:hAnsi="Arial" w:cs="Arial"/>
                <w:b/>
                <w:bCs/>
                <w:color w:val="000000"/>
                <w:sz w:val="18"/>
                <w:szCs w:val="18"/>
              </w:rPr>
            </w:pPr>
            <w:r w:rsidRPr="007448FB">
              <w:rPr>
                <w:rFonts w:ascii="Arial" w:hAnsi="Arial" w:cs="Arial"/>
                <w:b/>
                <w:bCs/>
                <w:color w:val="000000"/>
                <w:sz w:val="18"/>
                <w:szCs w:val="18"/>
              </w:rPr>
              <w:t>2000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8FB" w:rsidRPr="007448FB" w:rsidRDefault="007448FB">
            <w:pPr>
              <w:jc w:val="center"/>
              <w:rPr>
                <w:rFonts w:ascii="Arial" w:hAnsi="Arial" w:cs="Arial"/>
                <w:b/>
                <w:bCs/>
                <w:color w:val="000000"/>
                <w:sz w:val="18"/>
                <w:szCs w:val="18"/>
              </w:rPr>
            </w:pPr>
            <w:r w:rsidRPr="007448FB">
              <w:rPr>
                <w:rFonts w:ascii="Arial" w:hAnsi="Arial" w:cs="Arial"/>
                <w:b/>
                <w:bCs/>
                <w:color w:val="000000"/>
                <w:sz w:val="18"/>
                <w:szCs w:val="18"/>
              </w:rPr>
              <w:t>2007</w:t>
            </w:r>
          </w:p>
        </w:tc>
        <w:tc>
          <w:tcPr>
            <w:tcW w:w="1170" w:type="dxa"/>
            <w:vMerge w:val="restart"/>
            <w:tcBorders>
              <w:top w:val="nil"/>
              <w:left w:val="nil"/>
              <w:bottom w:val="single" w:sz="4" w:space="0" w:color="000000"/>
              <w:right w:val="nil"/>
            </w:tcBorders>
            <w:shd w:val="clear" w:color="auto" w:fill="auto"/>
            <w:noWrap/>
            <w:vAlign w:val="center"/>
            <w:hideMark/>
          </w:tcPr>
          <w:p w:rsidR="007448FB" w:rsidRPr="007448FB" w:rsidRDefault="007448FB">
            <w:pPr>
              <w:jc w:val="center"/>
              <w:rPr>
                <w:rFonts w:ascii="Arial" w:hAnsi="Arial" w:cs="Arial"/>
                <w:b/>
                <w:bCs/>
                <w:color w:val="000000"/>
                <w:sz w:val="18"/>
                <w:szCs w:val="18"/>
              </w:rPr>
            </w:pPr>
            <w:r w:rsidRPr="007448FB">
              <w:rPr>
                <w:rFonts w:ascii="Arial" w:hAnsi="Arial" w:cs="Arial"/>
                <w:b/>
                <w:bCs/>
                <w:color w:val="000000"/>
                <w:sz w:val="18"/>
                <w:szCs w:val="18"/>
              </w:rPr>
              <w:t>2012</w:t>
            </w:r>
          </w:p>
        </w:tc>
        <w:tc>
          <w:tcPr>
            <w:tcW w:w="333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48FB" w:rsidRPr="007448FB" w:rsidRDefault="007448FB">
            <w:pPr>
              <w:jc w:val="center"/>
              <w:rPr>
                <w:rFonts w:ascii="Arial" w:hAnsi="Arial" w:cs="Arial"/>
                <w:b/>
                <w:bCs/>
                <w:color w:val="000000"/>
                <w:sz w:val="18"/>
                <w:szCs w:val="18"/>
              </w:rPr>
            </w:pPr>
            <w:r w:rsidRPr="007448FB">
              <w:rPr>
                <w:rFonts w:ascii="Arial" w:hAnsi="Arial" w:cs="Arial"/>
                <w:b/>
                <w:bCs/>
                <w:color w:val="000000"/>
                <w:sz w:val="18"/>
                <w:szCs w:val="18"/>
              </w:rPr>
              <w:t>Change</w:t>
            </w:r>
          </w:p>
        </w:tc>
      </w:tr>
      <w:tr w:rsidR="007448FB" w:rsidTr="007448FB">
        <w:trPr>
          <w:trHeight w:val="285"/>
        </w:trPr>
        <w:tc>
          <w:tcPr>
            <w:tcW w:w="3866" w:type="dxa"/>
            <w:vMerge/>
            <w:tcBorders>
              <w:top w:val="nil"/>
              <w:left w:val="single" w:sz="4" w:space="0" w:color="auto"/>
              <w:bottom w:val="single" w:sz="4" w:space="0" w:color="000000"/>
              <w:right w:val="single" w:sz="4" w:space="0" w:color="auto"/>
            </w:tcBorders>
            <w:vAlign w:val="center"/>
            <w:hideMark/>
          </w:tcPr>
          <w:p w:rsidR="007448FB" w:rsidRPr="007448FB" w:rsidRDefault="007448FB">
            <w:pPr>
              <w:rPr>
                <w:rFonts w:ascii="Arial" w:hAnsi="Arial" w:cs="Arial"/>
                <w:b/>
                <w:bCs/>
                <w:color w:val="000000"/>
                <w:sz w:val="18"/>
                <w:szCs w:val="18"/>
              </w:rPr>
            </w:pPr>
          </w:p>
        </w:tc>
        <w:tc>
          <w:tcPr>
            <w:tcW w:w="1099" w:type="dxa"/>
            <w:vMerge/>
            <w:tcBorders>
              <w:top w:val="nil"/>
              <w:left w:val="single" w:sz="4" w:space="0" w:color="auto"/>
              <w:bottom w:val="single" w:sz="4" w:space="0" w:color="000000"/>
              <w:right w:val="single" w:sz="4" w:space="0" w:color="auto"/>
            </w:tcBorders>
            <w:vAlign w:val="center"/>
            <w:hideMark/>
          </w:tcPr>
          <w:p w:rsidR="007448FB" w:rsidRPr="007448FB" w:rsidRDefault="007448FB">
            <w:pPr>
              <w:rPr>
                <w:rFonts w:ascii="Arial" w:hAnsi="Arial" w:cs="Arial"/>
                <w:b/>
                <w:bCs/>
                <w:color w:val="00000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rsidR="007448FB" w:rsidRPr="007448FB" w:rsidRDefault="007448FB">
            <w:pPr>
              <w:rPr>
                <w:rFonts w:ascii="Arial" w:hAnsi="Arial" w:cs="Arial"/>
                <w:b/>
                <w:bCs/>
                <w:color w:val="000000"/>
                <w:sz w:val="18"/>
                <w:szCs w:val="18"/>
              </w:rPr>
            </w:pPr>
          </w:p>
        </w:tc>
        <w:tc>
          <w:tcPr>
            <w:tcW w:w="1170" w:type="dxa"/>
            <w:vMerge/>
            <w:tcBorders>
              <w:top w:val="nil"/>
              <w:left w:val="nil"/>
              <w:bottom w:val="single" w:sz="4" w:space="0" w:color="000000"/>
              <w:right w:val="nil"/>
            </w:tcBorders>
            <w:vAlign w:val="center"/>
            <w:hideMark/>
          </w:tcPr>
          <w:p w:rsidR="007448FB" w:rsidRPr="007448FB" w:rsidRDefault="007448FB">
            <w:pPr>
              <w:rPr>
                <w:rFonts w:ascii="Arial" w:hAnsi="Arial" w:cs="Arial"/>
                <w:b/>
                <w:bCs/>
                <w:color w:val="000000"/>
                <w:sz w:val="18"/>
                <w:szCs w:val="18"/>
              </w:rPr>
            </w:pP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7448FB" w:rsidRPr="007448FB" w:rsidRDefault="007448FB">
            <w:pPr>
              <w:jc w:val="center"/>
              <w:rPr>
                <w:rFonts w:ascii="Arial" w:hAnsi="Arial" w:cs="Arial"/>
                <w:b/>
                <w:bCs/>
                <w:color w:val="000000"/>
                <w:sz w:val="18"/>
                <w:szCs w:val="18"/>
              </w:rPr>
            </w:pPr>
            <w:r w:rsidRPr="007448FB">
              <w:rPr>
                <w:rFonts w:ascii="Arial" w:hAnsi="Arial" w:cs="Arial"/>
                <w:b/>
                <w:bCs/>
                <w:color w:val="000000"/>
                <w:sz w:val="18"/>
                <w:szCs w:val="18"/>
              </w:rPr>
              <w:t>2000-2007</w:t>
            </w:r>
          </w:p>
        </w:tc>
        <w:tc>
          <w:tcPr>
            <w:tcW w:w="1221" w:type="dxa"/>
            <w:tcBorders>
              <w:top w:val="nil"/>
              <w:left w:val="nil"/>
              <w:bottom w:val="single" w:sz="4" w:space="0" w:color="auto"/>
              <w:right w:val="nil"/>
            </w:tcBorders>
            <w:shd w:val="clear" w:color="auto" w:fill="auto"/>
            <w:noWrap/>
            <w:vAlign w:val="bottom"/>
            <w:hideMark/>
          </w:tcPr>
          <w:p w:rsidR="007448FB" w:rsidRPr="007448FB" w:rsidRDefault="007448FB">
            <w:pPr>
              <w:jc w:val="center"/>
              <w:rPr>
                <w:rFonts w:ascii="Arial" w:hAnsi="Arial" w:cs="Arial"/>
                <w:b/>
                <w:bCs/>
                <w:color w:val="000000"/>
                <w:sz w:val="18"/>
                <w:szCs w:val="18"/>
              </w:rPr>
            </w:pPr>
            <w:r w:rsidRPr="007448FB">
              <w:rPr>
                <w:rFonts w:ascii="Arial" w:hAnsi="Arial" w:cs="Arial"/>
                <w:b/>
                <w:bCs/>
                <w:color w:val="000000"/>
                <w:sz w:val="18"/>
                <w:szCs w:val="18"/>
              </w:rPr>
              <w:t>2007-2012</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7448FB" w:rsidRPr="007448FB" w:rsidRDefault="007448FB">
            <w:pPr>
              <w:jc w:val="center"/>
              <w:rPr>
                <w:rFonts w:ascii="Arial" w:hAnsi="Arial" w:cs="Arial"/>
                <w:b/>
                <w:bCs/>
                <w:color w:val="000000"/>
                <w:sz w:val="18"/>
                <w:szCs w:val="18"/>
              </w:rPr>
            </w:pPr>
            <w:r w:rsidRPr="007448FB">
              <w:rPr>
                <w:rFonts w:ascii="Arial" w:hAnsi="Arial" w:cs="Arial"/>
                <w:b/>
                <w:bCs/>
                <w:color w:val="000000"/>
                <w:sz w:val="18"/>
                <w:szCs w:val="18"/>
              </w:rPr>
              <w:t>2000-2012</w:t>
            </w:r>
          </w:p>
        </w:tc>
      </w:tr>
      <w:tr w:rsidR="007448FB" w:rsidTr="007448FB">
        <w:trPr>
          <w:trHeight w:val="300"/>
        </w:trPr>
        <w:tc>
          <w:tcPr>
            <w:tcW w:w="3866" w:type="dxa"/>
            <w:tcBorders>
              <w:top w:val="nil"/>
              <w:left w:val="single" w:sz="4" w:space="0" w:color="auto"/>
              <w:bottom w:val="nil"/>
              <w:right w:val="nil"/>
            </w:tcBorders>
            <w:shd w:val="clear" w:color="auto" w:fill="auto"/>
            <w:noWrap/>
            <w:vAlign w:val="bottom"/>
            <w:hideMark/>
          </w:tcPr>
          <w:p w:rsidR="007448FB" w:rsidRPr="007448FB" w:rsidRDefault="007448FB">
            <w:pPr>
              <w:rPr>
                <w:rFonts w:ascii="Arial" w:hAnsi="Arial" w:cs="Arial"/>
                <w:b/>
                <w:bCs/>
                <w:color w:val="000000"/>
                <w:sz w:val="18"/>
                <w:szCs w:val="18"/>
              </w:rPr>
            </w:pPr>
            <w:r w:rsidRPr="007448FB">
              <w:rPr>
                <w:rFonts w:ascii="Arial" w:hAnsi="Arial" w:cs="Arial"/>
                <w:b/>
                <w:bCs/>
                <w:color w:val="000000"/>
                <w:sz w:val="18"/>
                <w:szCs w:val="18"/>
              </w:rPr>
              <w:t>Labor Force Participation Rate</w:t>
            </w:r>
          </w:p>
        </w:tc>
        <w:tc>
          <w:tcPr>
            <w:tcW w:w="1099"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200" w:firstLine="360"/>
              <w:jc w:val="right"/>
              <w:rPr>
                <w:rFonts w:ascii="Arial" w:hAnsi="Arial" w:cs="Arial"/>
                <w:color w:val="000000"/>
                <w:sz w:val="18"/>
                <w:szCs w:val="18"/>
              </w:rPr>
            </w:pPr>
            <w:r w:rsidRPr="007448FB">
              <w:rPr>
                <w:rFonts w:ascii="Arial" w:hAnsi="Arial" w:cs="Arial"/>
                <w:color w:val="000000"/>
                <w:sz w:val="18"/>
                <w:szCs w:val="18"/>
              </w:rPr>
              <w:t> </w:t>
            </w:r>
          </w:p>
        </w:tc>
        <w:tc>
          <w:tcPr>
            <w:tcW w:w="1080" w:type="dxa"/>
            <w:tcBorders>
              <w:top w:val="nil"/>
              <w:left w:val="nil"/>
              <w:bottom w:val="nil"/>
              <w:right w:val="single" w:sz="4" w:space="0" w:color="auto"/>
            </w:tcBorders>
            <w:shd w:val="clear" w:color="auto" w:fill="auto"/>
            <w:noWrap/>
            <w:vAlign w:val="bottom"/>
            <w:hideMark/>
          </w:tcPr>
          <w:p w:rsidR="007448FB" w:rsidRPr="007448FB" w:rsidRDefault="007448FB">
            <w:pPr>
              <w:rPr>
                <w:rFonts w:ascii="Arial" w:hAnsi="Arial" w:cs="Arial"/>
                <w:color w:val="000000"/>
                <w:sz w:val="18"/>
                <w:szCs w:val="18"/>
              </w:rPr>
            </w:pPr>
            <w:r w:rsidRPr="007448FB">
              <w:rPr>
                <w:rFonts w:ascii="Arial" w:hAnsi="Arial" w:cs="Arial"/>
                <w:color w:val="000000"/>
                <w:sz w:val="18"/>
                <w:szCs w:val="18"/>
              </w:rPr>
              <w:t> </w:t>
            </w:r>
          </w:p>
        </w:tc>
        <w:tc>
          <w:tcPr>
            <w:tcW w:w="1170" w:type="dxa"/>
            <w:tcBorders>
              <w:top w:val="nil"/>
              <w:left w:val="nil"/>
              <w:bottom w:val="nil"/>
              <w:right w:val="nil"/>
            </w:tcBorders>
            <w:shd w:val="clear" w:color="auto" w:fill="auto"/>
            <w:noWrap/>
            <w:vAlign w:val="bottom"/>
            <w:hideMark/>
          </w:tcPr>
          <w:p w:rsidR="007448FB" w:rsidRPr="007448FB" w:rsidRDefault="007448FB">
            <w:pPr>
              <w:rPr>
                <w:rFonts w:ascii="Arial" w:hAnsi="Arial" w:cs="Arial"/>
                <w:color w:val="000000"/>
                <w:sz w:val="18"/>
                <w:szCs w:val="18"/>
              </w:rPr>
            </w:pPr>
            <w:r w:rsidRPr="007448FB">
              <w:rPr>
                <w:rFonts w:ascii="Arial" w:hAnsi="Arial" w:cs="Arial"/>
                <w:color w:val="000000"/>
                <w:sz w:val="18"/>
                <w:szCs w:val="18"/>
              </w:rPr>
              <w:t> </w:t>
            </w:r>
          </w:p>
        </w:tc>
        <w:tc>
          <w:tcPr>
            <w:tcW w:w="891"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pPr>
              <w:rPr>
                <w:rFonts w:ascii="Arial" w:hAnsi="Arial" w:cs="Arial"/>
                <w:color w:val="000000"/>
                <w:sz w:val="18"/>
                <w:szCs w:val="18"/>
              </w:rPr>
            </w:pPr>
            <w:r w:rsidRPr="007448FB">
              <w:rPr>
                <w:rFonts w:ascii="Arial" w:hAnsi="Arial" w:cs="Arial"/>
                <w:color w:val="000000"/>
                <w:sz w:val="18"/>
                <w:szCs w:val="18"/>
              </w:rPr>
              <w:t> </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pPr>
              <w:rPr>
                <w:rFonts w:ascii="Arial" w:hAnsi="Arial" w:cs="Arial"/>
                <w:color w:val="000000"/>
                <w:sz w:val="18"/>
                <w:szCs w:val="18"/>
              </w:rPr>
            </w:pPr>
            <w:r w:rsidRPr="007448FB">
              <w:rPr>
                <w:rFonts w:ascii="Arial" w:hAnsi="Arial" w:cs="Arial"/>
                <w:color w:val="000000"/>
                <w:sz w:val="18"/>
                <w:szCs w:val="18"/>
              </w:rPr>
              <w:t> </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pPr>
              <w:rPr>
                <w:rFonts w:ascii="Arial" w:hAnsi="Arial" w:cs="Arial"/>
                <w:color w:val="000000"/>
                <w:sz w:val="18"/>
                <w:szCs w:val="18"/>
              </w:rPr>
            </w:pPr>
            <w:r w:rsidRPr="007448FB">
              <w:rPr>
                <w:rFonts w:ascii="Arial" w:hAnsi="Arial" w:cs="Arial"/>
                <w:color w:val="000000"/>
                <w:sz w:val="18"/>
                <w:szCs w:val="18"/>
              </w:rPr>
              <w:t> </w:t>
            </w:r>
          </w:p>
        </w:tc>
      </w:tr>
      <w:tr w:rsidR="007448FB" w:rsidTr="007448FB">
        <w:trPr>
          <w:trHeight w:val="285"/>
        </w:trPr>
        <w:tc>
          <w:tcPr>
            <w:tcW w:w="3866" w:type="dxa"/>
            <w:tcBorders>
              <w:top w:val="nil"/>
              <w:left w:val="single" w:sz="4" w:space="0" w:color="auto"/>
              <w:bottom w:val="nil"/>
              <w:right w:val="nil"/>
            </w:tcBorders>
            <w:shd w:val="clear" w:color="auto" w:fill="auto"/>
            <w:noWrap/>
            <w:vAlign w:val="bottom"/>
            <w:hideMark/>
          </w:tcPr>
          <w:p w:rsidR="007448FB" w:rsidRPr="007448FB" w:rsidRDefault="007448FB">
            <w:pPr>
              <w:rPr>
                <w:rFonts w:ascii="Arial" w:hAnsi="Arial" w:cs="Arial"/>
                <w:color w:val="000000"/>
                <w:sz w:val="18"/>
                <w:szCs w:val="18"/>
              </w:rPr>
            </w:pPr>
            <w:r w:rsidRPr="007448FB">
              <w:rPr>
                <w:rFonts w:ascii="Arial" w:hAnsi="Arial" w:cs="Arial"/>
                <w:color w:val="000000"/>
                <w:sz w:val="18"/>
                <w:szCs w:val="18"/>
              </w:rPr>
              <w:t>16-24</w:t>
            </w:r>
          </w:p>
        </w:tc>
        <w:tc>
          <w:tcPr>
            <w:tcW w:w="1099"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69.1%</w:t>
            </w:r>
          </w:p>
        </w:tc>
        <w:tc>
          <w:tcPr>
            <w:tcW w:w="1080"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64.5%</w:t>
            </w:r>
          </w:p>
        </w:tc>
        <w:tc>
          <w:tcPr>
            <w:tcW w:w="1170" w:type="dxa"/>
            <w:tcBorders>
              <w:top w:val="nil"/>
              <w:left w:val="nil"/>
              <w:bottom w:val="nil"/>
              <w:right w:val="nil"/>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62.7%</w:t>
            </w:r>
          </w:p>
        </w:tc>
        <w:tc>
          <w:tcPr>
            <w:tcW w:w="891"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-4.6%</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-1.8%</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-6.4%</w:t>
            </w:r>
          </w:p>
        </w:tc>
      </w:tr>
      <w:tr w:rsidR="007448FB" w:rsidTr="007448FB">
        <w:trPr>
          <w:trHeight w:val="300"/>
        </w:trPr>
        <w:tc>
          <w:tcPr>
            <w:tcW w:w="3866" w:type="dxa"/>
            <w:tcBorders>
              <w:top w:val="nil"/>
              <w:left w:val="single" w:sz="4" w:space="0" w:color="auto"/>
              <w:bottom w:val="nil"/>
              <w:right w:val="nil"/>
            </w:tcBorders>
            <w:shd w:val="clear" w:color="auto" w:fill="auto"/>
            <w:noWrap/>
            <w:vAlign w:val="bottom"/>
            <w:hideMark/>
          </w:tcPr>
          <w:p w:rsidR="007448FB" w:rsidRPr="007448FB" w:rsidRDefault="007448FB">
            <w:pPr>
              <w:rPr>
                <w:rFonts w:ascii="Arial" w:hAnsi="Arial" w:cs="Arial"/>
                <w:color w:val="000000"/>
                <w:sz w:val="18"/>
                <w:szCs w:val="18"/>
              </w:rPr>
            </w:pPr>
            <w:r w:rsidRPr="007448FB">
              <w:rPr>
                <w:rFonts w:ascii="Arial" w:hAnsi="Arial" w:cs="Arial"/>
                <w:color w:val="000000"/>
                <w:sz w:val="18"/>
                <w:szCs w:val="18"/>
              </w:rPr>
              <w:t>25-54</w:t>
            </w:r>
          </w:p>
        </w:tc>
        <w:tc>
          <w:tcPr>
            <w:tcW w:w="1099"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86.0%</w:t>
            </w:r>
          </w:p>
        </w:tc>
        <w:tc>
          <w:tcPr>
            <w:tcW w:w="1080"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84.3%</w:t>
            </w:r>
          </w:p>
        </w:tc>
        <w:tc>
          <w:tcPr>
            <w:tcW w:w="1170" w:type="dxa"/>
            <w:tcBorders>
              <w:top w:val="nil"/>
              <w:left w:val="nil"/>
              <w:bottom w:val="nil"/>
              <w:right w:val="nil"/>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82.3%</w:t>
            </w:r>
          </w:p>
        </w:tc>
        <w:tc>
          <w:tcPr>
            <w:tcW w:w="891"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-1.7%</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-2.0%</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-3.7%</w:t>
            </w:r>
          </w:p>
        </w:tc>
      </w:tr>
      <w:tr w:rsidR="007448FB" w:rsidTr="007448FB">
        <w:trPr>
          <w:trHeight w:val="285"/>
        </w:trPr>
        <w:tc>
          <w:tcPr>
            <w:tcW w:w="3866" w:type="dxa"/>
            <w:tcBorders>
              <w:top w:val="nil"/>
              <w:left w:val="single" w:sz="4" w:space="0" w:color="auto"/>
              <w:bottom w:val="nil"/>
              <w:right w:val="nil"/>
            </w:tcBorders>
            <w:shd w:val="clear" w:color="auto" w:fill="auto"/>
            <w:noWrap/>
            <w:vAlign w:val="bottom"/>
            <w:hideMark/>
          </w:tcPr>
          <w:p w:rsidR="007448FB" w:rsidRPr="007448FB" w:rsidRDefault="007448FB">
            <w:pPr>
              <w:rPr>
                <w:rFonts w:ascii="Arial" w:hAnsi="Arial" w:cs="Arial"/>
                <w:color w:val="000000"/>
                <w:sz w:val="18"/>
                <w:szCs w:val="18"/>
              </w:rPr>
            </w:pPr>
            <w:r w:rsidRPr="007448FB">
              <w:rPr>
                <w:rFonts w:ascii="Arial" w:hAnsi="Arial" w:cs="Arial"/>
                <w:color w:val="000000"/>
                <w:sz w:val="18"/>
                <w:szCs w:val="18"/>
              </w:rPr>
              <w:t>55 and over</w:t>
            </w:r>
          </w:p>
        </w:tc>
        <w:tc>
          <w:tcPr>
            <w:tcW w:w="1099"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34.7%</w:t>
            </w:r>
          </w:p>
        </w:tc>
        <w:tc>
          <w:tcPr>
            <w:tcW w:w="1080"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39.6%</w:t>
            </w:r>
          </w:p>
        </w:tc>
        <w:tc>
          <w:tcPr>
            <w:tcW w:w="1170" w:type="dxa"/>
            <w:tcBorders>
              <w:top w:val="nil"/>
              <w:left w:val="nil"/>
              <w:bottom w:val="nil"/>
              <w:right w:val="nil"/>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44.1%</w:t>
            </w:r>
          </w:p>
        </w:tc>
        <w:tc>
          <w:tcPr>
            <w:tcW w:w="891"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4.9%</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4.5%</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9.4%</w:t>
            </w:r>
          </w:p>
        </w:tc>
      </w:tr>
      <w:tr w:rsidR="007448FB" w:rsidTr="007448FB">
        <w:trPr>
          <w:trHeight w:val="300"/>
        </w:trPr>
        <w:tc>
          <w:tcPr>
            <w:tcW w:w="3866" w:type="dxa"/>
            <w:tcBorders>
              <w:top w:val="nil"/>
              <w:left w:val="single" w:sz="4" w:space="0" w:color="auto"/>
              <w:bottom w:val="nil"/>
              <w:right w:val="nil"/>
            </w:tcBorders>
            <w:shd w:val="clear" w:color="auto" w:fill="auto"/>
            <w:noWrap/>
            <w:vAlign w:val="bottom"/>
            <w:hideMark/>
          </w:tcPr>
          <w:p w:rsidR="007448FB" w:rsidRPr="007448FB" w:rsidRDefault="007448FB">
            <w:pPr>
              <w:rPr>
                <w:rFonts w:ascii="Arial" w:hAnsi="Arial" w:cs="Arial"/>
                <w:b/>
                <w:bCs/>
                <w:color w:val="000000"/>
                <w:sz w:val="18"/>
                <w:szCs w:val="18"/>
              </w:rPr>
            </w:pPr>
            <w:r w:rsidRPr="007448FB">
              <w:rPr>
                <w:rFonts w:ascii="Arial" w:hAnsi="Arial" w:cs="Arial"/>
                <w:b/>
                <w:bCs/>
                <w:color w:val="000000"/>
                <w:sz w:val="18"/>
                <w:szCs w:val="18"/>
              </w:rPr>
              <w:t>Unemployment Rate</w:t>
            </w:r>
          </w:p>
        </w:tc>
        <w:tc>
          <w:tcPr>
            <w:tcW w:w="1099"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p>
        </w:tc>
        <w:tc>
          <w:tcPr>
            <w:tcW w:w="1080"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p>
        </w:tc>
        <w:tc>
          <w:tcPr>
            <w:tcW w:w="1170" w:type="dxa"/>
            <w:tcBorders>
              <w:top w:val="nil"/>
              <w:left w:val="nil"/>
              <w:bottom w:val="nil"/>
              <w:right w:val="nil"/>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p>
        </w:tc>
        <w:tc>
          <w:tcPr>
            <w:tcW w:w="891"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p>
        </w:tc>
      </w:tr>
      <w:tr w:rsidR="007448FB" w:rsidTr="007448FB">
        <w:trPr>
          <w:trHeight w:val="285"/>
        </w:trPr>
        <w:tc>
          <w:tcPr>
            <w:tcW w:w="3866" w:type="dxa"/>
            <w:tcBorders>
              <w:top w:val="nil"/>
              <w:left w:val="single" w:sz="4" w:space="0" w:color="auto"/>
              <w:bottom w:val="nil"/>
              <w:right w:val="nil"/>
            </w:tcBorders>
            <w:shd w:val="clear" w:color="auto" w:fill="auto"/>
            <w:noWrap/>
            <w:vAlign w:val="bottom"/>
            <w:hideMark/>
          </w:tcPr>
          <w:p w:rsidR="007448FB" w:rsidRPr="007448FB" w:rsidRDefault="007448FB">
            <w:pPr>
              <w:rPr>
                <w:rFonts w:ascii="Arial" w:hAnsi="Arial" w:cs="Arial"/>
                <w:color w:val="000000"/>
                <w:sz w:val="18"/>
                <w:szCs w:val="18"/>
              </w:rPr>
            </w:pPr>
            <w:r w:rsidRPr="007448FB">
              <w:rPr>
                <w:rFonts w:ascii="Arial" w:hAnsi="Arial" w:cs="Arial"/>
                <w:color w:val="000000"/>
                <w:sz w:val="18"/>
                <w:szCs w:val="18"/>
              </w:rPr>
              <w:t>16-24</w:t>
            </w:r>
          </w:p>
        </w:tc>
        <w:tc>
          <w:tcPr>
            <w:tcW w:w="1099"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8.3%</w:t>
            </w:r>
          </w:p>
        </w:tc>
        <w:tc>
          <w:tcPr>
            <w:tcW w:w="1080"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11.2%</w:t>
            </w:r>
          </w:p>
        </w:tc>
        <w:tc>
          <w:tcPr>
            <w:tcW w:w="1170" w:type="dxa"/>
            <w:tcBorders>
              <w:top w:val="nil"/>
              <w:left w:val="nil"/>
              <w:bottom w:val="nil"/>
              <w:right w:val="nil"/>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16.7%</w:t>
            </w:r>
          </w:p>
        </w:tc>
        <w:tc>
          <w:tcPr>
            <w:tcW w:w="891"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2.9%</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5.5%</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8.4%</w:t>
            </w:r>
          </w:p>
        </w:tc>
      </w:tr>
      <w:tr w:rsidR="007448FB" w:rsidTr="007448FB">
        <w:trPr>
          <w:trHeight w:val="285"/>
        </w:trPr>
        <w:tc>
          <w:tcPr>
            <w:tcW w:w="3866" w:type="dxa"/>
            <w:tcBorders>
              <w:top w:val="nil"/>
              <w:left w:val="single" w:sz="4" w:space="0" w:color="auto"/>
              <w:bottom w:val="nil"/>
              <w:right w:val="nil"/>
            </w:tcBorders>
            <w:shd w:val="clear" w:color="auto" w:fill="auto"/>
            <w:noWrap/>
            <w:vAlign w:val="bottom"/>
            <w:hideMark/>
          </w:tcPr>
          <w:p w:rsidR="007448FB" w:rsidRPr="007448FB" w:rsidRDefault="007448FB">
            <w:pPr>
              <w:rPr>
                <w:rFonts w:ascii="Arial" w:hAnsi="Arial" w:cs="Arial"/>
                <w:color w:val="000000"/>
                <w:sz w:val="18"/>
                <w:szCs w:val="18"/>
              </w:rPr>
            </w:pPr>
            <w:r w:rsidRPr="007448FB">
              <w:rPr>
                <w:rFonts w:ascii="Arial" w:hAnsi="Arial" w:cs="Arial"/>
                <w:color w:val="000000"/>
                <w:sz w:val="18"/>
                <w:szCs w:val="18"/>
              </w:rPr>
              <w:t>25-54</w:t>
            </w:r>
          </w:p>
        </w:tc>
        <w:tc>
          <w:tcPr>
            <w:tcW w:w="1099"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2.6%</w:t>
            </w:r>
          </w:p>
        </w:tc>
        <w:tc>
          <w:tcPr>
            <w:tcW w:w="1080"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3.9%</w:t>
            </w:r>
          </w:p>
        </w:tc>
        <w:tc>
          <w:tcPr>
            <w:tcW w:w="1170" w:type="dxa"/>
            <w:tcBorders>
              <w:top w:val="nil"/>
              <w:left w:val="nil"/>
              <w:bottom w:val="nil"/>
              <w:right w:val="nil"/>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6.6%</w:t>
            </w:r>
          </w:p>
        </w:tc>
        <w:tc>
          <w:tcPr>
            <w:tcW w:w="891"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1.3%</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2.7%</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4.0%</w:t>
            </w:r>
          </w:p>
        </w:tc>
      </w:tr>
      <w:tr w:rsidR="007448FB" w:rsidTr="007448FB">
        <w:trPr>
          <w:trHeight w:val="240"/>
        </w:trPr>
        <w:tc>
          <w:tcPr>
            <w:tcW w:w="3866" w:type="dxa"/>
            <w:tcBorders>
              <w:top w:val="nil"/>
              <w:left w:val="single" w:sz="4" w:space="0" w:color="auto"/>
              <w:bottom w:val="nil"/>
              <w:right w:val="nil"/>
            </w:tcBorders>
            <w:shd w:val="clear" w:color="auto" w:fill="auto"/>
            <w:noWrap/>
            <w:vAlign w:val="bottom"/>
            <w:hideMark/>
          </w:tcPr>
          <w:p w:rsidR="007448FB" w:rsidRPr="007448FB" w:rsidRDefault="007448FB">
            <w:pPr>
              <w:rPr>
                <w:rFonts w:ascii="Arial" w:hAnsi="Arial" w:cs="Arial"/>
                <w:color w:val="000000"/>
                <w:sz w:val="18"/>
                <w:szCs w:val="18"/>
              </w:rPr>
            </w:pPr>
            <w:r w:rsidRPr="007448FB">
              <w:rPr>
                <w:rFonts w:ascii="Arial" w:hAnsi="Arial" w:cs="Arial"/>
                <w:color w:val="000000"/>
                <w:sz w:val="18"/>
                <w:szCs w:val="18"/>
              </w:rPr>
              <w:t>55 and over</w:t>
            </w:r>
          </w:p>
        </w:tc>
        <w:tc>
          <w:tcPr>
            <w:tcW w:w="1099"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3.0%</w:t>
            </w:r>
          </w:p>
        </w:tc>
        <w:tc>
          <w:tcPr>
            <w:tcW w:w="1080"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2.8%</w:t>
            </w:r>
          </w:p>
        </w:tc>
        <w:tc>
          <w:tcPr>
            <w:tcW w:w="1170" w:type="dxa"/>
            <w:tcBorders>
              <w:top w:val="nil"/>
              <w:left w:val="nil"/>
              <w:bottom w:val="nil"/>
              <w:right w:val="nil"/>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5.5%</w:t>
            </w:r>
          </w:p>
        </w:tc>
        <w:tc>
          <w:tcPr>
            <w:tcW w:w="891"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-0.2%</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2.7%</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2.5%</w:t>
            </w:r>
          </w:p>
        </w:tc>
      </w:tr>
      <w:tr w:rsidR="007448FB" w:rsidTr="007448FB">
        <w:trPr>
          <w:trHeight w:val="240"/>
        </w:trPr>
        <w:tc>
          <w:tcPr>
            <w:tcW w:w="3866" w:type="dxa"/>
            <w:tcBorders>
              <w:top w:val="nil"/>
              <w:left w:val="single" w:sz="4" w:space="0" w:color="auto"/>
              <w:bottom w:val="nil"/>
              <w:right w:val="nil"/>
            </w:tcBorders>
            <w:shd w:val="clear" w:color="auto" w:fill="auto"/>
            <w:noWrap/>
            <w:vAlign w:val="bottom"/>
            <w:hideMark/>
          </w:tcPr>
          <w:p w:rsidR="007448FB" w:rsidRPr="007448FB" w:rsidRDefault="007448FB">
            <w:pPr>
              <w:rPr>
                <w:rFonts w:ascii="Arial" w:hAnsi="Arial" w:cs="Arial"/>
                <w:b/>
                <w:bCs/>
                <w:color w:val="000000"/>
                <w:sz w:val="18"/>
                <w:szCs w:val="18"/>
              </w:rPr>
            </w:pPr>
            <w:r w:rsidRPr="007448FB">
              <w:rPr>
                <w:rFonts w:ascii="Arial" w:hAnsi="Arial" w:cs="Arial"/>
                <w:b/>
                <w:bCs/>
                <w:color w:val="000000"/>
                <w:sz w:val="18"/>
                <w:szCs w:val="18"/>
              </w:rPr>
              <w:t>Employment to Population Ratio</w:t>
            </w:r>
          </w:p>
        </w:tc>
        <w:tc>
          <w:tcPr>
            <w:tcW w:w="1099"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p>
        </w:tc>
        <w:tc>
          <w:tcPr>
            <w:tcW w:w="1080"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p>
        </w:tc>
        <w:tc>
          <w:tcPr>
            <w:tcW w:w="1170" w:type="dxa"/>
            <w:tcBorders>
              <w:top w:val="nil"/>
              <w:left w:val="nil"/>
              <w:bottom w:val="nil"/>
              <w:right w:val="nil"/>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p>
        </w:tc>
        <w:tc>
          <w:tcPr>
            <w:tcW w:w="891"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p>
        </w:tc>
      </w:tr>
      <w:tr w:rsidR="007448FB" w:rsidTr="007448FB">
        <w:trPr>
          <w:trHeight w:val="240"/>
        </w:trPr>
        <w:tc>
          <w:tcPr>
            <w:tcW w:w="3866" w:type="dxa"/>
            <w:tcBorders>
              <w:top w:val="nil"/>
              <w:left w:val="single" w:sz="4" w:space="0" w:color="auto"/>
              <w:bottom w:val="nil"/>
              <w:right w:val="nil"/>
            </w:tcBorders>
            <w:shd w:val="clear" w:color="auto" w:fill="auto"/>
            <w:noWrap/>
            <w:vAlign w:val="bottom"/>
            <w:hideMark/>
          </w:tcPr>
          <w:p w:rsidR="007448FB" w:rsidRPr="007448FB" w:rsidRDefault="007448FB">
            <w:pPr>
              <w:rPr>
                <w:rFonts w:ascii="Arial" w:hAnsi="Arial" w:cs="Arial"/>
                <w:color w:val="000000"/>
                <w:sz w:val="18"/>
                <w:szCs w:val="18"/>
              </w:rPr>
            </w:pPr>
            <w:r w:rsidRPr="007448FB">
              <w:rPr>
                <w:rFonts w:ascii="Arial" w:hAnsi="Arial" w:cs="Arial"/>
                <w:color w:val="000000"/>
                <w:sz w:val="18"/>
                <w:szCs w:val="18"/>
              </w:rPr>
              <w:t>16-24</w:t>
            </w:r>
          </w:p>
        </w:tc>
        <w:tc>
          <w:tcPr>
            <w:tcW w:w="1099"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63.3%</w:t>
            </w:r>
          </w:p>
        </w:tc>
        <w:tc>
          <w:tcPr>
            <w:tcW w:w="1080"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56.6%</w:t>
            </w:r>
          </w:p>
        </w:tc>
        <w:tc>
          <w:tcPr>
            <w:tcW w:w="1170" w:type="dxa"/>
            <w:tcBorders>
              <w:top w:val="nil"/>
              <w:left w:val="nil"/>
              <w:bottom w:val="nil"/>
              <w:right w:val="nil"/>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52.4%</w:t>
            </w:r>
          </w:p>
        </w:tc>
        <w:tc>
          <w:tcPr>
            <w:tcW w:w="891" w:type="dxa"/>
            <w:tcBorders>
              <w:top w:val="nil"/>
              <w:left w:val="single" w:sz="4" w:space="0" w:color="auto"/>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-6.7%</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-4.2%</w:t>
            </w:r>
          </w:p>
        </w:tc>
        <w:tc>
          <w:tcPr>
            <w:tcW w:w="1221" w:type="dxa"/>
            <w:tcBorders>
              <w:top w:val="nil"/>
              <w:left w:val="nil"/>
              <w:bottom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-10.9%</w:t>
            </w:r>
          </w:p>
        </w:tc>
      </w:tr>
      <w:tr w:rsidR="007448FB" w:rsidTr="00D006A2">
        <w:trPr>
          <w:trHeight w:val="285"/>
        </w:trPr>
        <w:tc>
          <w:tcPr>
            <w:tcW w:w="3866" w:type="dxa"/>
            <w:tcBorders>
              <w:top w:val="nil"/>
              <w:left w:val="single" w:sz="4" w:space="0" w:color="auto"/>
              <w:right w:val="nil"/>
            </w:tcBorders>
            <w:shd w:val="clear" w:color="auto" w:fill="auto"/>
            <w:noWrap/>
            <w:vAlign w:val="bottom"/>
            <w:hideMark/>
          </w:tcPr>
          <w:p w:rsidR="007448FB" w:rsidRPr="007448FB" w:rsidRDefault="007448FB">
            <w:pPr>
              <w:rPr>
                <w:rFonts w:ascii="Arial" w:hAnsi="Arial" w:cs="Arial"/>
                <w:color w:val="000000"/>
                <w:sz w:val="18"/>
                <w:szCs w:val="18"/>
              </w:rPr>
            </w:pPr>
            <w:r w:rsidRPr="007448FB">
              <w:rPr>
                <w:rFonts w:ascii="Arial" w:hAnsi="Arial" w:cs="Arial"/>
                <w:color w:val="000000"/>
                <w:sz w:val="18"/>
                <w:szCs w:val="18"/>
              </w:rPr>
              <w:t>25-54</w:t>
            </w:r>
          </w:p>
        </w:tc>
        <w:tc>
          <w:tcPr>
            <w:tcW w:w="1099" w:type="dxa"/>
            <w:tcBorders>
              <w:top w:val="nil"/>
              <w:left w:val="single" w:sz="4" w:space="0" w:color="auto"/>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83.9%</w:t>
            </w:r>
          </w:p>
        </w:tc>
        <w:tc>
          <w:tcPr>
            <w:tcW w:w="1080" w:type="dxa"/>
            <w:tcBorders>
              <w:top w:val="nil"/>
              <w:left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81.1%</w:t>
            </w:r>
          </w:p>
        </w:tc>
        <w:tc>
          <w:tcPr>
            <w:tcW w:w="1170" w:type="dxa"/>
            <w:tcBorders>
              <w:top w:val="nil"/>
              <w:left w:val="nil"/>
              <w:right w:val="nil"/>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76.8%</w:t>
            </w:r>
          </w:p>
        </w:tc>
        <w:tc>
          <w:tcPr>
            <w:tcW w:w="891" w:type="dxa"/>
            <w:tcBorders>
              <w:top w:val="nil"/>
              <w:left w:val="single" w:sz="4" w:space="0" w:color="auto"/>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-2.8%</w:t>
            </w:r>
          </w:p>
        </w:tc>
        <w:tc>
          <w:tcPr>
            <w:tcW w:w="1221" w:type="dxa"/>
            <w:tcBorders>
              <w:top w:val="nil"/>
              <w:left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-4.3%</w:t>
            </w:r>
          </w:p>
        </w:tc>
        <w:tc>
          <w:tcPr>
            <w:tcW w:w="1221" w:type="dxa"/>
            <w:tcBorders>
              <w:top w:val="nil"/>
              <w:left w:val="nil"/>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-7.1%</w:t>
            </w:r>
          </w:p>
        </w:tc>
      </w:tr>
      <w:tr w:rsidR="007448FB" w:rsidTr="00D006A2">
        <w:trPr>
          <w:trHeight w:val="285"/>
        </w:trPr>
        <w:tc>
          <w:tcPr>
            <w:tcW w:w="3866" w:type="dxa"/>
            <w:tcBorders>
              <w:top w:val="nil"/>
              <w:left w:val="single" w:sz="4" w:space="0" w:color="auto"/>
              <w:bottom w:val="single" w:sz="4" w:space="0" w:color="auto"/>
              <w:right w:val="nil"/>
            </w:tcBorders>
            <w:shd w:val="clear" w:color="auto" w:fill="auto"/>
            <w:noWrap/>
            <w:vAlign w:val="bottom"/>
            <w:hideMark/>
          </w:tcPr>
          <w:p w:rsidR="007448FB" w:rsidRPr="007448FB" w:rsidRDefault="007448FB">
            <w:pPr>
              <w:rPr>
                <w:rFonts w:ascii="Arial" w:hAnsi="Arial" w:cs="Arial"/>
                <w:color w:val="000000"/>
                <w:sz w:val="18"/>
                <w:szCs w:val="18"/>
              </w:rPr>
            </w:pPr>
            <w:r w:rsidRPr="007448FB">
              <w:rPr>
                <w:rFonts w:ascii="Arial" w:hAnsi="Arial" w:cs="Arial"/>
                <w:color w:val="000000"/>
                <w:sz w:val="18"/>
                <w:szCs w:val="18"/>
              </w:rPr>
              <w:t>55 and over</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33.7%</w:t>
            </w:r>
          </w:p>
        </w:tc>
        <w:tc>
          <w:tcPr>
            <w:tcW w:w="1080" w:type="dxa"/>
            <w:tcBorders>
              <w:top w:val="nil"/>
              <w:left w:val="nil"/>
              <w:bottom w:val="single" w:sz="4" w:space="0" w:color="auto"/>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38.5%</w:t>
            </w:r>
          </w:p>
        </w:tc>
        <w:tc>
          <w:tcPr>
            <w:tcW w:w="1170" w:type="dxa"/>
            <w:tcBorders>
              <w:top w:val="nil"/>
              <w:left w:val="nil"/>
              <w:bottom w:val="single" w:sz="4" w:space="0" w:color="auto"/>
              <w:right w:val="nil"/>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sidRPr="007448FB">
              <w:rPr>
                <w:rFonts w:ascii="Arial" w:hAnsi="Arial" w:cs="Arial"/>
                <w:color w:val="000000"/>
                <w:sz w:val="18"/>
                <w:szCs w:val="18"/>
              </w:rPr>
              <w:t>41.7%</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4.8%</w:t>
            </w:r>
          </w:p>
        </w:tc>
        <w:tc>
          <w:tcPr>
            <w:tcW w:w="1221" w:type="dxa"/>
            <w:tcBorders>
              <w:top w:val="nil"/>
              <w:left w:val="nil"/>
              <w:bottom w:val="single" w:sz="4" w:space="0" w:color="auto"/>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3.2%</w:t>
            </w:r>
          </w:p>
        </w:tc>
        <w:tc>
          <w:tcPr>
            <w:tcW w:w="1221" w:type="dxa"/>
            <w:tcBorders>
              <w:top w:val="nil"/>
              <w:left w:val="nil"/>
              <w:bottom w:val="single" w:sz="4" w:space="0" w:color="auto"/>
              <w:right w:val="single" w:sz="4" w:space="0" w:color="auto"/>
            </w:tcBorders>
            <w:shd w:val="clear" w:color="auto" w:fill="auto"/>
            <w:noWrap/>
            <w:vAlign w:val="bottom"/>
            <w:hideMark/>
          </w:tcPr>
          <w:p w:rsidR="007448FB" w:rsidRPr="007448FB" w:rsidRDefault="007448FB" w:rsidP="007448FB">
            <w:pPr>
              <w:ind w:firstLineChars="100" w:firstLine="180"/>
              <w:jc w:val="center"/>
              <w:rPr>
                <w:rFonts w:ascii="Arial" w:hAnsi="Arial" w:cs="Arial"/>
                <w:color w:val="000000"/>
                <w:sz w:val="18"/>
                <w:szCs w:val="18"/>
              </w:rPr>
            </w:pPr>
            <w:r>
              <w:rPr>
                <w:rFonts w:ascii="Arial" w:hAnsi="Arial" w:cs="Arial"/>
                <w:color w:val="000000"/>
                <w:sz w:val="18"/>
                <w:szCs w:val="18"/>
              </w:rPr>
              <w:t xml:space="preserve">  </w:t>
            </w:r>
            <w:r w:rsidRPr="007448FB">
              <w:rPr>
                <w:rFonts w:ascii="Arial" w:hAnsi="Arial" w:cs="Arial"/>
                <w:color w:val="000000"/>
                <w:sz w:val="18"/>
                <w:szCs w:val="18"/>
              </w:rPr>
              <w:t>8.0%</w:t>
            </w:r>
          </w:p>
        </w:tc>
      </w:tr>
      <w:tr w:rsidR="007448FB" w:rsidTr="00D006A2">
        <w:trPr>
          <w:trHeight w:val="300"/>
        </w:trPr>
        <w:tc>
          <w:tcPr>
            <w:tcW w:w="3866" w:type="dxa"/>
            <w:tcBorders>
              <w:top w:val="single" w:sz="4" w:space="0" w:color="auto"/>
              <w:bottom w:val="nil"/>
              <w:right w:val="nil"/>
            </w:tcBorders>
            <w:shd w:val="clear" w:color="auto" w:fill="auto"/>
            <w:noWrap/>
            <w:vAlign w:val="bottom"/>
            <w:hideMark/>
          </w:tcPr>
          <w:p w:rsidR="007448FB" w:rsidRPr="007448FB" w:rsidRDefault="007448FB">
            <w:pPr>
              <w:rPr>
                <w:rFonts w:ascii="Arial" w:hAnsi="Arial" w:cs="Arial"/>
                <w:color w:val="000000"/>
                <w:sz w:val="14"/>
                <w:szCs w:val="14"/>
              </w:rPr>
            </w:pPr>
            <w:r w:rsidRPr="007448FB">
              <w:rPr>
                <w:rFonts w:ascii="Arial" w:hAnsi="Arial" w:cs="Arial"/>
                <w:color w:val="000000"/>
                <w:sz w:val="14"/>
                <w:szCs w:val="14"/>
              </w:rPr>
              <w:t>Source: Current Population Survey.</w:t>
            </w:r>
          </w:p>
        </w:tc>
        <w:tc>
          <w:tcPr>
            <w:tcW w:w="1099" w:type="dxa"/>
            <w:tcBorders>
              <w:top w:val="single" w:sz="4" w:space="0" w:color="auto"/>
              <w:left w:val="nil"/>
              <w:bottom w:val="nil"/>
              <w:right w:val="nil"/>
            </w:tcBorders>
            <w:shd w:val="clear" w:color="auto" w:fill="auto"/>
            <w:noWrap/>
            <w:vAlign w:val="bottom"/>
            <w:hideMark/>
          </w:tcPr>
          <w:p w:rsidR="007448FB" w:rsidRDefault="007448FB">
            <w:pPr>
              <w:rPr>
                <w:rFonts w:ascii="Arial" w:hAnsi="Arial" w:cs="Arial"/>
                <w:color w:val="000000"/>
                <w:sz w:val="22"/>
                <w:szCs w:val="22"/>
              </w:rPr>
            </w:pPr>
          </w:p>
        </w:tc>
        <w:tc>
          <w:tcPr>
            <w:tcW w:w="1080" w:type="dxa"/>
            <w:tcBorders>
              <w:top w:val="single" w:sz="4" w:space="0" w:color="auto"/>
              <w:left w:val="nil"/>
              <w:bottom w:val="nil"/>
              <w:right w:val="nil"/>
            </w:tcBorders>
            <w:shd w:val="clear" w:color="auto" w:fill="auto"/>
            <w:noWrap/>
            <w:vAlign w:val="bottom"/>
            <w:hideMark/>
          </w:tcPr>
          <w:p w:rsidR="007448FB" w:rsidRDefault="007448FB">
            <w:pPr>
              <w:rPr>
                <w:rFonts w:ascii="Arial" w:hAnsi="Arial" w:cs="Arial"/>
                <w:color w:val="000000"/>
                <w:sz w:val="22"/>
                <w:szCs w:val="22"/>
              </w:rPr>
            </w:pPr>
          </w:p>
        </w:tc>
        <w:tc>
          <w:tcPr>
            <w:tcW w:w="1170" w:type="dxa"/>
            <w:tcBorders>
              <w:top w:val="single" w:sz="4" w:space="0" w:color="auto"/>
              <w:left w:val="nil"/>
              <w:bottom w:val="nil"/>
              <w:right w:val="nil"/>
            </w:tcBorders>
            <w:shd w:val="clear" w:color="auto" w:fill="auto"/>
            <w:noWrap/>
            <w:vAlign w:val="bottom"/>
            <w:hideMark/>
          </w:tcPr>
          <w:p w:rsidR="007448FB" w:rsidRDefault="007448FB">
            <w:pPr>
              <w:rPr>
                <w:rFonts w:ascii="Arial" w:hAnsi="Arial" w:cs="Arial"/>
                <w:color w:val="000000"/>
                <w:sz w:val="22"/>
                <w:szCs w:val="22"/>
              </w:rPr>
            </w:pPr>
          </w:p>
        </w:tc>
        <w:tc>
          <w:tcPr>
            <w:tcW w:w="891" w:type="dxa"/>
            <w:tcBorders>
              <w:top w:val="single" w:sz="4" w:space="0" w:color="auto"/>
              <w:left w:val="nil"/>
              <w:bottom w:val="nil"/>
              <w:right w:val="nil"/>
            </w:tcBorders>
            <w:shd w:val="clear" w:color="auto" w:fill="auto"/>
            <w:noWrap/>
            <w:vAlign w:val="bottom"/>
            <w:hideMark/>
          </w:tcPr>
          <w:p w:rsidR="007448FB" w:rsidRDefault="007448FB">
            <w:pPr>
              <w:rPr>
                <w:rFonts w:ascii="Arial" w:hAnsi="Arial" w:cs="Arial"/>
                <w:color w:val="000000"/>
                <w:sz w:val="22"/>
                <w:szCs w:val="22"/>
              </w:rPr>
            </w:pPr>
          </w:p>
        </w:tc>
        <w:tc>
          <w:tcPr>
            <w:tcW w:w="1221" w:type="dxa"/>
            <w:tcBorders>
              <w:top w:val="single" w:sz="4" w:space="0" w:color="auto"/>
              <w:left w:val="nil"/>
              <w:bottom w:val="nil"/>
              <w:right w:val="nil"/>
            </w:tcBorders>
            <w:shd w:val="clear" w:color="auto" w:fill="auto"/>
            <w:noWrap/>
            <w:vAlign w:val="bottom"/>
            <w:hideMark/>
          </w:tcPr>
          <w:p w:rsidR="007448FB" w:rsidRDefault="007448FB">
            <w:pPr>
              <w:rPr>
                <w:rFonts w:ascii="Arial" w:hAnsi="Arial" w:cs="Arial"/>
                <w:color w:val="000000"/>
                <w:sz w:val="22"/>
                <w:szCs w:val="22"/>
              </w:rPr>
            </w:pPr>
          </w:p>
        </w:tc>
        <w:tc>
          <w:tcPr>
            <w:tcW w:w="1221" w:type="dxa"/>
            <w:tcBorders>
              <w:top w:val="single" w:sz="4" w:space="0" w:color="auto"/>
              <w:left w:val="nil"/>
              <w:bottom w:val="nil"/>
              <w:right w:val="nil"/>
            </w:tcBorders>
            <w:shd w:val="clear" w:color="auto" w:fill="auto"/>
            <w:noWrap/>
            <w:vAlign w:val="bottom"/>
            <w:hideMark/>
          </w:tcPr>
          <w:p w:rsidR="007448FB" w:rsidRDefault="007448FB">
            <w:pPr>
              <w:rPr>
                <w:rFonts w:ascii="Arial" w:hAnsi="Arial" w:cs="Arial"/>
                <w:color w:val="000000"/>
                <w:sz w:val="22"/>
                <w:szCs w:val="22"/>
              </w:rPr>
            </w:pPr>
          </w:p>
        </w:tc>
      </w:tr>
    </w:tbl>
    <w:p w:rsidR="007448FB" w:rsidRDefault="007448FB" w:rsidP="00D75DC9">
      <w:pPr>
        <w:pStyle w:val="BodyText"/>
      </w:pPr>
    </w:p>
    <w:p w:rsidR="00D75DC9" w:rsidRDefault="00D75DC9" w:rsidP="00D75DC9">
      <w:pPr>
        <w:pStyle w:val="BodyText"/>
      </w:pPr>
      <w:r>
        <w:t>Many forecasters expect older Americans to work longer due better health, increased life expectancies, changing preferences, or changing inducements provided by government and business.  In addition, a report by The Conference Board</w:t>
      </w:r>
      <w:r w:rsidR="008501F1">
        <w:t>,</w:t>
      </w:r>
      <w:r>
        <w:t xml:space="preserve"> published January 2013</w:t>
      </w:r>
      <w:r w:rsidR="008501F1">
        <w:t>,</w:t>
      </w:r>
      <w:r>
        <w:t xml:space="preserve"> finds that “… in 2012 a much larger share of the 45</w:t>
      </w:r>
      <w:r w:rsidR="00116299">
        <w:rPr>
          <w:rFonts w:cs="Calibri"/>
        </w:rPr>
        <w:t>—</w:t>
      </w:r>
      <w:r>
        <w:t xml:space="preserve">60 population plans to delay retirement: from 42 percent in 2010 to 62 percent in 2012, triggered by continued depletion of savings and decline in home values, as well as pay and benefit stagnation and job losses.” The report also finds that the trend of delaying retirement has accelerated faster than expected and is likely to continue in coming years as more baby boomers reach their 60s and continue working. While some of the factors the Conference Board </w:t>
      </w:r>
      <w:r w:rsidR="008501F1">
        <w:t xml:space="preserve">cited as </w:t>
      </w:r>
      <w:r>
        <w:t>promoting increased participation in the labor force by older workers may be mitigated and partially offset the upward trend, it is expected that the participation rate of those age 55 and over will continue to rise. The rising participation rate</w:t>
      </w:r>
      <w:r w:rsidR="008501F1">
        <w:t>,</w:t>
      </w:r>
      <w:r>
        <w:t xml:space="preserve"> combined with the increase in the population of this age group</w:t>
      </w:r>
      <w:r w:rsidR="008501F1">
        <w:t>,</w:t>
      </w:r>
      <w:r>
        <w:t xml:space="preserve"> is expected to lead to labor force </w:t>
      </w:r>
      <w:r w:rsidR="008B5413">
        <w:t>gains in this age group</w:t>
      </w:r>
      <w:r>
        <w:t xml:space="preserve"> through 2020 and beyond.</w:t>
      </w:r>
    </w:p>
    <w:p w:rsidR="00A91D6D" w:rsidRDefault="00A91D6D" w:rsidP="00A91D6D">
      <w:pPr>
        <w:pStyle w:val="BodyText"/>
      </w:pPr>
      <w:r>
        <w:t>Both nationally and in Maine, labor force participation rates for the population under the age of 55 dropped between 2000 and 201</w:t>
      </w:r>
      <w:r w:rsidR="00396D5D">
        <w:t>2</w:t>
      </w:r>
      <w:r>
        <w:t xml:space="preserve">. Maine projections developed by the Maine Department of Labor indicate </w:t>
      </w:r>
      <w:r w:rsidR="000879C3">
        <w:t>little</w:t>
      </w:r>
      <w:r>
        <w:t xml:space="preserve"> change for these age groups between 2010 and 2020. The combination of falling population and minimal change in labor force participation rates in Maine is expected to result in a declining labor force between 2010 and 2020</w:t>
      </w:r>
      <w:r w:rsidR="00457875">
        <w:t xml:space="preserve"> for age groups under </w:t>
      </w:r>
      <w:r w:rsidR="00142CC9">
        <w:t xml:space="preserve">the age of </w:t>
      </w:r>
      <w:r w:rsidR="00457875">
        <w:t>55</w:t>
      </w:r>
      <w:r>
        <w:t>.</w:t>
      </w:r>
    </w:p>
    <w:p w:rsidR="00D006A2" w:rsidRDefault="000A0D6D" w:rsidP="00A91D6D">
      <w:pPr>
        <w:pStyle w:val="BodyText"/>
      </w:pPr>
      <w:r>
        <w:t xml:space="preserve">As a result of the projected trends by age group, the participation rate for all workers is expected to decline from 64.3 percent to 63.2 percent. </w:t>
      </w:r>
      <w:r w:rsidR="00A91D6D">
        <w:t xml:space="preserve">The net result of expected changes in the population and within-group labor force participation rates is a slowly growing labor force between 2010 and 2020, with the net gain of </w:t>
      </w:r>
      <w:r w:rsidR="00370EC2">
        <w:t>about</w:t>
      </w:r>
      <w:r w:rsidR="00A91D6D">
        <w:t xml:space="preserve"> 19,000 accounted for by an increase in the labor force 55 years of age or older.</w:t>
      </w:r>
      <w:r>
        <w:t xml:space="preserve"> </w:t>
      </w:r>
    </w:p>
    <w:p w:rsidR="00D006A2" w:rsidRDefault="00D006A2" w:rsidP="00D006A2">
      <w:pPr>
        <w:rPr>
          <w:rFonts w:ascii="Calibri" w:hAnsi="Calibri" w:cs="Tahoma"/>
        </w:rPr>
      </w:pPr>
      <w:r>
        <w:br w:type="page"/>
      </w:r>
    </w:p>
    <w:tbl>
      <w:tblPr>
        <w:tblW w:w="8376" w:type="dxa"/>
        <w:jc w:val="center"/>
        <w:tblLook w:val="04A0" w:firstRow="1" w:lastRow="0" w:firstColumn="1" w:lastColumn="0" w:noHBand="0" w:noVBand="1"/>
      </w:tblPr>
      <w:tblGrid>
        <w:gridCol w:w="684"/>
        <w:gridCol w:w="1351"/>
        <w:gridCol w:w="1350"/>
        <w:gridCol w:w="880"/>
        <w:gridCol w:w="880"/>
        <w:gridCol w:w="1143"/>
        <w:gridCol w:w="1143"/>
        <w:gridCol w:w="945"/>
      </w:tblGrid>
      <w:tr w:rsidR="00506CB4" w:rsidRPr="00506CB4" w:rsidTr="00D006A2">
        <w:trPr>
          <w:cantSplit/>
          <w:trHeight w:val="379"/>
          <w:jc w:val="center"/>
        </w:trPr>
        <w:tc>
          <w:tcPr>
            <w:tcW w:w="837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6CB4" w:rsidRPr="00506CB4" w:rsidRDefault="00506CB4">
            <w:pPr>
              <w:jc w:val="center"/>
              <w:rPr>
                <w:b/>
                <w:bCs/>
                <w:sz w:val="18"/>
                <w:szCs w:val="18"/>
              </w:rPr>
            </w:pPr>
            <w:r w:rsidRPr="00506CB4">
              <w:rPr>
                <w:b/>
                <w:bCs/>
                <w:sz w:val="18"/>
                <w:szCs w:val="18"/>
              </w:rPr>
              <w:lastRenderedPageBreak/>
              <w:t>Labor Market Indicators by Age in Maine, 2010 Estimates and 2020 Projections</w:t>
            </w:r>
          </w:p>
        </w:tc>
      </w:tr>
      <w:tr w:rsidR="00506CB4" w:rsidRPr="00506CB4" w:rsidTr="00D006A2">
        <w:trPr>
          <w:cantSplit/>
          <w:trHeight w:val="379"/>
          <w:jc w:val="center"/>
        </w:trPr>
        <w:tc>
          <w:tcPr>
            <w:tcW w:w="684" w:type="dxa"/>
            <w:vMerge w:val="restart"/>
            <w:tcBorders>
              <w:top w:val="nil"/>
              <w:left w:val="single" w:sz="4" w:space="0" w:color="auto"/>
              <w:bottom w:val="nil"/>
              <w:right w:val="single" w:sz="4" w:space="0" w:color="auto"/>
            </w:tcBorders>
            <w:shd w:val="clear" w:color="auto" w:fill="auto"/>
            <w:noWrap/>
            <w:vAlign w:val="center"/>
            <w:hideMark/>
          </w:tcPr>
          <w:p w:rsidR="00506CB4" w:rsidRPr="00506CB4" w:rsidRDefault="00506CB4">
            <w:pPr>
              <w:jc w:val="center"/>
              <w:rPr>
                <w:b/>
                <w:bCs/>
                <w:sz w:val="18"/>
                <w:szCs w:val="18"/>
              </w:rPr>
            </w:pPr>
            <w:r w:rsidRPr="00506CB4">
              <w:rPr>
                <w:b/>
                <w:bCs/>
                <w:sz w:val="18"/>
                <w:szCs w:val="18"/>
              </w:rPr>
              <w:t>Age</w:t>
            </w:r>
          </w:p>
        </w:tc>
        <w:tc>
          <w:tcPr>
            <w:tcW w:w="2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06CB4" w:rsidRPr="00506CB4" w:rsidRDefault="00506CB4">
            <w:pPr>
              <w:jc w:val="center"/>
              <w:rPr>
                <w:b/>
                <w:bCs/>
                <w:sz w:val="18"/>
                <w:szCs w:val="18"/>
              </w:rPr>
            </w:pPr>
            <w:r w:rsidRPr="00506CB4">
              <w:rPr>
                <w:b/>
                <w:bCs/>
                <w:sz w:val="18"/>
                <w:szCs w:val="18"/>
              </w:rPr>
              <w:t>Population*</w:t>
            </w:r>
          </w:p>
        </w:tc>
        <w:tc>
          <w:tcPr>
            <w:tcW w:w="1760" w:type="dxa"/>
            <w:gridSpan w:val="2"/>
            <w:tcBorders>
              <w:top w:val="single" w:sz="4" w:space="0" w:color="auto"/>
              <w:left w:val="nil"/>
              <w:bottom w:val="single" w:sz="4" w:space="0" w:color="auto"/>
              <w:right w:val="nil"/>
            </w:tcBorders>
            <w:shd w:val="clear" w:color="auto" w:fill="auto"/>
            <w:noWrap/>
            <w:vAlign w:val="bottom"/>
            <w:hideMark/>
          </w:tcPr>
          <w:p w:rsidR="00506CB4" w:rsidRPr="00506CB4" w:rsidRDefault="00506CB4">
            <w:pPr>
              <w:jc w:val="center"/>
              <w:rPr>
                <w:b/>
                <w:bCs/>
                <w:sz w:val="18"/>
                <w:szCs w:val="18"/>
              </w:rPr>
            </w:pPr>
            <w:r w:rsidRPr="00506CB4">
              <w:rPr>
                <w:b/>
                <w:bCs/>
                <w:sz w:val="18"/>
                <w:szCs w:val="18"/>
              </w:rPr>
              <w:t>Participation Rate</w:t>
            </w:r>
          </w:p>
        </w:tc>
        <w:tc>
          <w:tcPr>
            <w:tcW w:w="323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6CB4" w:rsidRPr="00506CB4" w:rsidRDefault="00506CB4">
            <w:pPr>
              <w:jc w:val="center"/>
              <w:rPr>
                <w:b/>
                <w:bCs/>
                <w:sz w:val="18"/>
                <w:szCs w:val="18"/>
              </w:rPr>
            </w:pPr>
            <w:r w:rsidRPr="00506CB4">
              <w:rPr>
                <w:b/>
                <w:bCs/>
                <w:sz w:val="18"/>
                <w:szCs w:val="18"/>
              </w:rPr>
              <w:t>Civilian Labor Force</w:t>
            </w:r>
          </w:p>
        </w:tc>
      </w:tr>
      <w:tr w:rsidR="00506CB4" w:rsidRPr="00506CB4" w:rsidTr="00D006A2">
        <w:trPr>
          <w:cantSplit/>
          <w:trHeight w:val="379"/>
          <w:jc w:val="center"/>
        </w:trPr>
        <w:tc>
          <w:tcPr>
            <w:tcW w:w="684" w:type="dxa"/>
            <w:vMerge/>
            <w:tcBorders>
              <w:top w:val="nil"/>
              <w:left w:val="single" w:sz="4" w:space="0" w:color="auto"/>
              <w:bottom w:val="nil"/>
              <w:right w:val="single" w:sz="4" w:space="0" w:color="auto"/>
            </w:tcBorders>
            <w:vAlign w:val="center"/>
            <w:hideMark/>
          </w:tcPr>
          <w:p w:rsidR="00506CB4" w:rsidRPr="00506CB4" w:rsidRDefault="00506CB4">
            <w:pPr>
              <w:rPr>
                <w:b/>
                <w:bCs/>
                <w:sz w:val="18"/>
                <w:szCs w:val="18"/>
              </w:rPr>
            </w:pPr>
          </w:p>
        </w:tc>
        <w:tc>
          <w:tcPr>
            <w:tcW w:w="1351" w:type="dxa"/>
            <w:tcBorders>
              <w:top w:val="nil"/>
              <w:left w:val="nil"/>
              <w:bottom w:val="nil"/>
              <w:right w:val="nil"/>
            </w:tcBorders>
            <w:shd w:val="clear" w:color="auto" w:fill="auto"/>
            <w:noWrap/>
            <w:vAlign w:val="bottom"/>
            <w:hideMark/>
          </w:tcPr>
          <w:p w:rsidR="00506CB4" w:rsidRPr="00506CB4" w:rsidRDefault="00506CB4">
            <w:pPr>
              <w:jc w:val="center"/>
              <w:rPr>
                <w:b/>
                <w:bCs/>
                <w:sz w:val="18"/>
                <w:szCs w:val="18"/>
              </w:rPr>
            </w:pPr>
            <w:r w:rsidRPr="00506CB4">
              <w:rPr>
                <w:b/>
                <w:bCs/>
                <w:sz w:val="18"/>
                <w:szCs w:val="18"/>
              </w:rPr>
              <w:t>2010</w:t>
            </w:r>
          </w:p>
        </w:tc>
        <w:tc>
          <w:tcPr>
            <w:tcW w:w="1350" w:type="dxa"/>
            <w:tcBorders>
              <w:top w:val="nil"/>
              <w:left w:val="single" w:sz="4" w:space="0" w:color="auto"/>
              <w:bottom w:val="nil"/>
              <w:right w:val="single" w:sz="4" w:space="0" w:color="auto"/>
            </w:tcBorders>
            <w:shd w:val="clear" w:color="auto" w:fill="auto"/>
            <w:noWrap/>
            <w:vAlign w:val="bottom"/>
            <w:hideMark/>
          </w:tcPr>
          <w:p w:rsidR="00506CB4" w:rsidRPr="00506CB4" w:rsidRDefault="00506CB4">
            <w:pPr>
              <w:jc w:val="center"/>
              <w:rPr>
                <w:b/>
                <w:bCs/>
                <w:sz w:val="18"/>
                <w:szCs w:val="18"/>
              </w:rPr>
            </w:pPr>
            <w:r w:rsidRPr="00506CB4">
              <w:rPr>
                <w:b/>
                <w:bCs/>
                <w:sz w:val="18"/>
                <w:szCs w:val="18"/>
              </w:rPr>
              <w:t>2020</w:t>
            </w:r>
          </w:p>
        </w:tc>
        <w:tc>
          <w:tcPr>
            <w:tcW w:w="880" w:type="dxa"/>
            <w:tcBorders>
              <w:top w:val="nil"/>
              <w:left w:val="nil"/>
              <w:bottom w:val="nil"/>
              <w:right w:val="nil"/>
            </w:tcBorders>
            <w:shd w:val="clear" w:color="auto" w:fill="auto"/>
            <w:noWrap/>
            <w:vAlign w:val="bottom"/>
            <w:hideMark/>
          </w:tcPr>
          <w:p w:rsidR="00506CB4" w:rsidRPr="00506CB4" w:rsidRDefault="00506CB4">
            <w:pPr>
              <w:jc w:val="center"/>
              <w:rPr>
                <w:b/>
                <w:bCs/>
                <w:sz w:val="18"/>
                <w:szCs w:val="18"/>
              </w:rPr>
            </w:pPr>
            <w:r w:rsidRPr="00506CB4">
              <w:rPr>
                <w:b/>
                <w:bCs/>
                <w:sz w:val="18"/>
                <w:szCs w:val="18"/>
              </w:rPr>
              <w:t>2010</w:t>
            </w:r>
          </w:p>
        </w:tc>
        <w:tc>
          <w:tcPr>
            <w:tcW w:w="880" w:type="dxa"/>
            <w:tcBorders>
              <w:top w:val="nil"/>
              <w:left w:val="single" w:sz="4" w:space="0" w:color="auto"/>
              <w:bottom w:val="nil"/>
              <w:right w:val="single" w:sz="4" w:space="0" w:color="auto"/>
            </w:tcBorders>
            <w:shd w:val="clear" w:color="auto" w:fill="auto"/>
            <w:noWrap/>
            <w:vAlign w:val="bottom"/>
            <w:hideMark/>
          </w:tcPr>
          <w:p w:rsidR="00506CB4" w:rsidRPr="00506CB4" w:rsidRDefault="00506CB4">
            <w:pPr>
              <w:jc w:val="center"/>
              <w:rPr>
                <w:b/>
                <w:bCs/>
                <w:sz w:val="18"/>
                <w:szCs w:val="18"/>
              </w:rPr>
            </w:pPr>
            <w:r w:rsidRPr="00506CB4">
              <w:rPr>
                <w:b/>
                <w:bCs/>
                <w:sz w:val="18"/>
                <w:szCs w:val="18"/>
              </w:rPr>
              <w:t>2020</w:t>
            </w:r>
          </w:p>
        </w:tc>
        <w:tc>
          <w:tcPr>
            <w:tcW w:w="1143" w:type="dxa"/>
            <w:tcBorders>
              <w:top w:val="nil"/>
              <w:left w:val="nil"/>
              <w:bottom w:val="nil"/>
              <w:right w:val="nil"/>
            </w:tcBorders>
            <w:shd w:val="clear" w:color="auto" w:fill="auto"/>
            <w:noWrap/>
            <w:vAlign w:val="bottom"/>
            <w:hideMark/>
          </w:tcPr>
          <w:p w:rsidR="00506CB4" w:rsidRPr="00506CB4" w:rsidRDefault="00506CB4">
            <w:pPr>
              <w:jc w:val="center"/>
              <w:rPr>
                <w:b/>
                <w:bCs/>
                <w:sz w:val="18"/>
                <w:szCs w:val="18"/>
              </w:rPr>
            </w:pPr>
            <w:r w:rsidRPr="00506CB4">
              <w:rPr>
                <w:b/>
                <w:bCs/>
                <w:sz w:val="18"/>
                <w:szCs w:val="18"/>
              </w:rPr>
              <w:t>2010</w:t>
            </w:r>
          </w:p>
        </w:tc>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506CB4" w:rsidRPr="00506CB4" w:rsidRDefault="00506CB4">
            <w:pPr>
              <w:jc w:val="center"/>
              <w:rPr>
                <w:b/>
                <w:bCs/>
                <w:sz w:val="18"/>
                <w:szCs w:val="18"/>
              </w:rPr>
            </w:pPr>
            <w:r w:rsidRPr="00506CB4">
              <w:rPr>
                <w:b/>
                <w:bCs/>
                <w:sz w:val="18"/>
                <w:szCs w:val="18"/>
              </w:rPr>
              <w:t>2020</w:t>
            </w:r>
          </w:p>
        </w:tc>
        <w:tc>
          <w:tcPr>
            <w:tcW w:w="945" w:type="dxa"/>
            <w:tcBorders>
              <w:top w:val="nil"/>
              <w:left w:val="nil"/>
              <w:bottom w:val="nil"/>
              <w:right w:val="single" w:sz="4" w:space="0" w:color="auto"/>
            </w:tcBorders>
            <w:shd w:val="clear" w:color="auto" w:fill="auto"/>
            <w:noWrap/>
            <w:vAlign w:val="bottom"/>
            <w:hideMark/>
          </w:tcPr>
          <w:p w:rsidR="00506CB4" w:rsidRPr="00506CB4" w:rsidRDefault="00506CB4">
            <w:pPr>
              <w:rPr>
                <w:b/>
                <w:bCs/>
                <w:sz w:val="18"/>
                <w:szCs w:val="18"/>
              </w:rPr>
            </w:pPr>
            <w:r w:rsidRPr="00506CB4">
              <w:rPr>
                <w:b/>
                <w:bCs/>
                <w:sz w:val="18"/>
                <w:szCs w:val="18"/>
              </w:rPr>
              <w:t>Change</w:t>
            </w:r>
          </w:p>
        </w:tc>
      </w:tr>
      <w:tr w:rsidR="00506CB4" w:rsidRPr="00506CB4" w:rsidTr="00D006A2">
        <w:trPr>
          <w:cantSplit/>
          <w:trHeight w:val="379"/>
          <w:jc w:val="center"/>
        </w:trPr>
        <w:tc>
          <w:tcPr>
            <w:tcW w:w="684" w:type="dxa"/>
            <w:tcBorders>
              <w:top w:val="single" w:sz="4" w:space="0" w:color="auto"/>
              <w:left w:val="single" w:sz="4" w:space="0" w:color="auto"/>
              <w:bottom w:val="nil"/>
              <w:right w:val="single" w:sz="4" w:space="0" w:color="auto"/>
            </w:tcBorders>
            <w:shd w:val="clear" w:color="auto" w:fill="auto"/>
            <w:noWrap/>
            <w:vAlign w:val="bottom"/>
            <w:hideMark/>
          </w:tcPr>
          <w:p w:rsidR="00506CB4" w:rsidRPr="00506CB4" w:rsidRDefault="00506CB4">
            <w:pPr>
              <w:rPr>
                <w:sz w:val="18"/>
                <w:szCs w:val="18"/>
              </w:rPr>
            </w:pPr>
            <w:r w:rsidRPr="00506CB4">
              <w:rPr>
                <w:sz w:val="18"/>
                <w:szCs w:val="18"/>
              </w:rPr>
              <w:t>16-24</w:t>
            </w:r>
          </w:p>
        </w:tc>
        <w:tc>
          <w:tcPr>
            <w:tcW w:w="1351" w:type="dxa"/>
            <w:tcBorders>
              <w:top w:val="single" w:sz="4" w:space="0" w:color="auto"/>
              <w:left w:val="nil"/>
              <w:bottom w:val="nil"/>
              <w:right w:val="nil"/>
            </w:tcBorders>
            <w:shd w:val="clear" w:color="auto" w:fill="auto"/>
            <w:noWrap/>
            <w:vAlign w:val="bottom"/>
            <w:hideMark/>
          </w:tcPr>
          <w:p w:rsidR="00506CB4" w:rsidRPr="00506CB4" w:rsidRDefault="00506CB4" w:rsidP="008F6ACB">
            <w:pPr>
              <w:jc w:val="center"/>
              <w:rPr>
                <w:sz w:val="18"/>
                <w:szCs w:val="18"/>
              </w:rPr>
            </w:pPr>
            <w:r w:rsidRPr="00506CB4">
              <w:rPr>
                <w:sz w:val="18"/>
                <w:szCs w:val="18"/>
              </w:rPr>
              <w:t>151,500</w:t>
            </w:r>
          </w:p>
        </w:tc>
        <w:tc>
          <w:tcPr>
            <w:tcW w:w="1350" w:type="dxa"/>
            <w:tcBorders>
              <w:top w:val="single" w:sz="4" w:space="0" w:color="auto"/>
              <w:left w:val="single" w:sz="4" w:space="0" w:color="auto"/>
              <w:bottom w:val="nil"/>
              <w:right w:val="single" w:sz="4" w:space="0" w:color="auto"/>
            </w:tcBorders>
            <w:shd w:val="clear" w:color="auto" w:fill="auto"/>
            <w:noWrap/>
            <w:vAlign w:val="bottom"/>
            <w:hideMark/>
          </w:tcPr>
          <w:p w:rsidR="00506CB4" w:rsidRPr="00506CB4" w:rsidRDefault="00506CB4" w:rsidP="00506CB4">
            <w:pPr>
              <w:jc w:val="center"/>
              <w:rPr>
                <w:sz w:val="18"/>
                <w:szCs w:val="18"/>
              </w:rPr>
            </w:pPr>
            <w:r>
              <w:rPr>
                <w:sz w:val="18"/>
                <w:szCs w:val="18"/>
              </w:rPr>
              <w:t xml:space="preserve"> </w:t>
            </w:r>
            <w:r w:rsidRPr="00506CB4">
              <w:rPr>
                <w:sz w:val="18"/>
                <w:szCs w:val="18"/>
              </w:rPr>
              <w:t>123,100</w:t>
            </w:r>
          </w:p>
        </w:tc>
        <w:tc>
          <w:tcPr>
            <w:tcW w:w="880" w:type="dxa"/>
            <w:tcBorders>
              <w:top w:val="single" w:sz="4" w:space="0" w:color="auto"/>
              <w:left w:val="nil"/>
              <w:bottom w:val="nil"/>
              <w:right w:val="nil"/>
            </w:tcBorders>
            <w:shd w:val="clear" w:color="auto" w:fill="auto"/>
            <w:noWrap/>
            <w:vAlign w:val="bottom"/>
            <w:hideMark/>
          </w:tcPr>
          <w:p w:rsidR="00506CB4" w:rsidRPr="00506CB4" w:rsidRDefault="00506CB4">
            <w:pPr>
              <w:jc w:val="center"/>
              <w:rPr>
                <w:sz w:val="18"/>
                <w:szCs w:val="18"/>
              </w:rPr>
            </w:pPr>
            <w:r w:rsidRPr="00506CB4">
              <w:rPr>
                <w:sz w:val="18"/>
                <w:szCs w:val="18"/>
              </w:rPr>
              <w:t>63.2%</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506CB4" w:rsidRPr="00506CB4" w:rsidRDefault="00506CB4">
            <w:pPr>
              <w:jc w:val="center"/>
              <w:rPr>
                <w:sz w:val="18"/>
                <w:szCs w:val="18"/>
              </w:rPr>
            </w:pPr>
            <w:r w:rsidRPr="00506CB4">
              <w:rPr>
                <w:sz w:val="18"/>
                <w:szCs w:val="18"/>
              </w:rPr>
              <w:t>62.6%</w:t>
            </w:r>
          </w:p>
        </w:tc>
        <w:tc>
          <w:tcPr>
            <w:tcW w:w="1143" w:type="dxa"/>
            <w:tcBorders>
              <w:top w:val="single" w:sz="4" w:space="0" w:color="auto"/>
              <w:left w:val="nil"/>
              <w:bottom w:val="nil"/>
              <w:right w:val="nil"/>
            </w:tcBorders>
            <w:shd w:val="clear" w:color="auto" w:fill="auto"/>
            <w:noWrap/>
            <w:vAlign w:val="bottom"/>
            <w:hideMark/>
          </w:tcPr>
          <w:p w:rsidR="00506CB4" w:rsidRPr="00506CB4" w:rsidRDefault="00506CB4" w:rsidP="00506CB4">
            <w:pPr>
              <w:ind w:firstLineChars="100" w:firstLine="180"/>
              <w:rPr>
                <w:sz w:val="18"/>
                <w:szCs w:val="18"/>
              </w:rPr>
            </w:pPr>
            <w:r>
              <w:rPr>
                <w:sz w:val="18"/>
                <w:szCs w:val="18"/>
              </w:rPr>
              <w:t xml:space="preserve">  </w:t>
            </w:r>
            <w:r w:rsidRPr="00506CB4">
              <w:rPr>
                <w:sz w:val="18"/>
                <w:szCs w:val="18"/>
              </w:rPr>
              <w:t>95,800</w:t>
            </w:r>
          </w:p>
        </w:tc>
        <w:tc>
          <w:tcPr>
            <w:tcW w:w="1143" w:type="dxa"/>
            <w:tcBorders>
              <w:top w:val="nil"/>
              <w:left w:val="single" w:sz="4" w:space="0" w:color="auto"/>
              <w:bottom w:val="nil"/>
              <w:right w:val="single" w:sz="4" w:space="0" w:color="auto"/>
            </w:tcBorders>
            <w:shd w:val="clear" w:color="auto" w:fill="auto"/>
            <w:noWrap/>
            <w:vAlign w:val="bottom"/>
            <w:hideMark/>
          </w:tcPr>
          <w:p w:rsidR="00506CB4" w:rsidRPr="00506CB4" w:rsidRDefault="00506CB4" w:rsidP="00506CB4">
            <w:pPr>
              <w:ind w:firstLineChars="100" w:firstLine="180"/>
              <w:rPr>
                <w:sz w:val="18"/>
                <w:szCs w:val="18"/>
              </w:rPr>
            </w:pPr>
            <w:r>
              <w:rPr>
                <w:sz w:val="18"/>
                <w:szCs w:val="18"/>
              </w:rPr>
              <w:t xml:space="preserve">  </w:t>
            </w:r>
            <w:r w:rsidRPr="00506CB4">
              <w:rPr>
                <w:sz w:val="18"/>
                <w:szCs w:val="18"/>
              </w:rPr>
              <w:t>77,000</w:t>
            </w:r>
          </w:p>
        </w:tc>
        <w:tc>
          <w:tcPr>
            <w:tcW w:w="945" w:type="dxa"/>
            <w:tcBorders>
              <w:top w:val="single" w:sz="4" w:space="0" w:color="auto"/>
              <w:left w:val="nil"/>
              <w:bottom w:val="nil"/>
              <w:right w:val="single" w:sz="4" w:space="0" w:color="auto"/>
            </w:tcBorders>
            <w:shd w:val="clear" w:color="auto" w:fill="auto"/>
            <w:noWrap/>
            <w:vAlign w:val="bottom"/>
            <w:hideMark/>
          </w:tcPr>
          <w:p w:rsidR="00506CB4" w:rsidRPr="00506CB4" w:rsidRDefault="00506CB4" w:rsidP="00506CB4">
            <w:pPr>
              <w:jc w:val="center"/>
              <w:rPr>
                <w:sz w:val="18"/>
                <w:szCs w:val="18"/>
              </w:rPr>
            </w:pPr>
            <w:r w:rsidRPr="00506CB4">
              <w:rPr>
                <w:sz w:val="18"/>
                <w:szCs w:val="18"/>
              </w:rPr>
              <w:t>-18,800</w:t>
            </w:r>
          </w:p>
        </w:tc>
      </w:tr>
      <w:tr w:rsidR="00506CB4" w:rsidRPr="00506CB4" w:rsidTr="00D006A2">
        <w:trPr>
          <w:cantSplit/>
          <w:trHeight w:val="379"/>
          <w:jc w:val="center"/>
        </w:trPr>
        <w:tc>
          <w:tcPr>
            <w:tcW w:w="684" w:type="dxa"/>
            <w:tcBorders>
              <w:top w:val="nil"/>
              <w:left w:val="single" w:sz="4" w:space="0" w:color="auto"/>
              <w:bottom w:val="nil"/>
              <w:right w:val="single" w:sz="4" w:space="0" w:color="auto"/>
            </w:tcBorders>
            <w:shd w:val="clear" w:color="auto" w:fill="auto"/>
            <w:noWrap/>
            <w:vAlign w:val="bottom"/>
            <w:hideMark/>
          </w:tcPr>
          <w:p w:rsidR="00506CB4" w:rsidRPr="00506CB4" w:rsidRDefault="00506CB4">
            <w:pPr>
              <w:rPr>
                <w:sz w:val="18"/>
                <w:szCs w:val="18"/>
              </w:rPr>
            </w:pPr>
            <w:r w:rsidRPr="00506CB4">
              <w:rPr>
                <w:sz w:val="18"/>
                <w:szCs w:val="18"/>
              </w:rPr>
              <w:t>25-54</w:t>
            </w:r>
          </w:p>
        </w:tc>
        <w:tc>
          <w:tcPr>
            <w:tcW w:w="1351" w:type="dxa"/>
            <w:tcBorders>
              <w:top w:val="nil"/>
              <w:left w:val="nil"/>
              <w:bottom w:val="nil"/>
              <w:right w:val="nil"/>
            </w:tcBorders>
            <w:shd w:val="clear" w:color="auto" w:fill="auto"/>
            <w:noWrap/>
            <w:vAlign w:val="bottom"/>
            <w:hideMark/>
          </w:tcPr>
          <w:p w:rsidR="00506CB4" w:rsidRPr="00506CB4" w:rsidRDefault="00506CB4" w:rsidP="008F6ACB">
            <w:pPr>
              <w:jc w:val="center"/>
              <w:rPr>
                <w:sz w:val="18"/>
                <w:szCs w:val="18"/>
              </w:rPr>
            </w:pPr>
            <w:r w:rsidRPr="00506CB4">
              <w:rPr>
                <w:sz w:val="18"/>
                <w:szCs w:val="18"/>
              </w:rPr>
              <w:t>534,600</w:t>
            </w:r>
          </w:p>
        </w:tc>
        <w:tc>
          <w:tcPr>
            <w:tcW w:w="1350" w:type="dxa"/>
            <w:tcBorders>
              <w:top w:val="nil"/>
              <w:left w:val="single" w:sz="4" w:space="0" w:color="auto"/>
              <w:bottom w:val="nil"/>
              <w:right w:val="single" w:sz="4" w:space="0" w:color="auto"/>
            </w:tcBorders>
            <w:shd w:val="clear" w:color="auto" w:fill="auto"/>
            <w:noWrap/>
            <w:vAlign w:val="bottom"/>
            <w:hideMark/>
          </w:tcPr>
          <w:p w:rsidR="00506CB4" w:rsidRPr="00506CB4" w:rsidRDefault="00506CB4" w:rsidP="00506CB4">
            <w:pPr>
              <w:jc w:val="center"/>
              <w:rPr>
                <w:sz w:val="18"/>
                <w:szCs w:val="18"/>
              </w:rPr>
            </w:pPr>
            <w:r>
              <w:rPr>
                <w:sz w:val="18"/>
                <w:szCs w:val="18"/>
              </w:rPr>
              <w:t xml:space="preserve"> </w:t>
            </w:r>
            <w:r w:rsidRPr="00506CB4">
              <w:rPr>
                <w:sz w:val="18"/>
                <w:szCs w:val="18"/>
              </w:rPr>
              <w:t>506,800</w:t>
            </w:r>
          </w:p>
        </w:tc>
        <w:tc>
          <w:tcPr>
            <w:tcW w:w="880" w:type="dxa"/>
            <w:tcBorders>
              <w:top w:val="nil"/>
              <w:left w:val="nil"/>
              <w:bottom w:val="nil"/>
              <w:right w:val="nil"/>
            </w:tcBorders>
            <w:shd w:val="clear" w:color="auto" w:fill="auto"/>
            <w:noWrap/>
            <w:vAlign w:val="bottom"/>
            <w:hideMark/>
          </w:tcPr>
          <w:p w:rsidR="00506CB4" w:rsidRPr="00506CB4" w:rsidRDefault="00506CB4">
            <w:pPr>
              <w:jc w:val="center"/>
              <w:rPr>
                <w:sz w:val="18"/>
                <w:szCs w:val="18"/>
              </w:rPr>
            </w:pPr>
            <w:r w:rsidRPr="00506CB4">
              <w:rPr>
                <w:sz w:val="18"/>
                <w:szCs w:val="18"/>
              </w:rPr>
              <w:t>83.2%</w:t>
            </w:r>
          </w:p>
        </w:tc>
        <w:tc>
          <w:tcPr>
            <w:tcW w:w="880" w:type="dxa"/>
            <w:tcBorders>
              <w:top w:val="nil"/>
              <w:left w:val="single" w:sz="4" w:space="0" w:color="auto"/>
              <w:bottom w:val="nil"/>
              <w:right w:val="single" w:sz="4" w:space="0" w:color="auto"/>
            </w:tcBorders>
            <w:shd w:val="clear" w:color="auto" w:fill="auto"/>
            <w:noWrap/>
            <w:vAlign w:val="bottom"/>
            <w:hideMark/>
          </w:tcPr>
          <w:p w:rsidR="00506CB4" w:rsidRPr="00506CB4" w:rsidRDefault="00506CB4">
            <w:pPr>
              <w:jc w:val="center"/>
              <w:rPr>
                <w:sz w:val="18"/>
                <w:szCs w:val="18"/>
              </w:rPr>
            </w:pPr>
            <w:r w:rsidRPr="00506CB4">
              <w:rPr>
                <w:sz w:val="18"/>
                <w:szCs w:val="18"/>
              </w:rPr>
              <w:t>83.1%</w:t>
            </w:r>
          </w:p>
        </w:tc>
        <w:tc>
          <w:tcPr>
            <w:tcW w:w="1143" w:type="dxa"/>
            <w:tcBorders>
              <w:top w:val="nil"/>
              <w:left w:val="nil"/>
              <w:bottom w:val="nil"/>
              <w:right w:val="nil"/>
            </w:tcBorders>
            <w:shd w:val="clear" w:color="auto" w:fill="auto"/>
            <w:noWrap/>
            <w:vAlign w:val="bottom"/>
            <w:hideMark/>
          </w:tcPr>
          <w:p w:rsidR="00506CB4" w:rsidRPr="00506CB4" w:rsidRDefault="00506CB4" w:rsidP="00506CB4">
            <w:pPr>
              <w:ind w:firstLineChars="100" w:firstLine="180"/>
              <w:rPr>
                <w:sz w:val="18"/>
                <w:szCs w:val="18"/>
              </w:rPr>
            </w:pPr>
            <w:r w:rsidRPr="00506CB4">
              <w:rPr>
                <w:sz w:val="18"/>
                <w:szCs w:val="18"/>
              </w:rPr>
              <w:t>444,900</w:t>
            </w:r>
          </w:p>
        </w:tc>
        <w:tc>
          <w:tcPr>
            <w:tcW w:w="1143" w:type="dxa"/>
            <w:tcBorders>
              <w:top w:val="nil"/>
              <w:left w:val="single" w:sz="4" w:space="0" w:color="auto"/>
              <w:bottom w:val="nil"/>
              <w:right w:val="single" w:sz="4" w:space="0" w:color="auto"/>
            </w:tcBorders>
            <w:shd w:val="clear" w:color="auto" w:fill="auto"/>
            <w:noWrap/>
            <w:vAlign w:val="bottom"/>
            <w:hideMark/>
          </w:tcPr>
          <w:p w:rsidR="00506CB4" w:rsidRPr="00506CB4" w:rsidRDefault="00506CB4" w:rsidP="00506CB4">
            <w:pPr>
              <w:ind w:firstLineChars="100" w:firstLine="180"/>
              <w:rPr>
                <w:sz w:val="18"/>
                <w:szCs w:val="18"/>
              </w:rPr>
            </w:pPr>
            <w:r w:rsidRPr="00506CB4">
              <w:rPr>
                <w:sz w:val="18"/>
                <w:szCs w:val="18"/>
              </w:rPr>
              <w:t>421,100</w:t>
            </w:r>
          </w:p>
        </w:tc>
        <w:tc>
          <w:tcPr>
            <w:tcW w:w="945" w:type="dxa"/>
            <w:tcBorders>
              <w:top w:val="nil"/>
              <w:left w:val="nil"/>
              <w:bottom w:val="nil"/>
              <w:right w:val="single" w:sz="4" w:space="0" w:color="auto"/>
            </w:tcBorders>
            <w:shd w:val="clear" w:color="auto" w:fill="auto"/>
            <w:noWrap/>
            <w:vAlign w:val="bottom"/>
            <w:hideMark/>
          </w:tcPr>
          <w:p w:rsidR="00506CB4" w:rsidRPr="00506CB4" w:rsidRDefault="00506CB4" w:rsidP="00506CB4">
            <w:pPr>
              <w:jc w:val="center"/>
              <w:rPr>
                <w:sz w:val="18"/>
                <w:szCs w:val="18"/>
              </w:rPr>
            </w:pPr>
            <w:r w:rsidRPr="00506CB4">
              <w:rPr>
                <w:sz w:val="18"/>
                <w:szCs w:val="18"/>
              </w:rPr>
              <w:t>-23,800</w:t>
            </w:r>
          </w:p>
        </w:tc>
      </w:tr>
      <w:tr w:rsidR="00506CB4" w:rsidRPr="00506CB4" w:rsidTr="00D006A2">
        <w:trPr>
          <w:cantSplit/>
          <w:trHeight w:val="379"/>
          <w:jc w:val="center"/>
        </w:trPr>
        <w:tc>
          <w:tcPr>
            <w:tcW w:w="684" w:type="dxa"/>
            <w:tcBorders>
              <w:top w:val="nil"/>
              <w:left w:val="single" w:sz="4" w:space="0" w:color="auto"/>
              <w:bottom w:val="nil"/>
              <w:right w:val="single" w:sz="4" w:space="0" w:color="auto"/>
            </w:tcBorders>
            <w:shd w:val="clear" w:color="auto" w:fill="auto"/>
            <w:noWrap/>
            <w:vAlign w:val="bottom"/>
            <w:hideMark/>
          </w:tcPr>
          <w:p w:rsidR="00506CB4" w:rsidRPr="00506CB4" w:rsidRDefault="00506CB4">
            <w:pPr>
              <w:rPr>
                <w:sz w:val="18"/>
                <w:szCs w:val="18"/>
              </w:rPr>
            </w:pPr>
            <w:r w:rsidRPr="00506CB4">
              <w:rPr>
                <w:sz w:val="18"/>
                <w:szCs w:val="18"/>
              </w:rPr>
              <w:t>55-64</w:t>
            </w:r>
          </w:p>
        </w:tc>
        <w:tc>
          <w:tcPr>
            <w:tcW w:w="1351" w:type="dxa"/>
            <w:tcBorders>
              <w:top w:val="nil"/>
              <w:left w:val="nil"/>
              <w:bottom w:val="nil"/>
              <w:right w:val="nil"/>
            </w:tcBorders>
            <w:shd w:val="clear" w:color="auto" w:fill="auto"/>
            <w:noWrap/>
            <w:vAlign w:val="bottom"/>
            <w:hideMark/>
          </w:tcPr>
          <w:p w:rsidR="00506CB4" w:rsidRPr="00506CB4" w:rsidRDefault="00506CB4" w:rsidP="008F6ACB">
            <w:pPr>
              <w:jc w:val="center"/>
              <w:rPr>
                <w:sz w:val="18"/>
                <w:szCs w:val="18"/>
              </w:rPr>
            </w:pPr>
            <w:r w:rsidRPr="00506CB4">
              <w:rPr>
                <w:sz w:val="18"/>
                <w:szCs w:val="18"/>
              </w:rPr>
              <w:t>192,100</w:t>
            </w:r>
          </w:p>
        </w:tc>
        <w:tc>
          <w:tcPr>
            <w:tcW w:w="1350" w:type="dxa"/>
            <w:tcBorders>
              <w:top w:val="nil"/>
              <w:left w:val="single" w:sz="4" w:space="0" w:color="auto"/>
              <w:bottom w:val="nil"/>
              <w:right w:val="single" w:sz="4" w:space="0" w:color="auto"/>
            </w:tcBorders>
            <w:shd w:val="clear" w:color="auto" w:fill="auto"/>
            <w:noWrap/>
            <w:vAlign w:val="bottom"/>
            <w:hideMark/>
          </w:tcPr>
          <w:p w:rsidR="00506CB4" w:rsidRPr="00506CB4" w:rsidRDefault="00506CB4" w:rsidP="00506CB4">
            <w:pPr>
              <w:jc w:val="center"/>
              <w:rPr>
                <w:sz w:val="18"/>
                <w:szCs w:val="18"/>
              </w:rPr>
            </w:pPr>
            <w:r>
              <w:rPr>
                <w:sz w:val="18"/>
                <w:szCs w:val="18"/>
              </w:rPr>
              <w:t xml:space="preserve"> </w:t>
            </w:r>
            <w:r w:rsidRPr="00506CB4">
              <w:rPr>
                <w:sz w:val="18"/>
                <w:szCs w:val="18"/>
              </w:rPr>
              <w:t>214,600</w:t>
            </w:r>
          </w:p>
        </w:tc>
        <w:tc>
          <w:tcPr>
            <w:tcW w:w="880" w:type="dxa"/>
            <w:tcBorders>
              <w:top w:val="nil"/>
              <w:left w:val="nil"/>
              <w:bottom w:val="nil"/>
              <w:right w:val="nil"/>
            </w:tcBorders>
            <w:shd w:val="clear" w:color="auto" w:fill="auto"/>
            <w:noWrap/>
            <w:vAlign w:val="bottom"/>
            <w:hideMark/>
          </w:tcPr>
          <w:p w:rsidR="00506CB4" w:rsidRPr="00506CB4" w:rsidRDefault="00506CB4">
            <w:pPr>
              <w:jc w:val="center"/>
              <w:rPr>
                <w:sz w:val="18"/>
                <w:szCs w:val="18"/>
              </w:rPr>
            </w:pPr>
            <w:r w:rsidRPr="00506CB4">
              <w:rPr>
                <w:sz w:val="18"/>
                <w:szCs w:val="18"/>
              </w:rPr>
              <w:t>64.2%</w:t>
            </w:r>
          </w:p>
        </w:tc>
        <w:tc>
          <w:tcPr>
            <w:tcW w:w="880" w:type="dxa"/>
            <w:tcBorders>
              <w:top w:val="nil"/>
              <w:left w:val="single" w:sz="4" w:space="0" w:color="auto"/>
              <w:bottom w:val="nil"/>
              <w:right w:val="single" w:sz="4" w:space="0" w:color="auto"/>
            </w:tcBorders>
            <w:shd w:val="clear" w:color="auto" w:fill="auto"/>
            <w:noWrap/>
            <w:vAlign w:val="bottom"/>
            <w:hideMark/>
          </w:tcPr>
          <w:p w:rsidR="00506CB4" w:rsidRPr="00506CB4" w:rsidRDefault="00506CB4">
            <w:pPr>
              <w:jc w:val="center"/>
              <w:rPr>
                <w:sz w:val="18"/>
                <w:szCs w:val="18"/>
              </w:rPr>
            </w:pPr>
            <w:r w:rsidRPr="00506CB4">
              <w:rPr>
                <w:sz w:val="18"/>
                <w:szCs w:val="18"/>
              </w:rPr>
              <w:t>69.9%</w:t>
            </w:r>
          </w:p>
        </w:tc>
        <w:tc>
          <w:tcPr>
            <w:tcW w:w="1143" w:type="dxa"/>
            <w:tcBorders>
              <w:top w:val="nil"/>
              <w:left w:val="nil"/>
              <w:bottom w:val="nil"/>
              <w:right w:val="nil"/>
            </w:tcBorders>
            <w:shd w:val="clear" w:color="auto" w:fill="auto"/>
            <w:noWrap/>
            <w:vAlign w:val="bottom"/>
            <w:hideMark/>
          </w:tcPr>
          <w:p w:rsidR="00506CB4" w:rsidRPr="00506CB4" w:rsidRDefault="00506CB4" w:rsidP="00506CB4">
            <w:pPr>
              <w:ind w:firstLineChars="100" w:firstLine="180"/>
              <w:rPr>
                <w:sz w:val="18"/>
                <w:szCs w:val="18"/>
              </w:rPr>
            </w:pPr>
            <w:r w:rsidRPr="00506CB4">
              <w:rPr>
                <w:sz w:val="18"/>
                <w:szCs w:val="18"/>
              </w:rPr>
              <w:t>123,300</w:t>
            </w:r>
          </w:p>
        </w:tc>
        <w:tc>
          <w:tcPr>
            <w:tcW w:w="1143" w:type="dxa"/>
            <w:tcBorders>
              <w:top w:val="nil"/>
              <w:left w:val="single" w:sz="4" w:space="0" w:color="auto"/>
              <w:bottom w:val="nil"/>
              <w:right w:val="single" w:sz="4" w:space="0" w:color="auto"/>
            </w:tcBorders>
            <w:shd w:val="clear" w:color="auto" w:fill="auto"/>
            <w:noWrap/>
            <w:vAlign w:val="bottom"/>
            <w:hideMark/>
          </w:tcPr>
          <w:p w:rsidR="00506CB4" w:rsidRPr="00506CB4" w:rsidRDefault="00506CB4" w:rsidP="00506CB4">
            <w:pPr>
              <w:ind w:firstLineChars="100" w:firstLine="180"/>
              <w:rPr>
                <w:sz w:val="18"/>
                <w:szCs w:val="18"/>
              </w:rPr>
            </w:pPr>
            <w:r w:rsidRPr="00506CB4">
              <w:rPr>
                <w:sz w:val="18"/>
                <w:szCs w:val="18"/>
              </w:rPr>
              <w:t>150,000</w:t>
            </w:r>
          </w:p>
        </w:tc>
        <w:tc>
          <w:tcPr>
            <w:tcW w:w="945" w:type="dxa"/>
            <w:tcBorders>
              <w:top w:val="nil"/>
              <w:left w:val="nil"/>
              <w:bottom w:val="nil"/>
              <w:right w:val="single" w:sz="4" w:space="0" w:color="auto"/>
            </w:tcBorders>
            <w:shd w:val="clear" w:color="auto" w:fill="auto"/>
            <w:noWrap/>
            <w:vAlign w:val="bottom"/>
            <w:hideMark/>
          </w:tcPr>
          <w:p w:rsidR="00506CB4" w:rsidRPr="00506CB4" w:rsidRDefault="00506CB4" w:rsidP="00506CB4">
            <w:pPr>
              <w:jc w:val="center"/>
              <w:rPr>
                <w:sz w:val="18"/>
                <w:szCs w:val="18"/>
              </w:rPr>
            </w:pPr>
            <w:r>
              <w:rPr>
                <w:sz w:val="18"/>
                <w:szCs w:val="18"/>
              </w:rPr>
              <w:t xml:space="preserve"> </w:t>
            </w:r>
            <w:r w:rsidRPr="00506CB4">
              <w:rPr>
                <w:sz w:val="18"/>
                <w:szCs w:val="18"/>
              </w:rPr>
              <w:t>26,700</w:t>
            </w:r>
          </w:p>
        </w:tc>
      </w:tr>
      <w:tr w:rsidR="00506CB4" w:rsidRPr="00506CB4" w:rsidTr="00D006A2">
        <w:trPr>
          <w:cantSplit/>
          <w:trHeight w:val="379"/>
          <w:jc w:val="center"/>
        </w:trPr>
        <w:tc>
          <w:tcPr>
            <w:tcW w:w="684" w:type="dxa"/>
            <w:tcBorders>
              <w:top w:val="nil"/>
              <w:left w:val="single" w:sz="4" w:space="0" w:color="auto"/>
              <w:right w:val="single" w:sz="4" w:space="0" w:color="auto"/>
            </w:tcBorders>
            <w:shd w:val="clear" w:color="auto" w:fill="auto"/>
            <w:noWrap/>
            <w:vAlign w:val="bottom"/>
            <w:hideMark/>
          </w:tcPr>
          <w:p w:rsidR="00506CB4" w:rsidRPr="00506CB4" w:rsidRDefault="00506CB4">
            <w:pPr>
              <w:rPr>
                <w:sz w:val="18"/>
                <w:szCs w:val="18"/>
              </w:rPr>
            </w:pPr>
            <w:r w:rsidRPr="00506CB4">
              <w:rPr>
                <w:sz w:val="18"/>
                <w:szCs w:val="18"/>
              </w:rPr>
              <w:t>65+</w:t>
            </w:r>
          </w:p>
        </w:tc>
        <w:tc>
          <w:tcPr>
            <w:tcW w:w="1351" w:type="dxa"/>
            <w:tcBorders>
              <w:top w:val="nil"/>
              <w:left w:val="nil"/>
              <w:right w:val="nil"/>
            </w:tcBorders>
            <w:shd w:val="clear" w:color="auto" w:fill="auto"/>
            <w:noWrap/>
            <w:vAlign w:val="bottom"/>
            <w:hideMark/>
          </w:tcPr>
          <w:p w:rsidR="00506CB4" w:rsidRPr="00506CB4" w:rsidRDefault="00506CB4" w:rsidP="008F6ACB">
            <w:pPr>
              <w:jc w:val="center"/>
              <w:rPr>
                <w:sz w:val="18"/>
                <w:szCs w:val="18"/>
              </w:rPr>
            </w:pPr>
            <w:r w:rsidRPr="00506CB4">
              <w:rPr>
                <w:sz w:val="18"/>
                <w:szCs w:val="18"/>
              </w:rPr>
              <w:t>211,100</w:t>
            </w:r>
          </w:p>
        </w:tc>
        <w:tc>
          <w:tcPr>
            <w:tcW w:w="1350" w:type="dxa"/>
            <w:tcBorders>
              <w:top w:val="nil"/>
              <w:left w:val="single" w:sz="4" w:space="0" w:color="auto"/>
              <w:right w:val="single" w:sz="4" w:space="0" w:color="auto"/>
            </w:tcBorders>
            <w:shd w:val="clear" w:color="auto" w:fill="auto"/>
            <w:noWrap/>
            <w:vAlign w:val="bottom"/>
            <w:hideMark/>
          </w:tcPr>
          <w:p w:rsidR="00506CB4" w:rsidRPr="00506CB4" w:rsidRDefault="00506CB4" w:rsidP="00506CB4">
            <w:pPr>
              <w:jc w:val="center"/>
              <w:rPr>
                <w:sz w:val="18"/>
                <w:szCs w:val="18"/>
              </w:rPr>
            </w:pPr>
            <w:r>
              <w:rPr>
                <w:sz w:val="18"/>
                <w:szCs w:val="18"/>
              </w:rPr>
              <w:t xml:space="preserve"> </w:t>
            </w:r>
            <w:r w:rsidRPr="00506CB4">
              <w:rPr>
                <w:sz w:val="18"/>
                <w:szCs w:val="18"/>
              </w:rPr>
              <w:t>292,300</w:t>
            </w:r>
          </w:p>
        </w:tc>
        <w:tc>
          <w:tcPr>
            <w:tcW w:w="880" w:type="dxa"/>
            <w:tcBorders>
              <w:top w:val="nil"/>
              <w:left w:val="nil"/>
              <w:right w:val="nil"/>
            </w:tcBorders>
            <w:shd w:val="clear" w:color="auto" w:fill="auto"/>
            <w:noWrap/>
            <w:vAlign w:val="bottom"/>
            <w:hideMark/>
          </w:tcPr>
          <w:p w:rsidR="00506CB4" w:rsidRPr="00506CB4" w:rsidRDefault="00506CB4">
            <w:pPr>
              <w:jc w:val="center"/>
              <w:rPr>
                <w:sz w:val="18"/>
                <w:szCs w:val="18"/>
              </w:rPr>
            </w:pPr>
            <w:r w:rsidRPr="00506CB4">
              <w:rPr>
                <w:sz w:val="18"/>
                <w:szCs w:val="18"/>
              </w:rPr>
              <w:t>17.2%</w:t>
            </w:r>
          </w:p>
        </w:tc>
        <w:tc>
          <w:tcPr>
            <w:tcW w:w="880" w:type="dxa"/>
            <w:tcBorders>
              <w:top w:val="nil"/>
              <w:left w:val="single" w:sz="4" w:space="0" w:color="auto"/>
              <w:right w:val="single" w:sz="4" w:space="0" w:color="auto"/>
            </w:tcBorders>
            <w:shd w:val="clear" w:color="auto" w:fill="auto"/>
            <w:noWrap/>
            <w:vAlign w:val="bottom"/>
            <w:hideMark/>
          </w:tcPr>
          <w:p w:rsidR="00506CB4" w:rsidRPr="00506CB4" w:rsidRDefault="00506CB4">
            <w:pPr>
              <w:jc w:val="center"/>
              <w:rPr>
                <w:sz w:val="18"/>
                <w:szCs w:val="18"/>
              </w:rPr>
            </w:pPr>
            <w:r w:rsidRPr="00506CB4">
              <w:rPr>
                <w:sz w:val="18"/>
                <w:szCs w:val="18"/>
              </w:rPr>
              <w:t>24.3%</w:t>
            </w:r>
          </w:p>
        </w:tc>
        <w:tc>
          <w:tcPr>
            <w:tcW w:w="1143" w:type="dxa"/>
            <w:tcBorders>
              <w:top w:val="nil"/>
              <w:left w:val="nil"/>
              <w:right w:val="nil"/>
            </w:tcBorders>
            <w:shd w:val="clear" w:color="auto" w:fill="auto"/>
            <w:noWrap/>
            <w:vAlign w:val="bottom"/>
            <w:hideMark/>
          </w:tcPr>
          <w:p w:rsidR="00506CB4" w:rsidRPr="00506CB4" w:rsidRDefault="00506CB4" w:rsidP="00506CB4">
            <w:pPr>
              <w:ind w:firstLineChars="100" w:firstLine="180"/>
              <w:rPr>
                <w:sz w:val="18"/>
                <w:szCs w:val="18"/>
              </w:rPr>
            </w:pPr>
            <w:r>
              <w:rPr>
                <w:sz w:val="18"/>
                <w:szCs w:val="18"/>
              </w:rPr>
              <w:t xml:space="preserve">  </w:t>
            </w:r>
            <w:r w:rsidRPr="00506CB4">
              <w:rPr>
                <w:sz w:val="18"/>
                <w:szCs w:val="18"/>
              </w:rPr>
              <w:t>36,300</w:t>
            </w:r>
          </w:p>
        </w:tc>
        <w:tc>
          <w:tcPr>
            <w:tcW w:w="1143" w:type="dxa"/>
            <w:tcBorders>
              <w:top w:val="nil"/>
              <w:left w:val="single" w:sz="4" w:space="0" w:color="auto"/>
              <w:right w:val="single" w:sz="4" w:space="0" w:color="auto"/>
            </w:tcBorders>
            <w:shd w:val="clear" w:color="auto" w:fill="auto"/>
            <w:noWrap/>
            <w:vAlign w:val="bottom"/>
            <w:hideMark/>
          </w:tcPr>
          <w:p w:rsidR="00506CB4" w:rsidRPr="00506CB4" w:rsidRDefault="00506CB4" w:rsidP="00506CB4">
            <w:pPr>
              <w:ind w:firstLineChars="100" w:firstLine="180"/>
              <w:rPr>
                <w:sz w:val="18"/>
                <w:szCs w:val="18"/>
              </w:rPr>
            </w:pPr>
            <w:r>
              <w:rPr>
                <w:sz w:val="18"/>
                <w:szCs w:val="18"/>
              </w:rPr>
              <w:t xml:space="preserve">  </w:t>
            </w:r>
            <w:r w:rsidRPr="00506CB4">
              <w:rPr>
                <w:sz w:val="18"/>
                <w:szCs w:val="18"/>
              </w:rPr>
              <w:t>71,000</w:t>
            </w:r>
          </w:p>
        </w:tc>
        <w:tc>
          <w:tcPr>
            <w:tcW w:w="945" w:type="dxa"/>
            <w:tcBorders>
              <w:top w:val="nil"/>
              <w:left w:val="nil"/>
              <w:right w:val="single" w:sz="4" w:space="0" w:color="auto"/>
            </w:tcBorders>
            <w:shd w:val="clear" w:color="auto" w:fill="auto"/>
            <w:noWrap/>
            <w:vAlign w:val="bottom"/>
            <w:hideMark/>
          </w:tcPr>
          <w:p w:rsidR="00506CB4" w:rsidRPr="00506CB4" w:rsidRDefault="00506CB4" w:rsidP="00506CB4">
            <w:pPr>
              <w:jc w:val="center"/>
              <w:rPr>
                <w:sz w:val="18"/>
                <w:szCs w:val="18"/>
              </w:rPr>
            </w:pPr>
            <w:r>
              <w:rPr>
                <w:sz w:val="18"/>
                <w:szCs w:val="18"/>
              </w:rPr>
              <w:t xml:space="preserve"> </w:t>
            </w:r>
            <w:r w:rsidRPr="00506CB4">
              <w:rPr>
                <w:sz w:val="18"/>
                <w:szCs w:val="18"/>
              </w:rPr>
              <w:t>34,700</w:t>
            </w:r>
          </w:p>
        </w:tc>
      </w:tr>
      <w:tr w:rsidR="00506CB4" w:rsidRPr="00506CB4" w:rsidTr="00D006A2">
        <w:trPr>
          <w:cantSplit/>
          <w:trHeight w:val="379"/>
          <w:jc w:val="center"/>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506CB4" w:rsidRPr="00506CB4" w:rsidRDefault="00506CB4">
            <w:pPr>
              <w:rPr>
                <w:sz w:val="18"/>
                <w:szCs w:val="18"/>
              </w:rPr>
            </w:pPr>
            <w:r w:rsidRPr="00506CB4">
              <w:rPr>
                <w:sz w:val="18"/>
                <w:szCs w:val="18"/>
              </w:rPr>
              <w:t>Total</w:t>
            </w:r>
          </w:p>
        </w:tc>
        <w:tc>
          <w:tcPr>
            <w:tcW w:w="1351" w:type="dxa"/>
            <w:tcBorders>
              <w:top w:val="nil"/>
              <w:left w:val="nil"/>
              <w:bottom w:val="single" w:sz="4" w:space="0" w:color="auto"/>
              <w:right w:val="nil"/>
            </w:tcBorders>
            <w:shd w:val="clear" w:color="auto" w:fill="auto"/>
            <w:noWrap/>
            <w:vAlign w:val="bottom"/>
            <w:hideMark/>
          </w:tcPr>
          <w:p w:rsidR="00506CB4" w:rsidRPr="00506CB4" w:rsidRDefault="008F6ACB" w:rsidP="008F6ACB">
            <w:pPr>
              <w:rPr>
                <w:sz w:val="18"/>
                <w:szCs w:val="18"/>
              </w:rPr>
            </w:pPr>
            <w:r>
              <w:rPr>
                <w:sz w:val="18"/>
                <w:szCs w:val="18"/>
              </w:rPr>
              <w:t xml:space="preserve">   </w:t>
            </w:r>
            <w:r w:rsidR="00506CB4" w:rsidRPr="00506CB4">
              <w:rPr>
                <w:sz w:val="18"/>
                <w:szCs w:val="18"/>
              </w:rPr>
              <w:t>1,089,300</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06CB4" w:rsidRPr="00506CB4" w:rsidRDefault="00506CB4" w:rsidP="00506CB4">
            <w:pPr>
              <w:ind w:firstLineChars="100" w:firstLine="180"/>
              <w:rPr>
                <w:sz w:val="18"/>
                <w:szCs w:val="18"/>
              </w:rPr>
            </w:pPr>
            <w:r w:rsidRPr="00506CB4">
              <w:rPr>
                <w:sz w:val="18"/>
                <w:szCs w:val="18"/>
              </w:rPr>
              <w:t>1,136,800</w:t>
            </w:r>
          </w:p>
        </w:tc>
        <w:tc>
          <w:tcPr>
            <w:tcW w:w="880" w:type="dxa"/>
            <w:tcBorders>
              <w:top w:val="nil"/>
              <w:left w:val="nil"/>
              <w:bottom w:val="single" w:sz="4" w:space="0" w:color="auto"/>
              <w:right w:val="nil"/>
            </w:tcBorders>
            <w:shd w:val="clear" w:color="auto" w:fill="auto"/>
            <w:noWrap/>
            <w:vAlign w:val="bottom"/>
            <w:hideMark/>
          </w:tcPr>
          <w:p w:rsidR="00506CB4" w:rsidRPr="00506CB4" w:rsidRDefault="00506CB4">
            <w:pPr>
              <w:jc w:val="center"/>
              <w:rPr>
                <w:sz w:val="18"/>
                <w:szCs w:val="18"/>
              </w:rPr>
            </w:pPr>
            <w:r w:rsidRPr="00506CB4">
              <w:rPr>
                <w:sz w:val="18"/>
                <w:szCs w:val="18"/>
              </w:rPr>
              <w:t>64.3%</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06CB4" w:rsidRPr="00506CB4" w:rsidRDefault="00506CB4">
            <w:pPr>
              <w:jc w:val="center"/>
              <w:rPr>
                <w:sz w:val="18"/>
                <w:szCs w:val="18"/>
              </w:rPr>
            </w:pPr>
            <w:r w:rsidRPr="00506CB4">
              <w:rPr>
                <w:sz w:val="18"/>
                <w:szCs w:val="18"/>
              </w:rPr>
              <w:t>63.2%</w:t>
            </w:r>
          </w:p>
        </w:tc>
        <w:tc>
          <w:tcPr>
            <w:tcW w:w="1143" w:type="dxa"/>
            <w:tcBorders>
              <w:top w:val="nil"/>
              <w:left w:val="nil"/>
              <w:bottom w:val="single" w:sz="4" w:space="0" w:color="auto"/>
              <w:right w:val="nil"/>
            </w:tcBorders>
            <w:shd w:val="clear" w:color="auto" w:fill="auto"/>
            <w:noWrap/>
            <w:vAlign w:val="bottom"/>
            <w:hideMark/>
          </w:tcPr>
          <w:p w:rsidR="00506CB4" w:rsidRPr="00506CB4" w:rsidRDefault="00506CB4" w:rsidP="00506CB4">
            <w:pPr>
              <w:ind w:firstLineChars="100" w:firstLine="180"/>
              <w:rPr>
                <w:sz w:val="18"/>
                <w:szCs w:val="18"/>
              </w:rPr>
            </w:pPr>
            <w:r w:rsidRPr="00506CB4">
              <w:rPr>
                <w:sz w:val="18"/>
                <w:szCs w:val="18"/>
              </w:rPr>
              <w:t>700,300</w:t>
            </w:r>
          </w:p>
        </w:tc>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506CB4" w:rsidRPr="00506CB4" w:rsidRDefault="00506CB4" w:rsidP="00506CB4">
            <w:pPr>
              <w:ind w:firstLineChars="100" w:firstLine="180"/>
              <w:rPr>
                <w:sz w:val="18"/>
                <w:szCs w:val="18"/>
              </w:rPr>
            </w:pPr>
            <w:r w:rsidRPr="00506CB4">
              <w:rPr>
                <w:sz w:val="18"/>
                <w:szCs w:val="18"/>
              </w:rPr>
              <w:t>719,100</w:t>
            </w:r>
          </w:p>
        </w:tc>
        <w:tc>
          <w:tcPr>
            <w:tcW w:w="945" w:type="dxa"/>
            <w:tcBorders>
              <w:top w:val="nil"/>
              <w:left w:val="nil"/>
              <w:bottom w:val="single" w:sz="4" w:space="0" w:color="auto"/>
              <w:right w:val="single" w:sz="4" w:space="0" w:color="auto"/>
            </w:tcBorders>
            <w:shd w:val="clear" w:color="auto" w:fill="auto"/>
            <w:noWrap/>
            <w:vAlign w:val="bottom"/>
            <w:hideMark/>
          </w:tcPr>
          <w:p w:rsidR="00506CB4" w:rsidRPr="00506CB4" w:rsidRDefault="00506CB4" w:rsidP="00506CB4">
            <w:pPr>
              <w:jc w:val="center"/>
              <w:rPr>
                <w:sz w:val="18"/>
                <w:szCs w:val="18"/>
              </w:rPr>
            </w:pPr>
            <w:r>
              <w:rPr>
                <w:sz w:val="18"/>
                <w:szCs w:val="18"/>
              </w:rPr>
              <w:t xml:space="preserve"> </w:t>
            </w:r>
            <w:r w:rsidRPr="00506CB4">
              <w:rPr>
                <w:sz w:val="18"/>
                <w:szCs w:val="18"/>
              </w:rPr>
              <w:t>18,800</w:t>
            </w:r>
          </w:p>
        </w:tc>
      </w:tr>
      <w:tr w:rsidR="00506CB4" w:rsidRPr="00506CB4" w:rsidTr="00D006A2">
        <w:trPr>
          <w:cantSplit/>
          <w:trHeight w:val="240"/>
          <w:jc w:val="center"/>
        </w:trPr>
        <w:tc>
          <w:tcPr>
            <w:tcW w:w="7431" w:type="dxa"/>
            <w:gridSpan w:val="7"/>
            <w:tcBorders>
              <w:top w:val="single" w:sz="4" w:space="0" w:color="auto"/>
              <w:bottom w:val="nil"/>
              <w:right w:val="nil"/>
            </w:tcBorders>
            <w:shd w:val="clear" w:color="auto" w:fill="auto"/>
            <w:noWrap/>
            <w:vAlign w:val="bottom"/>
            <w:hideMark/>
          </w:tcPr>
          <w:p w:rsidR="00506CB4" w:rsidRPr="00506CB4" w:rsidRDefault="00506CB4">
            <w:pPr>
              <w:rPr>
                <w:sz w:val="14"/>
                <w:szCs w:val="14"/>
              </w:rPr>
            </w:pPr>
            <w:r w:rsidRPr="00506CB4">
              <w:rPr>
                <w:sz w:val="14"/>
                <w:szCs w:val="14"/>
              </w:rPr>
              <w:t>Source: 2010, Current Population Survey; 2020, Center for Workforce Research and Information.</w:t>
            </w:r>
          </w:p>
        </w:tc>
        <w:tc>
          <w:tcPr>
            <w:tcW w:w="945" w:type="dxa"/>
            <w:tcBorders>
              <w:top w:val="single" w:sz="4" w:space="0" w:color="auto"/>
              <w:left w:val="nil"/>
              <w:bottom w:val="nil"/>
              <w:right w:val="nil"/>
            </w:tcBorders>
            <w:shd w:val="clear" w:color="auto" w:fill="auto"/>
            <w:noWrap/>
            <w:vAlign w:val="bottom"/>
            <w:hideMark/>
          </w:tcPr>
          <w:p w:rsidR="00506CB4" w:rsidRPr="00506CB4" w:rsidRDefault="00506CB4">
            <w:pPr>
              <w:rPr>
                <w:sz w:val="18"/>
                <w:szCs w:val="18"/>
              </w:rPr>
            </w:pPr>
            <w:r w:rsidRPr="00506CB4">
              <w:rPr>
                <w:sz w:val="18"/>
                <w:szCs w:val="18"/>
              </w:rPr>
              <w:t> </w:t>
            </w:r>
          </w:p>
        </w:tc>
      </w:tr>
      <w:tr w:rsidR="00506CB4" w:rsidRPr="00506CB4" w:rsidTr="00D006A2">
        <w:trPr>
          <w:cantSplit/>
          <w:trHeight w:val="240"/>
          <w:jc w:val="center"/>
        </w:trPr>
        <w:tc>
          <w:tcPr>
            <w:tcW w:w="2035" w:type="dxa"/>
            <w:gridSpan w:val="2"/>
            <w:tcBorders>
              <w:top w:val="nil"/>
              <w:bottom w:val="nil"/>
              <w:right w:val="nil"/>
            </w:tcBorders>
            <w:shd w:val="clear" w:color="auto" w:fill="auto"/>
            <w:noWrap/>
            <w:vAlign w:val="bottom"/>
            <w:hideMark/>
          </w:tcPr>
          <w:p w:rsidR="00506CB4" w:rsidRPr="00506CB4" w:rsidRDefault="00506CB4">
            <w:pPr>
              <w:rPr>
                <w:sz w:val="14"/>
                <w:szCs w:val="14"/>
              </w:rPr>
            </w:pPr>
            <w:r w:rsidRPr="00506CB4">
              <w:rPr>
                <w:sz w:val="14"/>
                <w:szCs w:val="14"/>
              </w:rPr>
              <w:t>*Civilian noninsitutional.</w:t>
            </w:r>
          </w:p>
        </w:tc>
        <w:tc>
          <w:tcPr>
            <w:tcW w:w="1350" w:type="dxa"/>
            <w:tcBorders>
              <w:top w:val="nil"/>
              <w:left w:val="nil"/>
              <w:bottom w:val="nil"/>
              <w:right w:val="nil"/>
            </w:tcBorders>
            <w:shd w:val="clear" w:color="auto" w:fill="auto"/>
            <w:noWrap/>
            <w:vAlign w:val="bottom"/>
            <w:hideMark/>
          </w:tcPr>
          <w:p w:rsidR="00506CB4" w:rsidRPr="00506CB4" w:rsidRDefault="00506CB4">
            <w:pPr>
              <w:rPr>
                <w:sz w:val="18"/>
                <w:szCs w:val="18"/>
              </w:rPr>
            </w:pPr>
          </w:p>
        </w:tc>
        <w:tc>
          <w:tcPr>
            <w:tcW w:w="880" w:type="dxa"/>
            <w:tcBorders>
              <w:top w:val="nil"/>
              <w:left w:val="nil"/>
              <w:bottom w:val="nil"/>
              <w:right w:val="nil"/>
            </w:tcBorders>
            <w:shd w:val="clear" w:color="auto" w:fill="auto"/>
            <w:noWrap/>
            <w:vAlign w:val="bottom"/>
            <w:hideMark/>
          </w:tcPr>
          <w:p w:rsidR="00506CB4" w:rsidRPr="00506CB4" w:rsidRDefault="00506CB4">
            <w:pPr>
              <w:rPr>
                <w:sz w:val="18"/>
                <w:szCs w:val="18"/>
              </w:rPr>
            </w:pPr>
          </w:p>
        </w:tc>
        <w:tc>
          <w:tcPr>
            <w:tcW w:w="880" w:type="dxa"/>
            <w:tcBorders>
              <w:top w:val="nil"/>
              <w:left w:val="nil"/>
              <w:bottom w:val="nil"/>
              <w:right w:val="nil"/>
            </w:tcBorders>
            <w:shd w:val="clear" w:color="auto" w:fill="auto"/>
            <w:noWrap/>
            <w:vAlign w:val="bottom"/>
            <w:hideMark/>
          </w:tcPr>
          <w:p w:rsidR="00506CB4" w:rsidRPr="00506CB4" w:rsidRDefault="00506CB4">
            <w:pPr>
              <w:rPr>
                <w:sz w:val="18"/>
                <w:szCs w:val="18"/>
              </w:rPr>
            </w:pPr>
          </w:p>
        </w:tc>
        <w:tc>
          <w:tcPr>
            <w:tcW w:w="1143" w:type="dxa"/>
            <w:tcBorders>
              <w:top w:val="nil"/>
              <w:left w:val="nil"/>
              <w:bottom w:val="nil"/>
              <w:right w:val="nil"/>
            </w:tcBorders>
            <w:shd w:val="clear" w:color="auto" w:fill="auto"/>
            <w:noWrap/>
            <w:vAlign w:val="bottom"/>
            <w:hideMark/>
          </w:tcPr>
          <w:p w:rsidR="00506CB4" w:rsidRPr="00506CB4" w:rsidRDefault="00506CB4">
            <w:pPr>
              <w:rPr>
                <w:sz w:val="18"/>
                <w:szCs w:val="18"/>
              </w:rPr>
            </w:pPr>
          </w:p>
        </w:tc>
        <w:tc>
          <w:tcPr>
            <w:tcW w:w="1143" w:type="dxa"/>
            <w:tcBorders>
              <w:top w:val="nil"/>
              <w:left w:val="nil"/>
              <w:bottom w:val="nil"/>
              <w:right w:val="nil"/>
            </w:tcBorders>
            <w:shd w:val="clear" w:color="auto" w:fill="auto"/>
            <w:noWrap/>
            <w:vAlign w:val="bottom"/>
            <w:hideMark/>
          </w:tcPr>
          <w:p w:rsidR="00506CB4" w:rsidRPr="00506CB4" w:rsidRDefault="00506CB4">
            <w:pPr>
              <w:rPr>
                <w:sz w:val="18"/>
                <w:szCs w:val="18"/>
              </w:rPr>
            </w:pPr>
          </w:p>
        </w:tc>
        <w:tc>
          <w:tcPr>
            <w:tcW w:w="945" w:type="dxa"/>
            <w:tcBorders>
              <w:top w:val="nil"/>
              <w:left w:val="nil"/>
              <w:bottom w:val="nil"/>
              <w:right w:val="nil"/>
            </w:tcBorders>
            <w:shd w:val="clear" w:color="auto" w:fill="auto"/>
            <w:noWrap/>
            <w:vAlign w:val="bottom"/>
            <w:hideMark/>
          </w:tcPr>
          <w:p w:rsidR="00506CB4" w:rsidRPr="00506CB4" w:rsidRDefault="00506CB4">
            <w:pPr>
              <w:rPr>
                <w:sz w:val="18"/>
                <w:szCs w:val="18"/>
              </w:rPr>
            </w:pPr>
          </w:p>
        </w:tc>
      </w:tr>
    </w:tbl>
    <w:p w:rsidR="00F473D7" w:rsidRDefault="00F473D7" w:rsidP="00305894">
      <w:pPr>
        <w:pStyle w:val="Heading2"/>
      </w:pPr>
      <w:r>
        <w:t>Labor quality is improving</w:t>
      </w:r>
    </w:p>
    <w:p w:rsidR="00796C69" w:rsidRDefault="00796C69" w:rsidP="00796C69">
      <w:pPr>
        <w:pStyle w:val="BodyText"/>
      </w:pPr>
      <w:r>
        <w:t xml:space="preserve">While labor force </w:t>
      </w:r>
      <w:r w:rsidR="003D1DE6">
        <w:t>gains</w:t>
      </w:r>
      <w:r>
        <w:t xml:space="preserve"> resulting from the growing attachment of older workers to the labor force are anti</w:t>
      </w:r>
      <w:r w:rsidR="003D1DE6">
        <w:t xml:space="preserve">cipated to more than offset losses </w:t>
      </w:r>
      <w:r>
        <w:t xml:space="preserve">stemming from other demographic changes, </w:t>
      </w:r>
      <w:r w:rsidR="004D0E36">
        <w:t>the slow</w:t>
      </w:r>
      <w:r w:rsidR="00486E39">
        <w:t>ly growing</w:t>
      </w:r>
      <w:r w:rsidR="004D0E36">
        <w:t xml:space="preserve"> and aging workforce</w:t>
      </w:r>
      <w:r>
        <w:t xml:space="preserve"> will be a problem as employers </w:t>
      </w:r>
      <w:r w:rsidR="00486E39">
        <w:t>seek to replace experienced</w:t>
      </w:r>
      <w:r>
        <w:t xml:space="preserve"> workers </w:t>
      </w:r>
      <w:r w:rsidR="00486E39">
        <w:t>a</w:t>
      </w:r>
      <w:r w:rsidR="00F473D7">
        <w:t>nd expand their businesses</w:t>
      </w:r>
      <w:r>
        <w:t>.</w:t>
      </w:r>
      <w:r w:rsidR="00505199">
        <w:t xml:space="preserve"> One means of accommodating reduced quantity is to improve the quality of the workforce</w:t>
      </w:r>
      <w:r w:rsidR="003F17A0">
        <w:t xml:space="preserve"> </w:t>
      </w:r>
      <w:r w:rsidR="00017200">
        <w:t xml:space="preserve">(current and future) </w:t>
      </w:r>
      <w:r w:rsidR="003F17A0">
        <w:t>through education</w:t>
      </w:r>
      <w:r w:rsidR="00505199">
        <w:t>.</w:t>
      </w:r>
      <w:r w:rsidR="00464CF2">
        <w:t xml:space="preserve"> </w:t>
      </w:r>
      <w:r w:rsidR="003F17A0">
        <w:t xml:space="preserve">The </w:t>
      </w:r>
      <w:r w:rsidR="00691FDC">
        <w:t>Maine</w:t>
      </w:r>
      <w:r w:rsidR="003F17A0">
        <w:t xml:space="preserve"> workforce is</w:t>
      </w:r>
      <w:r w:rsidR="00691FDC">
        <w:t xml:space="preserve"> considerably more educated than </w:t>
      </w:r>
      <w:r w:rsidR="008501F1">
        <w:t xml:space="preserve">it was </w:t>
      </w:r>
      <w:r w:rsidR="00691FDC">
        <w:t>twenty years ago</w:t>
      </w:r>
      <w:r w:rsidR="00116299">
        <w:t>,</w:t>
      </w:r>
      <w:r w:rsidR="001C27A3">
        <w:t xml:space="preserve"> in response to </w:t>
      </w:r>
      <w:r w:rsidR="008501F1">
        <w:t xml:space="preserve">not only </w:t>
      </w:r>
      <w:r w:rsidR="001C27A3">
        <w:t xml:space="preserve">the ongoing shift in demand </w:t>
      </w:r>
      <w:r w:rsidR="00486E39">
        <w:t xml:space="preserve">toward </w:t>
      </w:r>
      <w:r w:rsidR="00156B29">
        <w:t xml:space="preserve">occupations </w:t>
      </w:r>
      <w:r w:rsidR="004540FA">
        <w:t>in</w:t>
      </w:r>
      <w:r w:rsidR="00156B29">
        <w:t xml:space="preserve"> the high end of the skill distribution, </w:t>
      </w:r>
      <w:r w:rsidR="008501F1">
        <w:t>but also</w:t>
      </w:r>
      <w:r w:rsidR="00156B29">
        <w:t xml:space="preserve"> </w:t>
      </w:r>
      <w:r w:rsidR="00116299">
        <w:t>the</w:t>
      </w:r>
      <w:r w:rsidR="00486E39">
        <w:t xml:space="preserve"> higher level of skills needed in most occupations</w:t>
      </w:r>
      <w:r w:rsidR="00557337">
        <w:t>. Continued improvements in skill and</w:t>
      </w:r>
      <w:r w:rsidR="00C11997">
        <w:t xml:space="preserve"> e</w:t>
      </w:r>
      <w:r w:rsidR="00F473D7">
        <w:t xml:space="preserve">ducation </w:t>
      </w:r>
      <w:r w:rsidR="00557337">
        <w:t xml:space="preserve">will enhance the productivity of the workforce and </w:t>
      </w:r>
      <w:r w:rsidR="00170316">
        <w:t xml:space="preserve">could </w:t>
      </w:r>
      <w:r w:rsidR="00557337">
        <w:t xml:space="preserve">offset, to some degree, the </w:t>
      </w:r>
      <w:r w:rsidR="00170316">
        <w:t>slow growth</w:t>
      </w:r>
      <w:r w:rsidR="00557337">
        <w:t xml:space="preserve"> in the quantity of the workforce</w:t>
      </w:r>
      <w:r w:rsidR="00C11997">
        <w:t xml:space="preserve">. </w:t>
      </w:r>
    </w:p>
    <w:p w:rsidR="001C27A3" w:rsidRDefault="002E5F3E" w:rsidP="00F473D7">
      <w:pPr>
        <w:pStyle w:val="BodyText"/>
        <w:jc w:val="center"/>
      </w:pPr>
      <w:r>
        <w:rPr>
          <w:noProof/>
        </w:rPr>
        <w:drawing>
          <wp:inline distT="0" distB="0" distL="0" distR="0">
            <wp:extent cx="3676650" cy="3725027"/>
            <wp:effectExtent l="0" t="0" r="0" b="8890"/>
            <wp:docPr id="11" name="Picture 11" descr="See sheet 11 in accompanying excel file." title="Educational attainment of the Maine labor force continued to 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76650" cy="3725027"/>
                    </a:xfrm>
                    <a:prstGeom prst="rect">
                      <a:avLst/>
                    </a:prstGeom>
                    <a:noFill/>
                    <a:ln>
                      <a:noFill/>
                    </a:ln>
                  </pic:spPr>
                </pic:pic>
              </a:graphicData>
            </a:graphic>
          </wp:inline>
        </w:drawing>
      </w:r>
    </w:p>
    <w:p w:rsidR="00C24BD6" w:rsidRDefault="003A60CD" w:rsidP="00305894">
      <w:pPr>
        <w:pStyle w:val="Heading2"/>
      </w:pPr>
      <w:r>
        <w:lastRenderedPageBreak/>
        <w:t>Summary</w:t>
      </w:r>
    </w:p>
    <w:p w:rsidR="003A60CD" w:rsidRDefault="003A60CD" w:rsidP="00F55CE8">
      <w:pPr>
        <w:pStyle w:val="BodyText"/>
        <w:spacing w:after="360"/>
      </w:pPr>
      <w:r>
        <w:t xml:space="preserve">The growth of the Maine economy during the next two decades will rely in large part on the quantity and quality of the workforce. </w:t>
      </w:r>
      <w:r w:rsidR="002E2054">
        <w:t>Unless there are</w:t>
      </w:r>
      <w:r>
        <w:t xml:space="preserve"> dramatic changes in </w:t>
      </w:r>
      <w:r w:rsidRPr="00F55CE8">
        <w:t>immigration</w:t>
      </w:r>
      <w:r>
        <w:t xml:space="preserve"> patterns, </w:t>
      </w:r>
      <w:r w:rsidR="00037DD7">
        <w:t xml:space="preserve">increasing </w:t>
      </w:r>
      <w:r>
        <w:t xml:space="preserve">the quantity will be restricted by a slowly growing, aging </w:t>
      </w:r>
      <w:r w:rsidR="00170316">
        <w:t>population</w:t>
      </w:r>
      <w:r>
        <w:t xml:space="preserve">. </w:t>
      </w:r>
      <w:r w:rsidR="00D0494B">
        <w:t>Enhancing</w:t>
      </w:r>
      <w:r w:rsidR="00037DD7">
        <w:t xml:space="preserve"> worker productivity through increasing skills and education will help a slowly growing labor force m</w:t>
      </w:r>
      <w:r>
        <w:t xml:space="preserve">eet the </w:t>
      </w:r>
      <w:r w:rsidR="00D0494B">
        <w:t>employer needs</w:t>
      </w:r>
      <w:r w:rsidR="002364FF">
        <w:t xml:space="preserve"> that arise in the next twenty years.</w:t>
      </w:r>
    </w:p>
    <w:p w:rsidR="00E05AF0" w:rsidRDefault="00E05AF0" w:rsidP="00C24BD6">
      <w:pPr>
        <w:pStyle w:val="BodyText"/>
      </w:pPr>
      <w:r>
        <w:t>Appendix A</w:t>
      </w:r>
    </w:p>
    <w:tbl>
      <w:tblPr>
        <w:tblW w:w="7540" w:type="dxa"/>
        <w:jc w:val="center"/>
        <w:tblLook w:val="04A0" w:firstRow="1" w:lastRow="0" w:firstColumn="1" w:lastColumn="0" w:noHBand="0" w:noVBand="1"/>
      </w:tblPr>
      <w:tblGrid>
        <w:gridCol w:w="5612"/>
        <w:gridCol w:w="964"/>
        <w:gridCol w:w="964"/>
      </w:tblGrid>
      <w:tr w:rsidR="00CB43A7" w:rsidRPr="00CB43A7" w:rsidTr="00D006A2">
        <w:trPr>
          <w:trHeight w:val="300"/>
          <w:tblHeader/>
          <w:jc w:val="center"/>
        </w:trPr>
        <w:tc>
          <w:tcPr>
            <w:tcW w:w="754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B43A7" w:rsidRPr="00CB43A7" w:rsidRDefault="00CB43A7">
            <w:pPr>
              <w:jc w:val="center"/>
              <w:rPr>
                <w:rFonts w:ascii="Calibri" w:hAnsi="Calibri" w:cs="Calibri"/>
                <w:b/>
                <w:bCs/>
                <w:color w:val="000000"/>
                <w:sz w:val="18"/>
                <w:szCs w:val="18"/>
              </w:rPr>
            </w:pPr>
            <w:r w:rsidRPr="00CB43A7">
              <w:rPr>
                <w:rFonts w:ascii="Calibri" w:hAnsi="Calibri" w:cs="Calibri"/>
                <w:b/>
                <w:bCs/>
                <w:color w:val="000000"/>
                <w:sz w:val="18"/>
                <w:szCs w:val="18"/>
              </w:rPr>
              <w:t>Private Industry Employment in Maine, 2011 Annual Averages</w:t>
            </w:r>
          </w:p>
        </w:tc>
      </w:tr>
      <w:tr w:rsidR="00CB43A7" w:rsidRPr="00CB43A7" w:rsidTr="00D006A2">
        <w:trPr>
          <w:trHeight w:val="300"/>
          <w:tblHeader/>
          <w:jc w:val="center"/>
        </w:trPr>
        <w:tc>
          <w:tcPr>
            <w:tcW w:w="754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CB43A7" w:rsidRPr="00CB43A7" w:rsidRDefault="00CB43A7">
            <w:pPr>
              <w:jc w:val="center"/>
              <w:rPr>
                <w:rFonts w:ascii="Calibri" w:hAnsi="Calibri" w:cs="Calibri"/>
                <w:b/>
                <w:bCs/>
                <w:color w:val="000000"/>
                <w:sz w:val="18"/>
                <w:szCs w:val="18"/>
              </w:rPr>
            </w:pPr>
            <w:r w:rsidRPr="00CB43A7">
              <w:rPr>
                <w:rFonts w:ascii="Calibri" w:hAnsi="Calibri" w:cs="Calibri"/>
                <w:b/>
                <w:bCs/>
                <w:color w:val="000000"/>
                <w:sz w:val="18"/>
                <w:szCs w:val="18"/>
              </w:rPr>
              <w:t>(sorted by age 55 or over)</w:t>
            </w:r>
          </w:p>
        </w:tc>
      </w:tr>
      <w:tr w:rsidR="00CB43A7" w:rsidRPr="00CB43A7" w:rsidTr="00D006A2">
        <w:trPr>
          <w:trHeight w:val="300"/>
          <w:tblHeader/>
          <w:jc w:val="center"/>
        </w:trPr>
        <w:tc>
          <w:tcPr>
            <w:tcW w:w="56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43A7" w:rsidRPr="00CB43A7" w:rsidRDefault="00CB43A7">
            <w:pPr>
              <w:jc w:val="center"/>
              <w:rPr>
                <w:rFonts w:ascii="Calibri" w:hAnsi="Calibri" w:cs="Calibri"/>
                <w:b/>
                <w:bCs/>
                <w:color w:val="000000"/>
                <w:sz w:val="18"/>
                <w:szCs w:val="18"/>
              </w:rPr>
            </w:pPr>
            <w:r w:rsidRPr="00CB43A7">
              <w:rPr>
                <w:rFonts w:ascii="Calibri" w:hAnsi="Calibri" w:cs="Calibri"/>
                <w:b/>
                <w:bCs/>
                <w:color w:val="000000"/>
                <w:sz w:val="18"/>
                <w:szCs w:val="18"/>
              </w:rPr>
              <w:t>Industry</w:t>
            </w:r>
          </w:p>
        </w:tc>
        <w:tc>
          <w:tcPr>
            <w:tcW w:w="1928"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B43A7" w:rsidRPr="00CB43A7" w:rsidRDefault="00CB43A7">
            <w:pPr>
              <w:jc w:val="center"/>
              <w:rPr>
                <w:rFonts w:ascii="Calibri" w:hAnsi="Calibri" w:cs="Calibri"/>
                <w:b/>
                <w:bCs/>
                <w:color w:val="000000"/>
                <w:sz w:val="18"/>
                <w:szCs w:val="18"/>
              </w:rPr>
            </w:pPr>
            <w:r w:rsidRPr="00CB43A7">
              <w:rPr>
                <w:rFonts w:ascii="Calibri" w:hAnsi="Calibri" w:cs="Calibri"/>
                <w:b/>
                <w:bCs/>
                <w:color w:val="000000"/>
                <w:sz w:val="18"/>
                <w:szCs w:val="18"/>
              </w:rPr>
              <w:t>Percent</w:t>
            </w:r>
          </w:p>
        </w:tc>
      </w:tr>
      <w:tr w:rsidR="00CB43A7" w:rsidRPr="00CB43A7" w:rsidTr="00D006A2">
        <w:trPr>
          <w:trHeight w:val="300"/>
          <w:tblHeader/>
          <w:jc w:val="center"/>
        </w:trPr>
        <w:tc>
          <w:tcPr>
            <w:tcW w:w="5612" w:type="dxa"/>
            <w:vMerge/>
            <w:tcBorders>
              <w:top w:val="nil"/>
              <w:left w:val="single" w:sz="4" w:space="0" w:color="auto"/>
              <w:bottom w:val="single" w:sz="4" w:space="0" w:color="000000"/>
              <w:right w:val="single" w:sz="4" w:space="0" w:color="auto"/>
            </w:tcBorders>
            <w:vAlign w:val="center"/>
            <w:hideMark/>
          </w:tcPr>
          <w:p w:rsidR="00CB43A7" w:rsidRPr="00CB43A7" w:rsidRDefault="00CB43A7">
            <w:pPr>
              <w:rPr>
                <w:rFonts w:ascii="Calibri" w:hAnsi="Calibri" w:cs="Calibri"/>
                <w:b/>
                <w:bCs/>
                <w:color w:val="000000"/>
                <w:sz w:val="18"/>
                <w:szCs w:val="18"/>
              </w:rPr>
            </w:pPr>
          </w:p>
        </w:tc>
        <w:tc>
          <w:tcPr>
            <w:tcW w:w="964" w:type="dxa"/>
            <w:tcBorders>
              <w:top w:val="nil"/>
              <w:left w:val="single" w:sz="4" w:space="0" w:color="auto"/>
              <w:bottom w:val="single" w:sz="4" w:space="0" w:color="auto"/>
              <w:right w:val="single" w:sz="4" w:space="0" w:color="auto"/>
            </w:tcBorders>
            <w:shd w:val="clear" w:color="auto" w:fill="auto"/>
            <w:noWrap/>
            <w:vAlign w:val="bottom"/>
            <w:hideMark/>
          </w:tcPr>
          <w:p w:rsidR="00CB43A7" w:rsidRPr="00CB43A7" w:rsidRDefault="00CB43A7">
            <w:pPr>
              <w:jc w:val="center"/>
              <w:rPr>
                <w:rFonts w:ascii="Calibri" w:hAnsi="Calibri" w:cs="Calibri"/>
                <w:b/>
                <w:bCs/>
                <w:color w:val="000000"/>
                <w:sz w:val="18"/>
                <w:szCs w:val="18"/>
              </w:rPr>
            </w:pPr>
            <w:r w:rsidRPr="00CB43A7">
              <w:rPr>
                <w:rFonts w:ascii="Calibri" w:hAnsi="Calibri" w:cs="Calibri"/>
                <w:b/>
                <w:bCs/>
                <w:color w:val="000000"/>
                <w:sz w:val="18"/>
                <w:szCs w:val="18"/>
              </w:rPr>
              <w:t>45 or over</w:t>
            </w:r>
          </w:p>
        </w:tc>
        <w:tc>
          <w:tcPr>
            <w:tcW w:w="964" w:type="dxa"/>
            <w:tcBorders>
              <w:top w:val="nil"/>
              <w:left w:val="nil"/>
              <w:bottom w:val="single" w:sz="4" w:space="0" w:color="auto"/>
              <w:right w:val="single" w:sz="4" w:space="0" w:color="auto"/>
            </w:tcBorders>
            <w:shd w:val="clear" w:color="auto" w:fill="auto"/>
            <w:noWrap/>
            <w:vAlign w:val="bottom"/>
            <w:hideMark/>
          </w:tcPr>
          <w:p w:rsidR="00CB43A7" w:rsidRPr="00CB43A7" w:rsidRDefault="00CB43A7">
            <w:pPr>
              <w:jc w:val="center"/>
              <w:rPr>
                <w:rFonts w:ascii="Calibri" w:hAnsi="Calibri" w:cs="Calibri"/>
                <w:b/>
                <w:bCs/>
                <w:color w:val="000000"/>
                <w:sz w:val="18"/>
                <w:szCs w:val="18"/>
              </w:rPr>
            </w:pPr>
            <w:r w:rsidRPr="00CB43A7">
              <w:rPr>
                <w:rFonts w:ascii="Calibri" w:hAnsi="Calibri" w:cs="Calibri"/>
                <w:b/>
                <w:bCs/>
                <w:color w:val="000000"/>
                <w:sz w:val="18"/>
                <w:szCs w:val="18"/>
              </w:rPr>
              <w:t>55 or over</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Total, All Private Industries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45.8%</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21.5%</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 </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 </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 </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Transit &amp; Ground Passenger Transportation</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70.0%</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43.9%</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Museums, Historical Sites, &amp; Similar Institutions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59.9%</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42.4%</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Private Households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62.7%</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36.8%</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Other Information Services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60.4%</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36.6%</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Water Transportation</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54.7%</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35.0%</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Primary Metal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75.2%</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34.2%</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Funds, Trusts, &amp; Other Financial Vehicles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71.8%</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33.5%</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Apparel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65.5%</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33.4%</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Real Estate</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60.9%</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33.0%</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Paper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72.6%</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32.7%</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Textile Mills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65.0%</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31.1%</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Electrical Equipment, Appliance, &amp; Component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64.8%</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31.1%</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Transportation Equipment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69.2%</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30.6%</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Support Activities for Agriculture &amp; Forestry</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53.6%</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30.3%</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Mining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66.5%</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30.2%</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Publishing Industries (except Internet)</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57.7%</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29.5%</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Postal Service</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55.2%</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29.1%</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Nonstore Retailers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58.6%</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27.7%</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Educational Services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52.7%</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27.7%</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Furniture &amp; Home Furnishings Stores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51.4%</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27.6%</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Truck Transportation</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58.3%</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27.0%</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Miscellaneous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55.4%</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26.8%</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Scenic &amp; Sightseeing Transportation</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41.8%</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26.8%</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Miscellaneous Store Retailers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45.6%</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26.4%</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Religious, Civic, Professional, &amp; Similar Organizations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49.7%</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26.0%</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Utilities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62.7%</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25.9%</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Hospitals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54.5%</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25.9%</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Building Material &amp; Garden Equipment &amp; Supplies Dealers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49.5%</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25.9%</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Ambulatory Health Care Services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52.7%</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25.7%</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lastRenderedPageBreak/>
              <w:t>Wholesale Electronic Markets &amp; Agents &amp; Brokers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56.4%</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25.7%</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Electronics &amp; Appliance Stores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44.3%</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25.3%</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Warehousing &amp; Storage</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52.6%</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24.9%</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Machinery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56.9%</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24.9%</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Motor Vehicle &amp; Parts Dealers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46.6%</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24.7%</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Computer &amp; Electronic Product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57.7%</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24.6%</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Petroleum &amp; Coal Products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54.5%</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24.4%</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Merchant Wholesalers, Durable Goods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55.8%</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24.3%</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Pipeline Transportation</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53.2%</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24.1%</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Performing Arts, Spectator Sports, &amp; Related Industries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42.2%</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23.8%</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Leather &amp; Allied Product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55.3%</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23.5%</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Professional, Scientific, &amp; Technical Services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49.0%</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23.4%</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Fabricated Metal Product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51.4%</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23.4%</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Crop Production</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45.9%</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23.3%</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Social Assistance</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45.5%</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23.1%</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Support Activities for Transportation</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47.6%</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22.9%</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Forestry &amp; Logging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50.8%</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22.8%</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Nursing &amp; Residential Care Facilities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46.1%</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22.6%</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Plastics &amp; Rubber Products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55.0%</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22.6%</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Data Processing, Hosting &amp; Related Services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49.0%</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22.6%</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Securities, Commodity Contracts, &amp; Related Activities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50.6%</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22.4%</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Management of Companies &amp; Enterprises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50.0%</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22.4%</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Fishing, Hunting &amp; Trapping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47.0%</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22.4%</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Nonmetallic Mineral Product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49.2%</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22.4%</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Printing &amp; Related Support Activities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52.7%</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22.2%</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Insurance Carriers &amp; Related Activities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54.1%</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22.0%</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Food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48.3%</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21.4%</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rsidP="00881258">
            <w:pPr>
              <w:rPr>
                <w:rFonts w:ascii="Calibri" w:hAnsi="Calibri" w:cs="Calibri"/>
                <w:color w:val="000000"/>
                <w:sz w:val="18"/>
                <w:szCs w:val="18"/>
              </w:rPr>
            </w:pPr>
            <w:r w:rsidRPr="00CB43A7">
              <w:rPr>
                <w:rFonts w:ascii="Calibri" w:hAnsi="Calibri" w:cs="Calibri"/>
                <w:color w:val="000000"/>
                <w:sz w:val="18"/>
                <w:szCs w:val="18"/>
              </w:rPr>
              <w:t>General Merch</w:t>
            </w:r>
            <w:r w:rsidR="00881258">
              <w:rPr>
                <w:rFonts w:ascii="Calibri" w:hAnsi="Calibri" w:cs="Calibri"/>
                <w:color w:val="000000"/>
                <w:sz w:val="18"/>
                <w:szCs w:val="18"/>
              </w:rPr>
              <w:t>and</w:t>
            </w:r>
            <w:r w:rsidRPr="00CB43A7">
              <w:rPr>
                <w:rFonts w:ascii="Calibri" w:hAnsi="Calibri" w:cs="Calibri"/>
                <w:color w:val="000000"/>
                <w:sz w:val="18"/>
                <w:szCs w:val="18"/>
              </w:rPr>
              <w:t>ise Stores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40.2%</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20.6%</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Textile Product Mills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48.3%</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20.4%</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Personal &amp; Laundry Services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38.4%</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20.2%</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Accommodation</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39.6%</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20.0%</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Waste Management &amp; Remediation Services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47.3%</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19.8%</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Wood Product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49.1%</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19.8%</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Heavy &amp; Civil Engineering Construction</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47.0%</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19.8%</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Animal Production</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43.8%</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19.7%</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Health &amp; Personal Care Stores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37.9%</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19.7%</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Construction of Buildings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47.9%</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19.5%</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Furniture &amp; Related Product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51.8%</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19.3%</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Amusement, Gambling, &amp; Recreation Industries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37.3%</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18.9%</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lastRenderedPageBreak/>
              <w:t>Merchant Wholesalers, Nondurable Goods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46.3%</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18.8%</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Rental &amp; Leasing Services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36.0%</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18.5%</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Administrative &amp; Support Services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39.3%</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18.3%</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Repair &amp; Maintenance</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46.5%</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18.2%</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Chemical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45.2%</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18.0%</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Credit Intermediation &amp; Related Activities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43.1%</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17.6%</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Broadcasting (except Internet)</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44.0%</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17.6%</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Specialty Trade Contractors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43.5%</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17.5%</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Gasoline Stations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38.2%</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17.2%</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Air Transportation</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37.1%</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17.0%</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Food &amp; Beverage Stores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35.3%</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16.8%</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Sporting Goods, Hobby, Book, &amp; Music Stores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32.2%</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16.6%</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Couriers &amp; Messengers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51.5%</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16.2%</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Beverage &amp; Tobacco Product Manufacturing</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43.4%</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14.8%</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Telecommunications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43.3%</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14.4%</w:t>
            </w:r>
          </w:p>
        </w:tc>
      </w:tr>
      <w:tr w:rsidR="00CB43A7" w:rsidRPr="00CB43A7" w:rsidTr="00D006A2">
        <w:trPr>
          <w:trHeight w:val="300"/>
          <w:jc w:val="center"/>
        </w:trPr>
        <w:tc>
          <w:tcPr>
            <w:tcW w:w="5612" w:type="dxa"/>
            <w:tcBorders>
              <w:top w:val="nil"/>
              <w:left w:val="single" w:sz="4" w:space="0" w:color="auto"/>
              <w:bottom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Clothing &amp; Clothing Accessories Stores</w:t>
            </w:r>
          </w:p>
        </w:tc>
        <w:tc>
          <w:tcPr>
            <w:tcW w:w="964" w:type="dxa"/>
            <w:tcBorders>
              <w:top w:val="nil"/>
              <w:left w:val="single" w:sz="4" w:space="0" w:color="auto"/>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25.8%</w:t>
            </w:r>
          </w:p>
        </w:tc>
        <w:tc>
          <w:tcPr>
            <w:tcW w:w="964" w:type="dxa"/>
            <w:tcBorders>
              <w:top w:val="nil"/>
              <w:left w:val="nil"/>
              <w:bottom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14.3%</w:t>
            </w:r>
          </w:p>
        </w:tc>
      </w:tr>
      <w:tr w:rsidR="00CB43A7" w:rsidRPr="00CB43A7" w:rsidTr="00D006A2">
        <w:trPr>
          <w:trHeight w:val="300"/>
          <w:jc w:val="center"/>
        </w:trPr>
        <w:tc>
          <w:tcPr>
            <w:tcW w:w="5612" w:type="dxa"/>
            <w:tcBorders>
              <w:top w:val="nil"/>
              <w:left w:val="single" w:sz="4" w:space="0" w:color="auto"/>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Motion Picture &amp; Sound Recording Industries</w:t>
            </w:r>
          </w:p>
        </w:tc>
        <w:tc>
          <w:tcPr>
            <w:tcW w:w="964" w:type="dxa"/>
            <w:tcBorders>
              <w:top w:val="nil"/>
              <w:left w:val="single" w:sz="4" w:space="0" w:color="auto"/>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22.6%</w:t>
            </w:r>
          </w:p>
        </w:tc>
        <w:tc>
          <w:tcPr>
            <w:tcW w:w="964" w:type="dxa"/>
            <w:tcBorders>
              <w:top w:val="nil"/>
              <w:left w:val="nil"/>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12.4%</w:t>
            </w:r>
          </w:p>
        </w:tc>
      </w:tr>
      <w:tr w:rsidR="00CB43A7" w:rsidRPr="00CB43A7" w:rsidTr="00D006A2">
        <w:trPr>
          <w:trHeight w:val="300"/>
          <w:jc w:val="center"/>
        </w:trPr>
        <w:tc>
          <w:tcPr>
            <w:tcW w:w="5612" w:type="dxa"/>
            <w:tcBorders>
              <w:top w:val="nil"/>
              <w:left w:val="single" w:sz="4" w:space="0" w:color="auto"/>
              <w:bottom w:val="single" w:sz="4" w:space="0" w:color="auto"/>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Food Services &amp; Drinking Places</w:t>
            </w:r>
          </w:p>
        </w:tc>
        <w:tc>
          <w:tcPr>
            <w:tcW w:w="964" w:type="dxa"/>
            <w:tcBorders>
              <w:top w:val="nil"/>
              <w:left w:val="single" w:sz="4" w:space="0" w:color="auto"/>
              <w:bottom w:val="single" w:sz="4" w:space="0" w:color="auto"/>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sidRPr="00CB43A7">
              <w:rPr>
                <w:rFonts w:ascii="Calibri" w:hAnsi="Calibri" w:cs="Calibri"/>
                <w:color w:val="000000"/>
                <w:sz w:val="18"/>
                <w:szCs w:val="18"/>
              </w:rPr>
              <w:t>19.2%</w:t>
            </w:r>
          </w:p>
        </w:tc>
        <w:tc>
          <w:tcPr>
            <w:tcW w:w="964" w:type="dxa"/>
            <w:tcBorders>
              <w:top w:val="nil"/>
              <w:left w:val="nil"/>
              <w:bottom w:val="single" w:sz="4" w:space="0" w:color="auto"/>
              <w:right w:val="single" w:sz="4" w:space="0" w:color="auto"/>
            </w:tcBorders>
            <w:shd w:val="clear" w:color="auto" w:fill="auto"/>
            <w:noWrap/>
            <w:vAlign w:val="bottom"/>
            <w:hideMark/>
          </w:tcPr>
          <w:p w:rsidR="00CB43A7" w:rsidRPr="00CB43A7" w:rsidRDefault="00CB43A7">
            <w:pPr>
              <w:jc w:val="center"/>
              <w:rPr>
                <w:rFonts w:ascii="Calibri" w:hAnsi="Calibri" w:cs="Calibri"/>
                <w:color w:val="000000"/>
                <w:sz w:val="18"/>
                <w:szCs w:val="18"/>
              </w:rPr>
            </w:pPr>
            <w:r>
              <w:rPr>
                <w:rFonts w:ascii="Calibri" w:hAnsi="Calibri" w:cs="Calibri"/>
                <w:color w:val="000000"/>
                <w:sz w:val="18"/>
                <w:szCs w:val="18"/>
              </w:rPr>
              <w:t xml:space="preserve">  </w:t>
            </w:r>
            <w:r w:rsidRPr="00CB43A7">
              <w:rPr>
                <w:rFonts w:ascii="Calibri" w:hAnsi="Calibri" w:cs="Calibri"/>
                <w:color w:val="000000"/>
                <w:sz w:val="18"/>
                <w:szCs w:val="18"/>
              </w:rPr>
              <w:t>7.5%</w:t>
            </w:r>
          </w:p>
        </w:tc>
      </w:tr>
      <w:tr w:rsidR="00CB43A7" w:rsidRPr="00CB43A7" w:rsidTr="00D006A2">
        <w:trPr>
          <w:trHeight w:val="300"/>
          <w:jc w:val="center"/>
        </w:trPr>
        <w:tc>
          <w:tcPr>
            <w:tcW w:w="5612" w:type="dxa"/>
            <w:tcBorders>
              <w:top w:val="single" w:sz="4" w:space="0" w:color="auto"/>
              <w:right w:val="nil"/>
            </w:tcBorders>
            <w:shd w:val="clear" w:color="auto" w:fill="auto"/>
            <w:noWrap/>
            <w:vAlign w:val="bottom"/>
            <w:hideMark/>
          </w:tcPr>
          <w:p w:rsidR="00CB43A7" w:rsidRPr="00CB43A7" w:rsidRDefault="00CB43A7">
            <w:pPr>
              <w:rPr>
                <w:rFonts w:ascii="Calibri" w:hAnsi="Calibri" w:cs="Calibri"/>
                <w:color w:val="000000"/>
                <w:sz w:val="16"/>
                <w:szCs w:val="16"/>
              </w:rPr>
            </w:pPr>
            <w:r w:rsidRPr="00CB43A7">
              <w:rPr>
                <w:rFonts w:ascii="Calibri" w:hAnsi="Calibri" w:cs="Calibri"/>
                <w:color w:val="000000"/>
                <w:sz w:val="16"/>
                <w:szCs w:val="16"/>
              </w:rPr>
              <w:t>Source: LED Program.</w:t>
            </w:r>
          </w:p>
        </w:tc>
        <w:tc>
          <w:tcPr>
            <w:tcW w:w="964" w:type="dxa"/>
            <w:tcBorders>
              <w:top w:val="single" w:sz="4" w:space="0" w:color="auto"/>
              <w:left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 </w:t>
            </w:r>
          </w:p>
        </w:tc>
        <w:tc>
          <w:tcPr>
            <w:tcW w:w="964" w:type="dxa"/>
            <w:tcBorders>
              <w:top w:val="single" w:sz="4" w:space="0" w:color="auto"/>
              <w:left w:val="nil"/>
              <w:right w:val="nil"/>
            </w:tcBorders>
            <w:shd w:val="clear" w:color="auto" w:fill="auto"/>
            <w:noWrap/>
            <w:vAlign w:val="bottom"/>
            <w:hideMark/>
          </w:tcPr>
          <w:p w:rsidR="00CB43A7" w:rsidRPr="00CB43A7" w:rsidRDefault="00CB43A7">
            <w:pPr>
              <w:rPr>
                <w:rFonts w:ascii="Calibri" w:hAnsi="Calibri" w:cs="Calibri"/>
                <w:color w:val="000000"/>
                <w:sz w:val="18"/>
                <w:szCs w:val="18"/>
              </w:rPr>
            </w:pPr>
            <w:r w:rsidRPr="00CB43A7">
              <w:rPr>
                <w:rFonts w:ascii="Calibri" w:hAnsi="Calibri" w:cs="Calibri"/>
                <w:color w:val="000000"/>
                <w:sz w:val="18"/>
                <w:szCs w:val="18"/>
              </w:rPr>
              <w:t> </w:t>
            </w:r>
          </w:p>
        </w:tc>
      </w:tr>
    </w:tbl>
    <w:p w:rsidR="00CB43A7" w:rsidRDefault="00CB43A7" w:rsidP="00C24BD6">
      <w:pPr>
        <w:pStyle w:val="BodyText"/>
      </w:pPr>
    </w:p>
    <w:sectPr w:rsidR="00CB43A7" w:rsidSect="00504B02">
      <w:headerReference w:type="default" r:id="rId21"/>
      <w:footerReference w:type="default" r:id="rId22"/>
      <w:footerReference w:type="first" r:id="rId23"/>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28" w:rsidRDefault="00A84F28">
      <w:r>
        <w:separator/>
      </w:r>
    </w:p>
  </w:endnote>
  <w:endnote w:type="continuationSeparator" w:id="0">
    <w:p w:rsidR="00A84F28" w:rsidRDefault="00A8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Novarese Bk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E1" w:rsidRDefault="00CD1FE1">
    <w:pPr>
      <w:pStyle w:val="Footer"/>
      <w:jc w:val="center"/>
    </w:pPr>
    <w:r>
      <w:t xml:space="preserve">Page </w:t>
    </w:r>
    <w:r>
      <w:rPr>
        <w:b/>
      </w:rPr>
      <w:fldChar w:fldCharType="begin"/>
    </w:r>
    <w:r>
      <w:rPr>
        <w:b/>
      </w:rPr>
      <w:instrText xml:space="preserve"> PAGE </w:instrText>
    </w:r>
    <w:r>
      <w:rPr>
        <w:b/>
      </w:rPr>
      <w:fldChar w:fldCharType="separate"/>
    </w:r>
    <w:r w:rsidR="008E0B73">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8E0B73">
      <w:rPr>
        <w:b/>
        <w:noProof/>
      </w:rPr>
      <w:t>13</w:t>
    </w:r>
    <w:r>
      <w:rPr>
        <w:b/>
      </w:rPr>
      <w:fldChar w:fldCharType="end"/>
    </w:r>
  </w:p>
  <w:p w:rsidR="00CD1FE1" w:rsidRPr="00716620" w:rsidRDefault="00CD1FE1" w:rsidP="00716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E1" w:rsidRPr="00CD5816" w:rsidRDefault="00CD1FE1">
    <w:pPr>
      <w:pStyle w:val="Footer"/>
      <w:jc w:val="center"/>
      <w:rPr>
        <w:sz w:val="20"/>
        <w:szCs w:val="20"/>
      </w:rPr>
    </w:pPr>
    <w:r w:rsidRPr="00CD5816">
      <w:rPr>
        <w:sz w:val="20"/>
        <w:szCs w:val="20"/>
      </w:rPr>
      <w:t xml:space="preserve">Page </w:t>
    </w:r>
    <w:r w:rsidRPr="00CD5816">
      <w:rPr>
        <w:b/>
        <w:sz w:val="20"/>
        <w:szCs w:val="20"/>
      </w:rPr>
      <w:fldChar w:fldCharType="begin"/>
    </w:r>
    <w:r w:rsidRPr="00CD5816">
      <w:rPr>
        <w:b/>
        <w:sz w:val="20"/>
        <w:szCs w:val="20"/>
      </w:rPr>
      <w:instrText xml:space="preserve"> PAGE </w:instrText>
    </w:r>
    <w:r w:rsidRPr="00CD5816">
      <w:rPr>
        <w:b/>
        <w:sz w:val="20"/>
        <w:szCs w:val="20"/>
      </w:rPr>
      <w:fldChar w:fldCharType="separate"/>
    </w:r>
    <w:r w:rsidR="008E0B73">
      <w:rPr>
        <w:b/>
        <w:noProof/>
        <w:sz w:val="20"/>
        <w:szCs w:val="20"/>
      </w:rPr>
      <w:t>1</w:t>
    </w:r>
    <w:r w:rsidRPr="00CD5816">
      <w:rPr>
        <w:b/>
        <w:sz w:val="20"/>
        <w:szCs w:val="20"/>
      </w:rPr>
      <w:fldChar w:fldCharType="end"/>
    </w:r>
    <w:r w:rsidRPr="00CD5816">
      <w:rPr>
        <w:sz w:val="20"/>
        <w:szCs w:val="20"/>
      </w:rPr>
      <w:t xml:space="preserve"> of </w:t>
    </w:r>
    <w:r w:rsidRPr="00CD5816">
      <w:rPr>
        <w:b/>
        <w:sz w:val="20"/>
        <w:szCs w:val="20"/>
      </w:rPr>
      <w:fldChar w:fldCharType="begin"/>
    </w:r>
    <w:r w:rsidRPr="00CD5816">
      <w:rPr>
        <w:b/>
        <w:sz w:val="20"/>
        <w:szCs w:val="20"/>
      </w:rPr>
      <w:instrText xml:space="preserve"> NUMPAGES  </w:instrText>
    </w:r>
    <w:r w:rsidRPr="00CD5816">
      <w:rPr>
        <w:b/>
        <w:sz w:val="20"/>
        <w:szCs w:val="20"/>
      </w:rPr>
      <w:fldChar w:fldCharType="separate"/>
    </w:r>
    <w:r w:rsidR="008E0B73">
      <w:rPr>
        <w:b/>
        <w:noProof/>
        <w:sz w:val="20"/>
        <w:szCs w:val="20"/>
      </w:rPr>
      <w:t>13</w:t>
    </w:r>
    <w:r w:rsidRPr="00CD5816">
      <w:rPr>
        <w:b/>
        <w:sz w:val="20"/>
        <w:szCs w:val="20"/>
      </w:rPr>
      <w:fldChar w:fldCharType="end"/>
    </w:r>
  </w:p>
  <w:p w:rsidR="00CD1FE1" w:rsidRDefault="00CD1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28" w:rsidRDefault="00A84F28">
      <w:r>
        <w:separator/>
      </w:r>
    </w:p>
  </w:footnote>
  <w:footnote w:type="continuationSeparator" w:id="0">
    <w:p w:rsidR="00A84F28" w:rsidRDefault="00A8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E1" w:rsidRDefault="00CD1FE1" w:rsidP="00D10ED0">
    <w:pPr>
      <w:pStyle w:val="Footer"/>
      <w:tabs>
        <w:tab w:val="clear" w:pos="4320"/>
        <w:tab w:val="clear" w:pos="8640"/>
        <w:tab w:val="left" w:pos="2880"/>
        <w:tab w:val="left" w:pos="5760"/>
        <w:tab w:val="right" w:pos="10260"/>
      </w:tabs>
      <w:rPr>
        <w:rFonts w:ascii="Novarese Bk BT" w:hAnsi="Novarese Bk BT"/>
        <w:sz w:val="20"/>
        <w:szCs w:val="20"/>
      </w:rPr>
    </w:pPr>
    <w:r w:rsidRPr="00797E78">
      <w:rPr>
        <w:rFonts w:ascii="Novarese Bk BT" w:hAnsi="Novarese Bk BT"/>
        <w:sz w:val="20"/>
        <w:szCs w:val="20"/>
      </w:rPr>
      <w:t>Phone (207) 623-7900</w:t>
    </w:r>
    <w:r w:rsidRPr="00797E78">
      <w:rPr>
        <w:rFonts w:ascii="Novarese Bk BT" w:hAnsi="Novarese Bk BT"/>
        <w:sz w:val="20"/>
        <w:szCs w:val="20"/>
      </w:rPr>
      <w:tab/>
      <w:t>TTY 1-800-794-1110</w:t>
    </w:r>
    <w:r w:rsidRPr="00797E78">
      <w:rPr>
        <w:rFonts w:ascii="Novarese Bk BT" w:hAnsi="Novarese Bk BT"/>
        <w:sz w:val="20"/>
        <w:szCs w:val="20"/>
      </w:rPr>
      <w:tab/>
      <w:t>FAX (207) 287-2947</w:t>
    </w:r>
    <w:r>
      <w:rPr>
        <w:rFonts w:ascii="Novarese Bk BT" w:hAnsi="Novarese Bk BT"/>
        <w:sz w:val="20"/>
        <w:szCs w:val="20"/>
      </w:rPr>
      <w:tab/>
    </w:r>
    <w:hyperlink r:id="rId1" w:history="1">
      <w:r w:rsidRPr="00C42C4F">
        <w:rPr>
          <w:rStyle w:val="Hyperlink"/>
          <w:rFonts w:ascii="Novarese Bk BT" w:hAnsi="Novarese Bk BT"/>
          <w:sz w:val="20"/>
          <w:szCs w:val="20"/>
        </w:rPr>
        <w:t>www.maine.gov/labor/cwri</w:t>
      </w:r>
    </w:hyperlink>
  </w:p>
  <w:p w:rsidR="00CD1FE1" w:rsidRDefault="00CD1FE1" w:rsidP="00AC16AD">
    <w:pPr>
      <w:pStyle w:val="Footer"/>
      <w:pBdr>
        <w:top w:val="single" w:sz="4" w:space="1" w:color="auto"/>
      </w:pBdr>
      <w:tabs>
        <w:tab w:val="clear" w:pos="4320"/>
        <w:tab w:val="clear" w:pos="8640"/>
        <w:tab w:val="left" w:pos="2880"/>
        <w:tab w:val="left" w:pos="576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7C"/>
    <w:multiLevelType w:val="singleLevel"/>
    <w:tmpl w:val="54D4D43E"/>
    <w:lvl w:ilvl="0">
      <w:start w:val="1"/>
      <w:numFmt w:val="decimal"/>
      <w:lvlText w:val="%1."/>
      <w:lvlJc w:val="left"/>
      <w:pPr>
        <w:tabs>
          <w:tab w:val="num" w:pos="1800"/>
        </w:tabs>
        <w:ind w:left="1800" w:hanging="360"/>
      </w:pPr>
    </w:lvl>
  </w:abstractNum>
  <w:abstractNum w:abstractNumId="1">
    <w:nsid w:val="FFFFFF7D"/>
    <w:multiLevelType w:val="singleLevel"/>
    <w:tmpl w:val="F00CAEB2"/>
    <w:lvl w:ilvl="0">
      <w:start w:val="1"/>
      <w:numFmt w:val="decimal"/>
      <w:lvlText w:val="%1."/>
      <w:lvlJc w:val="left"/>
      <w:pPr>
        <w:tabs>
          <w:tab w:val="num" w:pos="1440"/>
        </w:tabs>
        <w:ind w:left="1440" w:hanging="360"/>
      </w:pPr>
    </w:lvl>
  </w:abstractNum>
  <w:abstractNum w:abstractNumId="2">
    <w:nsid w:val="FFFFFF7E"/>
    <w:multiLevelType w:val="singleLevel"/>
    <w:tmpl w:val="724413CC"/>
    <w:lvl w:ilvl="0">
      <w:start w:val="1"/>
      <w:numFmt w:val="decimal"/>
      <w:lvlText w:val="%1."/>
      <w:lvlJc w:val="left"/>
      <w:pPr>
        <w:tabs>
          <w:tab w:val="num" w:pos="1080"/>
        </w:tabs>
        <w:ind w:left="1080" w:hanging="360"/>
      </w:pPr>
    </w:lvl>
  </w:abstractNum>
  <w:abstractNum w:abstractNumId="3">
    <w:nsid w:val="FFFFFF7F"/>
    <w:multiLevelType w:val="singleLevel"/>
    <w:tmpl w:val="BAF26CD4"/>
    <w:lvl w:ilvl="0">
      <w:start w:val="1"/>
      <w:numFmt w:val="decimal"/>
      <w:lvlText w:val="%1."/>
      <w:lvlJc w:val="left"/>
      <w:pPr>
        <w:tabs>
          <w:tab w:val="num" w:pos="720"/>
        </w:tabs>
        <w:ind w:left="720" w:hanging="360"/>
      </w:pPr>
    </w:lvl>
  </w:abstractNum>
  <w:abstractNum w:abstractNumId="4">
    <w:nsid w:val="FFFFFF80"/>
    <w:multiLevelType w:val="singleLevel"/>
    <w:tmpl w:val="C6B0D0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7812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5C2C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3408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081E2"/>
    <w:lvl w:ilvl="0">
      <w:start w:val="1"/>
      <w:numFmt w:val="decimal"/>
      <w:lvlText w:val="%1."/>
      <w:lvlJc w:val="left"/>
      <w:pPr>
        <w:tabs>
          <w:tab w:val="num" w:pos="360"/>
        </w:tabs>
        <w:ind w:left="360" w:hanging="360"/>
      </w:pPr>
    </w:lvl>
  </w:abstractNum>
  <w:abstractNum w:abstractNumId="9">
    <w:nsid w:val="FFFFFF89"/>
    <w:multiLevelType w:val="singleLevel"/>
    <w:tmpl w:val="0596B4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037D2"/>
    <w:multiLevelType w:val="hybridMultilevel"/>
    <w:tmpl w:val="89D4F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660B30"/>
    <w:multiLevelType w:val="hybridMultilevel"/>
    <w:tmpl w:val="CE369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356BD6"/>
    <w:multiLevelType w:val="hybridMultilevel"/>
    <w:tmpl w:val="2EA6F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E65E7C"/>
    <w:multiLevelType w:val="hybridMultilevel"/>
    <w:tmpl w:val="67D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C1DD4"/>
    <w:multiLevelType w:val="hybridMultilevel"/>
    <w:tmpl w:val="3202BD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74B1BE8"/>
    <w:multiLevelType w:val="hybridMultilevel"/>
    <w:tmpl w:val="7C9A9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D4A89"/>
    <w:multiLevelType w:val="hybridMultilevel"/>
    <w:tmpl w:val="56625C98"/>
    <w:lvl w:ilvl="0" w:tplc="868C4904">
      <w:start w:val="1"/>
      <w:numFmt w:val="bullet"/>
      <w:lvlText w:val=""/>
      <w:lvlPicBulletId w:val="0"/>
      <w:lvlJc w:val="left"/>
      <w:pPr>
        <w:tabs>
          <w:tab w:val="num" w:pos="720"/>
        </w:tabs>
        <w:ind w:left="720" w:hanging="360"/>
      </w:pPr>
      <w:rPr>
        <w:rFonts w:ascii="Symbol" w:hAnsi="Symbol" w:hint="default"/>
      </w:rPr>
    </w:lvl>
    <w:lvl w:ilvl="1" w:tplc="7D1ADFC6" w:tentative="1">
      <w:start w:val="1"/>
      <w:numFmt w:val="bullet"/>
      <w:lvlText w:val=""/>
      <w:lvlJc w:val="left"/>
      <w:pPr>
        <w:tabs>
          <w:tab w:val="num" w:pos="1440"/>
        </w:tabs>
        <w:ind w:left="1440" w:hanging="360"/>
      </w:pPr>
      <w:rPr>
        <w:rFonts w:ascii="Symbol" w:hAnsi="Symbol" w:hint="default"/>
      </w:rPr>
    </w:lvl>
    <w:lvl w:ilvl="2" w:tplc="6338DA76" w:tentative="1">
      <w:start w:val="1"/>
      <w:numFmt w:val="bullet"/>
      <w:lvlText w:val=""/>
      <w:lvlJc w:val="left"/>
      <w:pPr>
        <w:tabs>
          <w:tab w:val="num" w:pos="2160"/>
        </w:tabs>
        <w:ind w:left="2160" w:hanging="360"/>
      </w:pPr>
      <w:rPr>
        <w:rFonts w:ascii="Symbol" w:hAnsi="Symbol" w:hint="default"/>
      </w:rPr>
    </w:lvl>
    <w:lvl w:ilvl="3" w:tplc="85C2F70A" w:tentative="1">
      <w:start w:val="1"/>
      <w:numFmt w:val="bullet"/>
      <w:lvlText w:val=""/>
      <w:lvlJc w:val="left"/>
      <w:pPr>
        <w:tabs>
          <w:tab w:val="num" w:pos="2880"/>
        </w:tabs>
        <w:ind w:left="2880" w:hanging="360"/>
      </w:pPr>
      <w:rPr>
        <w:rFonts w:ascii="Symbol" w:hAnsi="Symbol" w:hint="default"/>
      </w:rPr>
    </w:lvl>
    <w:lvl w:ilvl="4" w:tplc="C0F40B2C" w:tentative="1">
      <w:start w:val="1"/>
      <w:numFmt w:val="bullet"/>
      <w:lvlText w:val=""/>
      <w:lvlJc w:val="left"/>
      <w:pPr>
        <w:tabs>
          <w:tab w:val="num" w:pos="3600"/>
        </w:tabs>
        <w:ind w:left="3600" w:hanging="360"/>
      </w:pPr>
      <w:rPr>
        <w:rFonts w:ascii="Symbol" w:hAnsi="Symbol" w:hint="default"/>
      </w:rPr>
    </w:lvl>
    <w:lvl w:ilvl="5" w:tplc="05D05844" w:tentative="1">
      <w:start w:val="1"/>
      <w:numFmt w:val="bullet"/>
      <w:lvlText w:val=""/>
      <w:lvlJc w:val="left"/>
      <w:pPr>
        <w:tabs>
          <w:tab w:val="num" w:pos="4320"/>
        </w:tabs>
        <w:ind w:left="4320" w:hanging="360"/>
      </w:pPr>
      <w:rPr>
        <w:rFonts w:ascii="Symbol" w:hAnsi="Symbol" w:hint="default"/>
      </w:rPr>
    </w:lvl>
    <w:lvl w:ilvl="6" w:tplc="808E41D2" w:tentative="1">
      <w:start w:val="1"/>
      <w:numFmt w:val="bullet"/>
      <w:lvlText w:val=""/>
      <w:lvlJc w:val="left"/>
      <w:pPr>
        <w:tabs>
          <w:tab w:val="num" w:pos="5040"/>
        </w:tabs>
        <w:ind w:left="5040" w:hanging="360"/>
      </w:pPr>
      <w:rPr>
        <w:rFonts w:ascii="Symbol" w:hAnsi="Symbol" w:hint="default"/>
      </w:rPr>
    </w:lvl>
    <w:lvl w:ilvl="7" w:tplc="8490E856" w:tentative="1">
      <w:start w:val="1"/>
      <w:numFmt w:val="bullet"/>
      <w:lvlText w:val=""/>
      <w:lvlJc w:val="left"/>
      <w:pPr>
        <w:tabs>
          <w:tab w:val="num" w:pos="5760"/>
        </w:tabs>
        <w:ind w:left="5760" w:hanging="360"/>
      </w:pPr>
      <w:rPr>
        <w:rFonts w:ascii="Symbol" w:hAnsi="Symbol" w:hint="default"/>
      </w:rPr>
    </w:lvl>
    <w:lvl w:ilvl="8" w:tplc="DB028980" w:tentative="1">
      <w:start w:val="1"/>
      <w:numFmt w:val="bullet"/>
      <w:lvlText w:val=""/>
      <w:lvlJc w:val="left"/>
      <w:pPr>
        <w:tabs>
          <w:tab w:val="num" w:pos="6480"/>
        </w:tabs>
        <w:ind w:left="6480" w:hanging="360"/>
      </w:pPr>
      <w:rPr>
        <w:rFonts w:ascii="Symbol" w:hAnsi="Symbol" w:hint="default"/>
      </w:rPr>
    </w:lvl>
  </w:abstractNum>
  <w:abstractNum w:abstractNumId="17">
    <w:nsid w:val="58E04880"/>
    <w:multiLevelType w:val="hybridMultilevel"/>
    <w:tmpl w:val="5AE45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B92D4F"/>
    <w:multiLevelType w:val="hybridMultilevel"/>
    <w:tmpl w:val="E9C6C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35508F"/>
    <w:multiLevelType w:val="hybridMultilevel"/>
    <w:tmpl w:val="6E288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0"/>
  </w:num>
  <w:num w:numId="16">
    <w:abstractNumId w:val="14"/>
  </w:num>
  <w:num w:numId="17">
    <w:abstractNumId w:val="15"/>
  </w:num>
  <w:num w:numId="18">
    <w:abstractNumId w:val="1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7C"/>
    <w:rsid w:val="00000460"/>
    <w:rsid w:val="0000092C"/>
    <w:rsid w:val="000016A0"/>
    <w:rsid w:val="00003E5D"/>
    <w:rsid w:val="00006676"/>
    <w:rsid w:val="000066F7"/>
    <w:rsid w:val="00012277"/>
    <w:rsid w:val="00012B92"/>
    <w:rsid w:val="00012CDD"/>
    <w:rsid w:val="00013D60"/>
    <w:rsid w:val="00014133"/>
    <w:rsid w:val="000144E8"/>
    <w:rsid w:val="000165AB"/>
    <w:rsid w:val="00016E4F"/>
    <w:rsid w:val="00017200"/>
    <w:rsid w:val="00017350"/>
    <w:rsid w:val="00017490"/>
    <w:rsid w:val="00017492"/>
    <w:rsid w:val="000200CC"/>
    <w:rsid w:val="0002039F"/>
    <w:rsid w:val="00020C7C"/>
    <w:rsid w:val="000220E3"/>
    <w:rsid w:val="00022B10"/>
    <w:rsid w:val="00023F8C"/>
    <w:rsid w:val="000266F3"/>
    <w:rsid w:val="000269F5"/>
    <w:rsid w:val="00026F92"/>
    <w:rsid w:val="00027175"/>
    <w:rsid w:val="000273E1"/>
    <w:rsid w:val="000319DA"/>
    <w:rsid w:val="00031C2A"/>
    <w:rsid w:val="00031D66"/>
    <w:rsid w:val="000328FF"/>
    <w:rsid w:val="000329DD"/>
    <w:rsid w:val="00032F42"/>
    <w:rsid w:val="00035634"/>
    <w:rsid w:val="00037A81"/>
    <w:rsid w:val="00037DD7"/>
    <w:rsid w:val="00041149"/>
    <w:rsid w:val="00041317"/>
    <w:rsid w:val="0004179D"/>
    <w:rsid w:val="000426A3"/>
    <w:rsid w:val="00042D36"/>
    <w:rsid w:val="000434D6"/>
    <w:rsid w:val="00044244"/>
    <w:rsid w:val="0004443B"/>
    <w:rsid w:val="00045BB2"/>
    <w:rsid w:val="00050120"/>
    <w:rsid w:val="0005012A"/>
    <w:rsid w:val="000502BA"/>
    <w:rsid w:val="000508D2"/>
    <w:rsid w:val="00051D59"/>
    <w:rsid w:val="00053CB5"/>
    <w:rsid w:val="00054369"/>
    <w:rsid w:val="00054A31"/>
    <w:rsid w:val="00054E11"/>
    <w:rsid w:val="0005512C"/>
    <w:rsid w:val="00055DBB"/>
    <w:rsid w:val="00056A0A"/>
    <w:rsid w:val="000576BF"/>
    <w:rsid w:val="0006024A"/>
    <w:rsid w:val="00062BE5"/>
    <w:rsid w:val="00062E30"/>
    <w:rsid w:val="00063A55"/>
    <w:rsid w:val="00063FC1"/>
    <w:rsid w:val="0006427C"/>
    <w:rsid w:val="000647CC"/>
    <w:rsid w:val="000648C0"/>
    <w:rsid w:val="00064DBB"/>
    <w:rsid w:val="00066E50"/>
    <w:rsid w:val="000679C3"/>
    <w:rsid w:val="00067B85"/>
    <w:rsid w:val="00070EB3"/>
    <w:rsid w:val="0007122F"/>
    <w:rsid w:val="0007129F"/>
    <w:rsid w:val="00072A73"/>
    <w:rsid w:val="000744A5"/>
    <w:rsid w:val="0007456B"/>
    <w:rsid w:val="000760AE"/>
    <w:rsid w:val="00077F06"/>
    <w:rsid w:val="00080083"/>
    <w:rsid w:val="000811A4"/>
    <w:rsid w:val="00081303"/>
    <w:rsid w:val="00082975"/>
    <w:rsid w:val="00082A64"/>
    <w:rsid w:val="00082BD3"/>
    <w:rsid w:val="000849F2"/>
    <w:rsid w:val="0008627C"/>
    <w:rsid w:val="00086FD1"/>
    <w:rsid w:val="00087930"/>
    <w:rsid w:val="000879C3"/>
    <w:rsid w:val="00087AE5"/>
    <w:rsid w:val="00090005"/>
    <w:rsid w:val="0009222D"/>
    <w:rsid w:val="000940FB"/>
    <w:rsid w:val="000947F4"/>
    <w:rsid w:val="00094E9D"/>
    <w:rsid w:val="000958D3"/>
    <w:rsid w:val="00095B2C"/>
    <w:rsid w:val="00096A8F"/>
    <w:rsid w:val="000A036C"/>
    <w:rsid w:val="000A03AA"/>
    <w:rsid w:val="000A08FC"/>
    <w:rsid w:val="000A0D6D"/>
    <w:rsid w:val="000A2AAF"/>
    <w:rsid w:val="000A33D2"/>
    <w:rsid w:val="000A359F"/>
    <w:rsid w:val="000A3CAB"/>
    <w:rsid w:val="000A4E32"/>
    <w:rsid w:val="000A5FE6"/>
    <w:rsid w:val="000A77BB"/>
    <w:rsid w:val="000B054F"/>
    <w:rsid w:val="000B12D9"/>
    <w:rsid w:val="000B1764"/>
    <w:rsid w:val="000B1D4C"/>
    <w:rsid w:val="000B2670"/>
    <w:rsid w:val="000B283D"/>
    <w:rsid w:val="000B2841"/>
    <w:rsid w:val="000B42AF"/>
    <w:rsid w:val="000B5B73"/>
    <w:rsid w:val="000B5CB0"/>
    <w:rsid w:val="000C013D"/>
    <w:rsid w:val="000C04E1"/>
    <w:rsid w:val="000C0735"/>
    <w:rsid w:val="000C0D32"/>
    <w:rsid w:val="000C1838"/>
    <w:rsid w:val="000C2D4D"/>
    <w:rsid w:val="000C3160"/>
    <w:rsid w:val="000C3660"/>
    <w:rsid w:val="000C537F"/>
    <w:rsid w:val="000C7D2F"/>
    <w:rsid w:val="000D23F1"/>
    <w:rsid w:val="000D28C6"/>
    <w:rsid w:val="000D32BD"/>
    <w:rsid w:val="000D32D0"/>
    <w:rsid w:val="000D3CA2"/>
    <w:rsid w:val="000D47B6"/>
    <w:rsid w:val="000D5498"/>
    <w:rsid w:val="000D554E"/>
    <w:rsid w:val="000D79B8"/>
    <w:rsid w:val="000E0C61"/>
    <w:rsid w:val="000E1984"/>
    <w:rsid w:val="000E1A5C"/>
    <w:rsid w:val="000E2409"/>
    <w:rsid w:val="000E34DD"/>
    <w:rsid w:val="000E5BB3"/>
    <w:rsid w:val="000E605E"/>
    <w:rsid w:val="000E6641"/>
    <w:rsid w:val="000E6FF9"/>
    <w:rsid w:val="000E7C7B"/>
    <w:rsid w:val="000F07F9"/>
    <w:rsid w:val="000F0CFF"/>
    <w:rsid w:val="000F2DAE"/>
    <w:rsid w:val="000F3D23"/>
    <w:rsid w:val="000F76E1"/>
    <w:rsid w:val="00100286"/>
    <w:rsid w:val="001003A1"/>
    <w:rsid w:val="00100463"/>
    <w:rsid w:val="0010046B"/>
    <w:rsid w:val="001007D1"/>
    <w:rsid w:val="0010286B"/>
    <w:rsid w:val="0010449D"/>
    <w:rsid w:val="001047D5"/>
    <w:rsid w:val="00104C56"/>
    <w:rsid w:val="00105269"/>
    <w:rsid w:val="00105495"/>
    <w:rsid w:val="001054C0"/>
    <w:rsid w:val="00105E5B"/>
    <w:rsid w:val="001063F3"/>
    <w:rsid w:val="00107153"/>
    <w:rsid w:val="001079A8"/>
    <w:rsid w:val="00107FE3"/>
    <w:rsid w:val="0011123A"/>
    <w:rsid w:val="00112759"/>
    <w:rsid w:val="00114381"/>
    <w:rsid w:val="00115614"/>
    <w:rsid w:val="00116299"/>
    <w:rsid w:val="00116ABE"/>
    <w:rsid w:val="001208C3"/>
    <w:rsid w:val="0012181C"/>
    <w:rsid w:val="00124019"/>
    <w:rsid w:val="00124B72"/>
    <w:rsid w:val="00125709"/>
    <w:rsid w:val="0012589F"/>
    <w:rsid w:val="0012654A"/>
    <w:rsid w:val="00127443"/>
    <w:rsid w:val="00127447"/>
    <w:rsid w:val="00127877"/>
    <w:rsid w:val="001300ED"/>
    <w:rsid w:val="00133374"/>
    <w:rsid w:val="001347AB"/>
    <w:rsid w:val="00134E1D"/>
    <w:rsid w:val="00135333"/>
    <w:rsid w:val="0013684C"/>
    <w:rsid w:val="00136E0D"/>
    <w:rsid w:val="001372AB"/>
    <w:rsid w:val="001373BE"/>
    <w:rsid w:val="00137673"/>
    <w:rsid w:val="001376D2"/>
    <w:rsid w:val="001378A4"/>
    <w:rsid w:val="0013799E"/>
    <w:rsid w:val="00140118"/>
    <w:rsid w:val="00141B4D"/>
    <w:rsid w:val="00142584"/>
    <w:rsid w:val="00142CC9"/>
    <w:rsid w:val="00143680"/>
    <w:rsid w:val="00143BF1"/>
    <w:rsid w:val="00144040"/>
    <w:rsid w:val="001455D3"/>
    <w:rsid w:val="001468DF"/>
    <w:rsid w:val="001472D3"/>
    <w:rsid w:val="00147AEA"/>
    <w:rsid w:val="001509AE"/>
    <w:rsid w:val="00151F2C"/>
    <w:rsid w:val="00154542"/>
    <w:rsid w:val="00154905"/>
    <w:rsid w:val="00155068"/>
    <w:rsid w:val="00155123"/>
    <w:rsid w:val="001558E9"/>
    <w:rsid w:val="00155F39"/>
    <w:rsid w:val="00156AA3"/>
    <w:rsid w:val="00156B29"/>
    <w:rsid w:val="001609C5"/>
    <w:rsid w:val="00160BF2"/>
    <w:rsid w:val="00161716"/>
    <w:rsid w:val="001618FF"/>
    <w:rsid w:val="00162180"/>
    <w:rsid w:val="001626A3"/>
    <w:rsid w:val="00162EB1"/>
    <w:rsid w:val="001651A3"/>
    <w:rsid w:val="001659E3"/>
    <w:rsid w:val="0016693A"/>
    <w:rsid w:val="00167632"/>
    <w:rsid w:val="00170316"/>
    <w:rsid w:val="001716D9"/>
    <w:rsid w:val="0017234B"/>
    <w:rsid w:val="00173430"/>
    <w:rsid w:val="00174BC2"/>
    <w:rsid w:val="00174D27"/>
    <w:rsid w:val="0017548F"/>
    <w:rsid w:val="00175797"/>
    <w:rsid w:val="001757C0"/>
    <w:rsid w:val="00175E7D"/>
    <w:rsid w:val="001764F6"/>
    <w:rsid w:val="001778EA"/>
    <w:rsid w:val="00177C39"/>
    <w:rsid w:val="00177C57"/>
    <w:rsid w:val="001825F1"/>
    <w:rsid w:val="00183B79"/>
    <w:rsid w:val="00183E31"/>
    <w:rsid w:val="00184B52"/>
    <w:rsid w:val="001860F3"/>
    <w:rsid w:val="00186DCB"/>
    <w:rsid w:val="00187217"/>
    <w:rsid w:val="001879DC"/>
    <w:rsid w:val="001901E9"/>
    <w:rsid w:val="001906B8"/>
    <w:rsid w:val="00190E77"/>
    <w:rsid w:val="00193324"/>
    <w:rsid w:val="001933F0"/>
    <w:rsid w:val="00193552"/>
    <w:rsid w:val="0019477E"/>
    <w:rsid w:val="00196387"/>
    <w:rsid w:val="001964CF"/>
    <w:rsid w:val="00196555"/>
    <w:rsid w:val="0019715B"/>
    <w:rsid w:val="00197C4F"/>
    <w:rsid w:val="001A0829"/>
    <w:rsid w:val="001A08D4"/>
    <w:rsid w:val="001A1A41"/>
    <w:rsid w:val="001A28DD"/>
    <w:rsid w:val="001A430D"/>
    <w:rsid w:val="001A47C8"/>
    <w:rsid w:val="001A53CB"/>
    <w:rsid w:val="001A5824"/>
    <w:rsid w:val="001A5895"/>
    <w:rsid w:val="001A68B8"/>
    <w:rsid w:val="001B2E1C"/>
    <w:rsid w:val="001B388F"/>
    <w:rsid w:val="001B38A1"/>
    <w:rsid w:val="001B44F3"/>
    <w:rsid w:val="001B5A1E"/>
    <w:rsid w:val="001B697C"/>
    <w:rsid w:val="001C031A"/>
    <w:rsid w:val="001C0B8A"/>
    <w:rsid w:val="001C0BF1"/>
    <w:rsid w:val="001C14B5"/>
    <w:rsid w:val="001C213D"/>
    <w:rsid w:val="001C27A3"/>
    <w:rsid w:val="001C41A0"/>
    <w:rsid w:val="001C4225"/>
    <w:rsid w:val="001C49C2"/>
    <w:rsid w:val="001C4A4E"/>
    <w:rsid w:val="001C4F4A"/>
    <w:rsid w:val="001D005D"/>
    <w:rsid w:val="001D01A8"/>
    <w:rsid w:val="001D0D64"/>
    <w:rsid w:val="001D236D"/>
    <w:rsid w:val="001D29FB"/>
    <w:rsid w:val="001D32F4"/>
    <w:rsid w:val="001D3E29"/>
    <w:rsid w:val="001D4C3A"/>
    <w:rsid w:val="001D762C"/>
    <w:rsid w:val="001E0AE9"/>
    <w:rsid w:val="001E0F1C"/>
    <w:rsid w:val="001E2595"/>
    <w:rsid w:val="001E2656"/>
    <w:rsid w:val="001E274A"/>
    <w:rsid w:val="001E28B3"/>
    <w:rsid w:val="001E2E49"/>
    <w:rsid w:val="001E33F6"/>
    <w:rsid w:val="001E34D2"/>
    <w:rsid w:val="001E4CE8"/>
    <w:rsid w:val="001E5C55"/>
    <w:rsid w:val="001E6B31"/>
    <w:rsid w:val="001E7CA6"/>
    <w:rsid w:val="001F1A36"/>
    <w:rsid w:val="001F23C6"/>
    <w:rsid w:val="001F2BFC"/>
    <w:rsid w:val="001F3F4F"/>
    <w:rsid w:val="001F40B3"/>
    <w:rsid w:val="001F4A6A"/>
    <w:rsid w:val="002014E0"/>
    <w:rsid w:val="00202728"/>
    <w:rsid w:val="0020587A"/>
    <w:rsid w:val="002069E2"/>
    <w:rsid w:val="00206B8E"/>
    <w:rsid w:val="002075E2"/>
    <w:rsid w:val="0020765A"/>
    <w:rsid w:val="00207BE6"/>
    <w:rsid w:val="0021063F"/>
    <w:rsid w:val="00211BDD"/>
    <w:rsid w:val="00211D83"/>
    <w:rsid w:val="002121AF"/>
    <w:rsid w:val="00212532"/>
    <w:rsid w:val="00213432"/>
    <w:rsid w:val="0021508B"/>
    <w:rsid w:val="002150FD"/>
    <w:rsid w:val="00215C12"/>
    <w:rsid w:val="00217D72"/>
    <w:rsid w:val="0022042C"/>
    <w:rsid w:val="00220833"/>
    <w:rsid w:val="00220971"/>
    <w:rsid w:val="00220FBC"/>
    <w:rsid w:val="002233D7"/>
    <w:rsid w:val="00223D69"/>
    <w:rsid w:val="00223E61"/>
    <w:rsid w:val="002240F7"/>
    <w:rsid w:val="002262C8"/>
    <w:rsid w:val="00227723"/>
    <w:rsid w:val="00227CA5"/>
    <w:rsid w:val="0023000F"/>
    <w:rsid w:val="00230877"/>
    <w:rsid w:val="0023090D"/>
    <w:rsid w:val="00230BA1"/>
    <w:rsid w:val="00230FD4"/>
    <w:rsid w:val="00231920"/>
    <w:rsid w:val="00231F9F"/>
    <w:rsid w:val="00232D93"/>
    <w:rsid w:val="00235E5A"/>
    <w:rsid w:val="002364FF"/>
    <w:rsid w:val="002368DD"/>
    <w:rsid w:val="00237436"/>
    <w:rsid w:val="00237CA7"/>
    <w:rsid w:val="002400D5"/>
    <w:rsid w:val="00240372"/>
    <w:rsid w:val="0024083F"/>
    <w:rsid w:val="00241349"/>
    <w:rsid w:val="0024163D"/>
    <w:rsid w:val="00241676"/>
    <w:rsid w:val="0024215B"/>
    <w:rsid w:val="00242A7A"/>
    <w:rsid w:val="00242D14"/>
    <w:rsid w:val="00242E21"/>
    <w:rsid w:val="002438AA"/>
    <w:rsid w:val="00244019"/>
    <w:rsid w:val="00245AC9"/>
    <w:rsid w:val="00247CB2"/>
    <w:rsid w:val="00250470"/>
    <w:rsid w:val="0025219B"/>
    <w:rsid w:val="002523BD"/>
    <w:rsid w:val="00254B3A"/>
    <w:rsid w:val="00255B1B"/>
    <w:rsid w:val="00255EBF"/>
    <w:rsid w:val="0025685C"/>
    <w:rsid w:val="00257106"/>
    <w:rsid w:val="002575D3"/>
    <w:rsid w:val="0026010B"/>
    <w:rsid w:val="002604F8"/>
    <w:rsid w:val="00260A60"/>
    <w:rsid w:val="00261839"/>
    <w:rsid w:val="002629D7"/>
    <w:rsid w:val="00262F65"/>
    <w:rsid w:val="00264AA1"/>
    <w:rsid w:val="00264C03"/>
    <w:rsid w:val="00264FEE"/>
    <w:rsid w:val="00265178"/>
    <w:rsid w:val="00266CB4"/>
    <w:rsid w:val="00266CC8"/>
    <w:rsid w:val="00266E07"/>
    <w:rsid w:val="00271D0D"/>
    <w:rsid w:val="002729FE"/>
    <w:rsid w:val="00273216"/>
    <w:rsid w:val="00273CF5"/>
    <w:rsid w:val="002744EB"/>
    <w:rsid w:val="00274E8D"/>
    <w:rsid w:val="00275032"/>
    <w:rsid w:val="002752B2"/>
    <w:rsid w:val="00276306"/>
    <w:rsid w:val="00277AAC"/>
    <w:rsid w:val="002805FF"/>
    <w:rsid w:val="00282D1F"/>
    <w:rsid w:val="00282F24"/>
    <w:rsid w:val="002833F9"/>
    <w:rsid w:val="00283C49"/>
    <w:rsid w:val="00283EB3"/>
    <w:rsid w:val="00284B1C"/>
    <w:rsid w:val="00285CC7"/>
    <w:rsid w:val="002860BD"/>
    <w:rsid w:val="00286A46"/>
    <w:rsid w:val="0028723D"/>
    <w:rsid w:val="002874E8"/>
    <w:rsid w:val="00287C52"/>
    <w:rsid w:val="002909E7"/>
    <w:rsid w:val="00291454"/>
    <w:rsid w:val="002915EA"/>
    <w:rsid w:val="002917E8"/>
    <w:rsid w:val="00291C45"/>
    <w:rsid w:val="00292222"/>
    <w:rsid w:val="00292DDD"/>
    <w:rsid w:val="00294430"/>
    <w:rsid w:val="00296DA4"/>
    <w:rsid w:val="002973C4"/>
    <w:rsid w:val="00297E32"/>
    <w:rsid w:val="002A0493"/>
    <w:rsid w:val="002A0B55"/>
    <w:rsid w:val="002A123A"/>
    <w:rsid w:val="002A1A43"/>
    <w:rsid w:val="002A1A6B"/>
    <w:rsid w:val="002A2B23"/>
    <w:rsid w:val="002A2EBB"/>
    <w:rsid w:val="002A49C6"/>
    <w:rsid w:val="002A4AF6"/>
    <w:rsid w:val="002A576A"/>
    <w:rsid w:val="002A746B"/>
    <w:rsid w:val="002A7D62"/>
    <w:rsid w:val="002B03BD"/>
    <w:rsid w:val="002B0F16"/>
    <w:rsid w:val="002B1D2B"/>
    <w:rsid w:val="002B48A6"/>
    <w:rsid w:val="002B5189"/>
    <w:rsid w:val="002B7C55"/>
    <w:rsid w:val="002C1659"/>
    <w:rsid w:val="002C1738"/>
    <w:rsid w:val="002C22EB"/>
    <w:rsid w:val="002C2F1E"/>
    <w:rsid w:val="002C36B8"/>
    <w:rsid w:val="002C43FA"/>
    <w:rsid w:val="002C4BAF"/>
    <w:rsid w:val="002C566C"/>
    <w:rsid w:val="002C6EC2"/>
    <w:rsid w:val="002C7707"/>
    <w:rsid w:val="002D07A3"/>
    <w:rsid w:val="002D0A46"/>
    <w:rsid w:val="002D2859"/>
    <w:rsid w:val="002D33B6"/>
    <w:rsid w:val="002D3BEF"/>
    <w:rsid w:val="002D5254"/>
    <w:rsid w:val="002D56B4"/>
    <w:rsid w:val="002D5937"/>
    <w:rsid w:val="002D6661"/>
    <w:rsid w:val="002D68FA"/>
    <w:rsid w:val="002D6A77"/>
    <w:rsid w:val="002D6CCA"/>
    <w:rsid w:val="002D7939"/>
    <w:rsid w:val="002E045B"/>
    <w:rsid w:val="002E082F"/>
    <w:rsid w:val="002E085B"/>
    <w:rsid w:val="002E11D7"/>
    <w:rsid w:val="002E11DD"/>
    <w:rsid w:val="002E2054"/>
    <w:rsid w:val="002E2ABF"/>
    <w:rsid w:val="002E2C88"/>
    <w:rsid w:val="002E3923"/>
    <w:rsid w:val="002E3CB6"/>
    <w:rsid w:val="002E5143"/>
    <w:rsid w:val="002E5F3E"/>
    <w:rsid w:val="002E65BF"/>
    <w:rsid w:val="002E6743"/>
    <w:rsid w:val="002E699A"/>
    <w:rsid w:val="002E7B5B"/>
    <w:rsid w:val="002F06FA"/>
    <w:rsid w:val="002F097E"/>
    <w:rsid w:val="002F175D"/>
    <w:rsid w:val="002F1C5C"/>
    <w:rsid w:val="002F1FB9"/>
    <w:rsid w:val="002F309D"/>
    <w:rsid w:val="002F3819"/>
    <w:rsid w:val="002F48C1"/>
    <w:rsid w:val="002F48EB"/>
    <w:rsid w:val="002F49F6"/>
    <w:rsid w:val="002F4CA5"/>
    <w:rsid w:val="002F61F8"/>
    <w:rsid w:val="002F6818"/>
    <w:rsid w:val="002F73B4"/>
    <w:rsid w:val="0030007D"/>
    <w:rsid w:val="003001A0"/>
    <w:rsid w:val="00300F17"/>
    <w:rsid w:val="00302489"/>
    <w:rsid w:val="003038C2"/>
    <w:rsid w:val="00304449"/>
    <w:rsid w:val="003057F0"/>
    <w:rsid w:val="00305894"/>
    <w:rsid w:val="00305CA5"/>
    <w:rsid w:val="00305D8D"/>
    <w:rsid w:val="0030748D"/>
    <w:rsid w:val="00307CF2"/>
    <w:rsid w:val="00310592"/>
    <w:rsid w:val="00311A2C"/>
    <w:rsid w:val="00311BD9"/>
    <w:rsid w:val="0031282A"/>
    <w:rsid w:val="003151A4"/>
    <w:rsid w:val="00315821"/>
    <w:rsid w:val="003159C0"/>
    <w:rsid w:val="00317BF0"/>
    <w:rsid w:val="00317F5D"/>
    <w:rsid w:val="00321F07"/>
    <w:rsid w:val="003221BB"/>
    <w:rsid w:val="003223C8"/>
    <w:rsid w:val="00322764"/>
    <w:rsid w:val="00323809"/>
    <w:rsid w:val="00323A33"/>
    <w:rsid w:val="00324082"/>
    <w:rsid w:val="00324506"/>
    <w:rsid w:val="003264BD"/>
    <w:rsid w:val="00327775"/>
    <w:rsid w:val="00330462"/>
    <w:rsid w:val="00331198"/>
    <w:rsid w:val="00331B5E"/>
    <w:rsid w:val="00332552"/>
    <w:rsid w:val="003333CE"/>
    <w:rsid w:val="00334648"/>
    <w:rsid w:val="00334D53"/>
    <w:rsid w:val="003375EC"/>
    <w:rsid w:val="00337668"/>
    <w:rsid w:val="003424AB"/>
    <w:rsid w:val="003435D7"/>
    <w:rsid w:val="0034439F"/>
    <w:rsid w:val="0034459F"/>
    <w:rsid w:val="00344C2E"/>
    <w:rsid w:val="003453B8"/>
    <w:rsid w:val="00345C25"/>
    <w:rsid w:val="00345C9A"/>
    <w:rsid w:val="00345E5F"/>
    <w:rsid w:val="003466EF"/>
    <w:rsid w:val="00346BFE"/>
    <w:rsid w:val="003472AF"/>
    <w:rsid w:val="00347719"/>
    <w:rsid w:val="00347AFC"/>
    <w:rsid w:val="00352223"/>
    <w:rsid w:val="00355173"/>
    <w:rsid w:val="00355CDF"/>
    <w:rsid w:val="0035606A"/>
    <w:rsid w:val="0035629C"/>
    <w:rsid w:val="0035638E"/>
    <w:rsid w:val="003571C9"/>
    <w:rsid w:val="003574F7"/>
    <w:rsid w:val="00360185"/>
    <w:rsid w:val="003606F8"/>
    <w:rsid w:val="003623E0"/>
    <w:rsid w:val="0036350A"/>
    <w:rsid w:val="00363CA4"/>
    <w:rsid w:val="00363D1D"/>
    <w:rsid w:val="00363D73"/>
    <w:rsid w:val="00363E60"/>
    <w:rsid w:val="0036510C"/>
    <w:rsid w:val="003651FC"/>
    <w:rsid w:val="00365C03"/>
    <w:rsid w:val="00367DC6"/>
    <w:rsid w:val="00367F41"/>
    <w:rsid w:val="00370BD7"/>
    <w:rsid w:val="00370EC2"/>
    <w:rsid w:val="003719DA"/>
    <w:rsid w:val="00372C32"/>
    <w:rsid w:val="00373F28"/>
    <w:rsid w:val="00374455"/>
    <w:rsid w:val="003755A7"/>
    <w:rsid w:val="00375B1D"/>
    <w:rsid w:val="00376A46"/>
    <w:rsid w:val="00377872"/>
    <w:rsid w:val="0038093B"/>
    <w:rsid w:val="0038144D"/>
    <w:rsid w:val="00382F34"/>
    <w:rsid w:val="00384591"/>
    <w:rsid w:val="00384DE0"/>
    <w:rsid w:val="003853AA"/>
    <w:rsid w:val="00387473"/>
    <w:rsid w:val="0039021D"/>
    <w:rsid w:val="0039058F"/>
    <w:rsid w:val="00390848"/>
    <w:rsid w:val="003916EC"/>
    <w:rsid w:val="00392100"/>
    <w:rsid w:val="00393436"/>
    <w:rsid w:val="00393FAC"/>
    <w:rsid w:val="00395E73"/>
    <w:rsid w:val="0039688F"/>
    <w:rsid w:val="00396D5D"/>
    <w:rsid w:val="003971AB"/>
    <w:rsid w:val="00397F99"/>
    <w:rsid w:val="003A0001"/>
    <w:rsid w:val="003A0B23"/>
    <w:rsid w:val="003A0B68"/>
    <w:rsid w:val="003A31EF"/>
    <w:rsid w:val="003A403A"/>
    <w:rsid w:val="003A4248"/>
    <w:rsid w:val="003A42CB"/>
    <w:rsid w:val="003A59AE"/>
    <w:rsid w:val="003A60CD"/>
    <w:rsid w:val="003A668E"/>
    <w:rsid w:val="003A7537"/>
    <w:rsid w:val="003A7BF1"/>
    <w:rsid w:val="003B02D1"/>
    <w:rsid w:val="003B0781"/>
    <w:rsid w:val="003B0E6A"/>
    <w:rsid w:val="003B1B36"/>
    <w:rsid w:val="003B3260"/>
    <w:rsid w:val="003B36F9"/>
    <w:rsid w:val="003B4076"/>
    <w:rsid w:val="003B4258"/>
    <w:rsid w:val="003B462A"/>
    <w:rsid w:val="003B50C7"/>
    <w:rsid w:val="003B73B6"/>
    <w:rsid w:val="003B767E"/>
    <w:rsid w:val="003C0932"/>
    <w:rsid w:val="003C18BE"/>
    <w:rsid w:val="003C1ECB"/>
    <w:rsid w:val="003C3194"/>
    <w:rsid w:val="003C3DCD"/>
    <w:rsid w:val="003C4B1A"/>
    <w:rsid w:val="003C5161"/>
    <w:rsid w:val="003C5E7D"/>
    <w:rsid w:val="003C7066"/>
    <w:rsid w:val="003D053F"/>
    <w:rsid w:val="003D10BD"/>
    <w:rsid w:val="003D1C46"/>
    <w:rsid w:val="003D1DE6"/>
    <w:rsid w:val="003D3206"/>
    <w:rsid w:val="003D327B"/>
    <w:rsid w:val="003D5A99"/>
    <w:rsid w:val="003D68C5"/>
    <w:rsid w:val="003D6AC1"/>
    <w:rsid w:val="003E0739"/>
    <w:rsid w:val="003E0DDF"/>
    <w:rsid w:val="003E1D12"/>
    <w:rsid w:val="003E27F8"/>
    <w:rsid w:val="003E2BAD"/>
    <w:rsid w:val="003E3DDD"/>
    <w:rsid w:val="003E44C5"/>
    <w:rsid w:val="003E57F1"/>
    <w:rsid w:val="003E5EC0"/>
    <w:rsid w:val="003E5FB9"/>
    <w:rsid w:val="003E6CA9"/>
    <w:rsid w:val="003E6E76"/>
    <w:rsid w:val="003F0648"/>
    <w:rsid w:val="003F0EF9"/>
    <w:rsid w:val="003F17A0"/>
    <w:rsid w:val="003F28A6"/>
    <w:rsid w:val="003F3251"/>
    <w:rsid w:val="003F35DC"/>
    <w:rsid w:val="003F4F43"/>
    <w:rsid w:val="003F5384"/>
    <w:rsid w:val="003F59A2"/>
    <w:rsid w:val="003F6825"/>
    <w:rsid w:val="003F6976"/>
    <w:rsid w:val="003F7588"/>
    <w:rsid w:val="00400534"/>
    <w:rsid w:val="00401DC7"/>
    <w:rsid w:val="00401EF0"/>
    <w:rsid w:val="004024C9"/>
    <w:rsid w:val="0040345A"/>
    <w:rsid w:val="004040AA"/>
    <w:rsid w:val="004056B2"/>
    <w:rsid w:val="00405B44"/>
    <w:rsid w:val="00406132"/>
    <w:rsid w:val="00406C13"/>
    <w:rsid w:val="004073C0"/>
    <w:rsid w:val="00410F48"/>
    <w:rsid w:val="0041110C"/>
    <w:rsid w:val="0041187F"/>
    <w:rsid w:val="00411A90"/>
    <w:rsid w:val="00411B43"/>
    <w:rsid w:val="00411C6B"/>
    <w:rsid w:val="004128CD"/>
    <w:rsid w:val="00413BB7"/>
    <w:rsid w:val="00414CF3"/>
    <w:rsid w:val="0041660E"/>
    <w:rsid w:val="0041746B"/>
    <w:rsid w:val="0041796A"/>
    <w:rsid w:val="004201CD"/>
    <w:rsid w:val="0042064F"/>
    <w:rsid w:val="00420DDE"/>
    <w:rsid w:val="004212E0"/>
    <w:rsid w:val="004222BF"/>
    <w:rsid w:val="00422436"/>
    <w:rsid w:val="004228BF"/>
    <w:rsid w:val="0042292B"/>
    <w:rsid w:val="00423093"/>
    <w:rsid w:val="00423758"/>
    <w:rsid w:val="00423AD1"/>
    <w:rsid w:val="00424D83"/>
    <w:rsid w:val="004256C5"/>
    <w:rsid w:val="00425984"/>
    <w:rsid w:val="004266D2"/>
    <w:rsid w:val="00427263"/>
    <w:rsid w:val="00427F17"/>
    <w:rsid w:val="0043005D"/>
    <w:rsid w:val="004306E3"/>
    <w:rsid w:val="00430DA9"/>
    <w:rsid w:val="00431079"/>
    <w:rsid w:val="0043129C"/>
    <w:rsid w:val="00432E70"/>
    <w:rsid w:val="004332F9"/>
    <w:rsid w:val="00433D8B"/>
    <w:rsid w:val="004341FD"/>
    <w:rsid w:val="00434D08"/>
    <w:rsid w:val="00434F48"/>
    <w:rsid w:val="004369BC"/>
    <w:rsid w:val="00437942"/>
    <w:rsid w:val="004423A0"/>
    <w:rsid w:val="00442416"/>
    <w:rsid w:val="00442481"/>
    <w:rsid w:val="00443122"/>
    <w:rsid w:val="004432D9"/>
    <w:rsid w:val="004439CC"/>
    <w:rsid w:val="00443A01"/>
    <w:rsid w:val="00445BB2"/>
    <w:rsid w:val="00446637"/>
    <w:rsid w:val="00447EC6"/>
    <w:rsid w:val="00447EE5"/>
    <w:rsid w:val="00450021"/>
    <w:rsid w:val="004500A0"/>
    <w:rsid w:val="0045174B"/>
    <w:rsid w:val="00452C2F"/>
    <w:rsid w:val="00452FE1"/>
    <w:rsid w:val="0045323C"/>
    <w:rsid w:val="004540FA"/>
    <w:rsid w:val="00454271"/>
    <w:rsid w:val="004542E4"/>
    <w:rsid w:val="00454883"/>
    <w:rsid w:val="00455136"/>
    <w:rsid w:val="0045573C"/>
    <w:rsid w:val="00456585"/>
    <w:rsid w:val="00457378"/>
    <w:rsid w:val="00457875"/>
    <w:rsid w:val="00457CDE"/>
    <w:rsid w:val="004607FA"/>
    <w:rsid w:val="004610D1"/>
    <w:rsid w:val="004612C1"/>
    <w:rsid w:val="00461DE9"/>
    <w:rsid w:val="00462C71"/>
    <w:rsid w:val="00463221"/>
    <w:rsid w:val="0046338E"/>
    <w:rsid w:val="00463B24"/>
    <w:rsid w:val="00464CF2"/>
    <w:rsid w:val="00465700"/>
    <w:rsid w:val="0046572E"/>
    <w:rsid w:val="00465785"/>
    <w:rsid w:val="004712F9"/>
    <w:rsid w:val="0047315A"/>
    <w:rsid w:val="00473AF9"/>
    <w:rsid w:val="00474063"/>
    <w:rsid w:val="0047479B"/>
    <w:rsid w:val="00474ABE"/>
    <w:rsid w:val="004757A1"/>
    <w:rsid w:val="00476556"/>
    <w:rsid w:val="00477276"/>
    <w:rsid w:val="00477905"/>
    <w:rsid w:val="00477A5B"/>
    <w:rsid w:val="00477F82"/>
    <w:rsid w:val="0048058A"/>
    <w:rsid w:val="00481416"/>
    <w:rsid w:val="004815BF"/>
    <w:rsid w:val="00482865"/>
    <w:rsid w:val="00482B91"/>
    <w:rsid w:val="004830B4"/>
    <w:rsid w:val="00483667"/>
    <w:rsid w:val="00483B63"/>
    <w:rsid w:val="00484A3F"/>
    <w:rsid w:val="00484BEA"/>
    <w:rsid w:val="00484F0B"/>
    <w:rsid w:val="004860D2"/>
    <w:rsid w:val="004865D3"/>
    <w:rsid w:val="00486E39"/>
    <w:rsid w:val="0048755D"/>
    <w:rsid w:val="00487C92"/>
    <w:rsid w:val="00490EB0"/>
    <w:rsid w:val="00491937"/>
    <w:rsid w:val="00491E53"/>
    <w:rsid w:val="00494A0F"/>
    <w:rsid w:val="00494E0A"/>
    <w:rsid w:val="00495635"/>
    <w:rsid w:val="0049589F"/>
    <w:rsid w:val="00495F90"/>
    <w:rsid w:val="0049668A"/>
    <w:rsid w:val="00496C5A"/>
    <w:rsid w:val="00497F62"/>
    <w:rsid w:val="004A03EC"/>
    <w:rsid w:val="004A1A0C"/>
    <w:rsid w:val="004A251A"/>
    <w:rsid w:val="004A2CBD"/>
    <w:rsid w:val="004A3D12"/>
    <w:rsid w:val="004A3FE9"/>
    <w:rsid w:val="004A42D6"/>
    <w:rsid w:val="004A64D2"/>
    <w:rsid w:val="004B0257"/>
    <w:rsid w:val="004B0B50"/>
    <w:rsid w:val="004B11AC"/>
    <w:rsid w:val="004B1F5D"/>
    <w:rsid w:val="004B27BF"/>
    <w:rsid w:val="004B3A06"/>
    <w:rsid w:val="004B56CE"/>
    <w:rsid w:val="004B6942"/>
    <w:rsid w:val="004B6CF7"/>
    <w:rsid w:val="004C096C"/>
    <w:rsid w:val="004C0C81"/>
    <w:rsid w:val="004C11A4"/>
    <w:rsid w:val="004C3BA4"/>
    <w:rsid w:val="004C3C70"/>
    <w:rsid w:val="004C41A5"/>
    <w:rsid w:val="004C4EE9"/>
    <w:rsid w:val="004C564A"/>
    <w:rsid w:val="004C5AC5"/>
    <w:rsid w:val="004C6144"/>
    <w:rsid w:val="004D0E36"/>
    <w:rsid w:val="004D1044"/>
    <w:rsid w:val="004D1272"/>
    <w:rsid w:val="004D12D6"/>
    <w:rsid w:val="004D2071"/>
    <w:rsid w:val="004D297D"/>
    <w:rsid w:val="004D35E3"/>
    <w:rsid w:val="004D3B82"/>
    <w:rsid w:val="004D3CFD"/>
    <w:rsid w:val="004D4A09"/>
    <w:rsid w:val="004D6478"/>
    <w:rsid w:val="004D6E64"/>
    <w:rsid w:val="004D79EB"/>
    <w:rsid w:val="004E0107"/>
    <w:rsid w:val="004E11F8"/>
    <w:rsid w:val="004E282F"/>
    <w:rsid w:val="004E28AE"/>
    <w:rsid w:val="004E2B39"/>
    <w:rsid w:val="004E3A1B"/>
    <w:rsid w:val="004E4BEA"/>
    <w:rsid w:val="004E638E"/>
    <w:rsid w:val="004E73A1"/>
    <w:rsid w:val="004F02B8"/>
    <w:rsid w:val="004F1B68"/>
    <w:rsid w:val="004F228F"/>
    <w:rsid w:val="004F33AB"/>
    <w:rsid w:val="004F33B3"/>
    <w:rsid w:val="004F3F41"/>
    <w:rsid w:val="004F5E53"/>
    <w:rsid w:val="004F6EF3"/>
    <w:rsid w:val="005001A3"/>
    <w:rsid w:val="00500416"/>
    <w:rsid w:val="00500E62"/>
    <w:rsid w:val="00501325"/>
    <w:rsid w:val="0050187F"/>
    <w:rsid w:val="00504B02"/>
    <w:rsid w:val="00505199"/>
    <w:rsid w:val="005068F0"/>
    <w:rsid w:val="00506A5D"/>
    <w:rsid w:val="00506CB4"/>
    <w:rsid w:val="00507485"/>
    <w:rsid w:val="00507A0E"/>
    <w:rsid w:val="00507BF6"/>
    <w:rsid w:val="00510B26"/>
    <w:rsid w:val="00510BD4"/>
    <w:rsid w:val="00510CA2"/>
    <w:rsid w:val="0051195D"/>
    <w:rsid w:val="005128E4"/>
    <w:rsid w:val="0051295A"/>
    <w:rsid w:val="005135D4"/>
    <w:rsid w:val="00513A90"/>
    <w:rsid w:val="005143C3"/>
    <w:rsid w:val="005144E2"/>
    <w:rsid w:val="00515381"/>
    <w:rsid w:val="00515551"/>
    <w:rsid w:val="0051593B"/>
    <w:rsid w:val="0051640C"/>
    <w:rsid w:val="005166DA"/>
    <w:rsid w:val="00516815"/>
    <w:rsid w:val="00517E8D"/>
    <w:rsid w:val="00517F22"/>
    <w:rsid w:val="00517FC0"/>
    <w:rsid w:val="0052023D"/>
    <w:rsid w:val="00520F88"/>
    <w:rsid w:val="005211B0"/>
    <w:rsid w:val="005216F0"/>
    <w:rsid w:val="005217D5"/>
    <w:rsid w:val="00522795"/>
    <w:rsid w:val="005262B3"/>
    <w:rsid w:val="005263E9"/>
    <w:rsid w:val="00526515"/>
    <w:rsid w:val="005265D9"/>
    <w:rsid w:val="00526F9F"/>
    <w:rsid w:val="00527606"/>
    <w:rsid w:val="005277F8"/>
    <w:rsid w:val="00527F38"/>
    <w:rsid w:val="005301EF"/>
    <w:rsid w:val="0053021F"/>
    <w:rsid w:val="00530B26"/>
    <w:rsid w:val="0053243F"/>
    <w:rsid w:val="00534865"/>
    <w:rsid w:val="00536A91"/>
    <w:rsid w:val="00536ED5"/>
    <w:rsid w:val="00537287"/>
    <w:rsid w:val="005379C9"/>
    <w:rsid w:val="00537DA5"/>
    <w:rsid w:val="0054004F"/>
    <w:rsid w:val="00542862"/>
    <w:rsid w:val="005428F1"/>
    <w:rsid w:val="00542E0A"/>
    <w:rsid w:val="005434C2"/>
    <w:rsid w:val="0054391E"/>
    <w:rsid w:val="00543C85"/>
    <w:rsid w:val="00543D4A"/>
    <w:rsid w:val="005443F3"/>
    <w:rsid w:val="00545E69"/>
    <w:rsid w:val="00546C21"/>
    <w:rsid w:val="0054710F"/>
    <w:rsid w:val="005536C4"/>
    <w:rsid w:val="0055439E"/>
    <w:rsid w:val="005549B7"/>
    <w:rsid w:val="00554F4A"/>
    <w:rsid w:val="005555F9"/>
    <w:rsid w:val="00555776"/>
    <w:rsid w:val="00555E58"/>
    <w:rsid w:val="00557337"/>
    <w:rsid w:val="00557423"/>
    <w:rsid w:val="00561564"/>
    <w:rsid w:val="00562292"/>
    <w:rsid w:val="00562E5C"/>
    <w:rsid w:val="005631C6"/>
    <w:rsid w:val="0056338F"/>
    <w:rsid w:val="005635EA"/>
    <w:rsid w:val="0056360D"/>
    <w:rsid w:val="0056432E"/>
    <w:rsid w:val="00564AF6"/>
    <w:rsid w:val="00564F70"/>
    <w:rsid w:val="005659BA"/>
    <w:rsid w:val="00566280"/>
    <w:rsid w:val="005663D8"/>
    <w:rsid w:val="00567117"/>
    <w:rsid w:val="00570C98"/>
    <w:rsid w:val="005724CB"/>
    <w:rsid w:val="00572AA3"/>
    <w:rsid w:val="00572D54"/>
    <w:rsid w:val="00573F42"/>
    <w:rsid w:val="00574AAB"/>
    <w:rsid w:val="00576FA1"/>
    <w:rsid w:val="00577BFB"/>
    <w:rsid w:val="00577FC2"/>
    <w:rsid w:val="00580823"/>
    <w:rsid w:val="00582193"/>
    <w:rsid w:val="00584321"/>
    <w:rsid w:val="005851D8"/>
    <w:rsid w:val="005860DB"/>
    <w:rsid w:val="00586362"/>
    <w:rsid w:val="005866B1"/>
    <w:rsid w:val="00587013"/>
    <w:rsid w:val="00587B05"/>
    <w:rsid w:val="00587DA8"/>
    <w:rsid w:val="00587E13"/>
    <w:rsid w:val="00590552"/>
    <w:rsid w:val="00590A01"/>
    <w:rsid w:val="00590BAC"/>
    <w:rsid w:val="00590EEB"/>
    <w:rsid w:val="00595008"/>
    <w:rsid w:val="00595453"/>
    <w:rsid w:val="0059720B"/>
    <w:rsid w:val="005A155E"/>
    <w:rsid w:val="005A1B5C"/>
    <w:rsid w:val="005A3805"/>
    <w:rsid w:val="005A4C8D"/>
    <w:rsid w:val="005A4D1E"/>
    <w:rsid w:val="005A55D0"/>
    <w:rsid w:val="005A591F"/>
    <w:rsid w:val="005A6726"/>
    <w:rsid w:val="005A6914"/>
    <w:rsid w:val="005A6BCF"/>
    <w:rsid w:val="005A7632"/>
    <w:rsid w:val="005A7C56"/>
    <w:rsid w:val="005A7E8D"/>
    <w:rsid w:val="005B0FD3"/>
    <w:rsid w:val="005B1116"/>
    <w:rsid w:val="005B1C6E"/>
    <w:rsid w:val="005B1CFB"/>
    <w:rsid w:val="005B1EEC"/>
    <w:rsid w:val="005B238D"/>
    <w:rsid w:val="005B3968"/>
    <w:rsid w:val="005B54BF"/>
    <w:rsid w:val="005B5847"/>
    <w:rsid w:val="005B781D"/>
    <w:rsid w:val="005B7934"/>
    <w:rsid w:val="005C0B1F"/>
    <w:rsid w:val="005C0F52"/>
    <w:rsid w:val="005C10E7"/>
    <w:rsid w:val="005C1263"/>
    <w:rsid w:val="005C1D31"/>
    <w:rsid w:val="005C219F"/>
    <w:rsid w:val="005C2CE3"/>
    <w:rsid w:val="005C2EDD"/>
    <w:rsid w:val="005C4A9E"/>
    <w:rsid w:val="005C621C"/>
    <w:rsid w:val="005C660A"/>
    <w:rsid w:val="005C7A49"/>
    <w:rsid w:val="005C7B51"/>
    <w:rsid w:val="005C7B6E"/>
    <w:rsid w:val="005D06A4"/>
    <w:rsid w:val="005D0BBC"/>
    <w:rsid w:val="005D16F8"/>
    <w:rsid w:val="005D1B5B"/>
    <w:rsid w:val="005D2105"/>
    <w:rsid w:val="005D3FD5"/>
    <w:rsid w:val="005D49A9"/>
    <w:rsid w:val="005D6D72"/>
    <w:rsid w:val="005D709B"/>
    <w:rsid w:val="005D71F6"/>
    <w:rsid w:val="005E0A3A"/>
    <w:rsid w:val="005E0CF1"/>
    <w:rsid w:val="005E1920"/>
    <w:rsid w:val="005E1DE9"/>
    <w:rsid w:val="005E3287"/>
    <w:rsid w:val="005E35C5"/>
    <w:rsid w:val="005E3951"/>
    <w:rsid w:val="005E4F2F"/>
    <w:rsid w:val="005E5388"/>
    <w:rsid w:val="005E5BE7"/>
    <w:rsid w:val="005F0121"/>
    <w:rsid w:val="005F2090"/>
    <w:rsid w:val="005F2C3C"/>
    <w:rsid w:val="005F3256"/>
    <w:rsid w:val="005F3C3C"/>
    <w:rsid w:val="005F3E55"/>
    <w:rsid w:val="005F40CF"/>
    <w:rsid w:val="005F4921"/>
    <w:rsid w:val="005F493E"/>
    <w:rsid w:val="005F4F36"/>
    <w:rsid w:val="005F537F"/>
    <w:rsid w:val="005F56A0"/>
    <w:rsid w:val="005F5D56"/>
    <w:rsid w:val="005F7AF5"/>
    <w:rsid w:val="005F7CE7"/>
    <w:rsid w:val="0060044D"/>
    <w:rsid w:val="00600FF6"/>
    <w:rsid w:val="006016A7"/>
    <w:rsid w:val="00601C76"/>
    <w:rsid w:val="0060213E"/>
    <w:rsid w:val="00602E26"/>
    <w:rsid w:val="00602EF9"/>
    <w:rsid w:val="00602FCA"/>
    <w:rsid w:val="0060511E"/>
    <w:rsid w:val="0061065E"/>
    <w:rsid w:val="00611BE4"/>
    <w:rsid w:val="006130F9"/>
    <w:rsid w:val="00613717"/>
    <w:rsid w:val="00613921"/>
    <w:rsid w:val="006144AC"/>
    <w:rsid w:val="0061609A"/>
    <w:rsid w:val="006164DD"/>
    <w:rsid w:val="0061727A"/>
    <w:rsid w:val="00617885"/>
    <w:rsid w:val="00617AC2"/>
    <w:rsid w:val="00617BD9"/>
    <w:rsid w:val="00622899"/>
    <w:rsid w:val="00622AA6"/>
    <w:rsid w:val="00623D94"/>
    <w:rsid w:val="006256CF"/>
    <w:rsid w:val="00625E4D"/>
    <w:rsid w:val="006264E6"/>
    <w:rsid w:val="00627F0F"/>
    <w:rsid w:val="006303E5"/>
    <w:rsid w:val="00630F43"/>
    <w:rsid w:val="0063115B"/>
    <w:rsid w:val="00632935"/>
    <w:rsid w:val="006331B9"/>
    <w:rsid w:val="006334D1"/>
    <w:rsid w:val="006342D3"/>
    <w:rsid w:val="00634886"/>
    <w:rsid w:val="00634B1C"/>
    <w:rsid w:val="0063741C"/>
    <w:rsid w:val="00637FF3"/>
    <w:rsid w:val="00640736"/>
    <w:rsid w:val="00640ADE"/>
    <w:rsid w:val="006425FE"/>
    <w:rsid w:val="006431D5"/>
    <w:rsid w:val="006431F3"/>
    <w:rsid w:val="006441A6"/>
    <w:rsid w:val="006448EA"/>
    <w:rsid w:val="006464B7"/>
    <w:rsid w:val="00646D1D"/>
    <w:rsid w:val="0064714C"/>
    <w:rsid w:val="0064728B"/>
    <w:rsid w:val="006474D8"/>
    <w:rsid w:val="00647ABA"/>
    <w:rsid w:val="006500E3"/>
    <w:rsid w:val="0065072E"/>
    <w:rsid w:val="00651E49"/>
    <w:rsid w:val="00652FA8"/>
    <w:rsid w:val="00654118"/>
    <w:rsid w:val="00654646"/>
    <w:rsid w:val="006546C2"/>
    <w:rsid w:val="00654723"/>
    <w:rsid w:val="00654A0C"/>
    <w:rsid w:val="00655DF8"/>
    <w:rsid w:val="00656483"/>
    <w:rsid w:val="00660865"/>
    <w:rsid w:val="006632E2"/>
    <w:rsid w:val="006632F9"/>
    <w:rsid w:val="00663303"/>
    <w:rsid w:val="0066345E"/>
    <w:rsid w:val="00663650"/>
    <w:rsid w:val="00663F28"/>
    <w:rsid w:val="00665906"/>
    <w:rsid w:val="0066697C"/>
    <w:rsid w:val="00666F1A"/>
    <w:rsid w:val="00670126"/>
    <w:rsid w:val="00670740"/>
    <w:rsid w:val="0067086A"/>
    <w:rsid w:val="00670B5D"/>
    <w:rsid w:val="00671089"/>
    <w:rsid w:val="00672909"/>
    <w:rsid w:val="00673337"/>
    <w:rsid w:val="00673D2D"/>
    <w:rsid w:val="00674F1D"/>
    <w:rsid w:val="00675436"/>
    <w:rsid w:val="00676CCB"/>
    <w:rsid w:val="0067716A"/>
    <w:rsid w:val="00680AE3"/>
    <w:rsid w:val="00682540"/>
    <w:rsid w:val="00682679"/>
    <w:rsid w:val="00682943"/>
    <w:rsid w:val="00683656"/>
    <w:rsid w:val="006842B5"/>
    <w:rsid w:val="00687331"/>
    <w:rsid w:val="006873A6"/>
    <w:rsid w:val="00687DEE"/>
    <w:rsid w:val="006907D7"/>
    <w:rsid w:val="00690AC0"/>
    <w:rsid w:val="00691FDC"/>
    <w:rsid w:val="0069209E"/>
    <w:rsid w:val="00693EFD"/>
    <w:rsid w:val="0069430B"/>
    <w:rsid w:val="006945E7"/>
    <w:rsid w:val="00695073"/>
    <w:rsid w:val="00695085"/>
    <w:rsid w:val="006977C6"/>
    <w:rsid w:val="006A201C"/>
    <w:rsid w:val="006A20C9"/>
    <w:rsid w:val="006A3161"/>
    <w:rsid w:val="006A398F"/>
    <w:rsid w:val="006A63EC"/>
    <w:rsid w:val="006A644E"/>
    <w:rsid w:val="006A68F3"/>
    <w:rsid w:val="006B0378"/>
    <w:rsid w:val="006B041A"/>
    <w:rsid w:val="006B0959"/>
    <w:rsid w:val="006B18D5"/>
    <w:rsid w:val="006B274D"/>
    <w:rsid w:val="006B3077"/>
    <w:rsid w:val="006B3A11"/>
    <w:rsid w:val="006B3B3B"/>
    <w:rsid w:val="006B3C19"/>
    <w:rsid w:val="006B45C2"/>
    <w:rsid w:val="006B4618"/>
    <w:rsid w:val="006B5E75"/>
    <w:rsid w:val="006B609A"/>
    <w:rsid w:val="006B697E"/>
    <w:rsid w:val="006B79B2"/>
    <w:rsid w:val="006C1C99"/>
    <w:rsid w:val="006C4256"/>
    <w:rsid w:val="006C4ADE"/>
    <w:rsid w:val="006C556D"/>
    <w:rsid w:val="006C652F"/>
    <w:rsid w:val="006C6780"/>
    <w:rsid w:val="006C695D"/>
    <w:rsid w:val="006D0F9C"/>
    <w:rsid w:val="006D13DA"/>
    <w:rsid w:val="006D23AF"/>
    <w:rsid w:val="006D296C"/>
    <w:rsid w:val="006D4401"/>
    <w:rsid w:val="006D4F3D"/>
    <w:rsid w:val="006D50C5"/>
    <w:rsid w:val="006D54EA"/>
    <w:rsid w:val="006D554D"/>
    <w:rsid w:val="006D554F"/>
    <w:rsid w:val="006D6876"/>
    <w:rsid w:val="006D7796"/>
    <w:rsid w:val="006D781D"/>
    <w:rsid w:val="006E0037"/>
    <w:rsid w:val="006E0B24"/>
    <w:rsid w:val="006E0C50"/>
    <w:rsid w:val="006E132E"/>
    <w:rsid w:val="006E18BD"/>
    <w:rsid w:val="006E1E6D"/>
    <w:rsid w:val="006E3289"/>
    <w:rsid w:val="006E330A"/>
    <w:rsid w:val="006E3513"/>
    <w:rsid w:val="006E46EB"/>
    <w:rsid w:val="006E4AFD"/>
    <w:rsid w:val="006E5050"/>
    <w:rsid w:val="006E5BDF"/>
    <w:rsid w:val="006E6747"/>
    <w:rsid w:val="006E7573"/>
    <w:rsid w:val="006F0C37"/>
    <w:rsid w:val="006F2CAF"/>
    <w:rsid w:val="006F3BBA"/>
    <w:rsid w:val="006F506D"/>
    <w:rsid w:val="006F5BD4"/>
    <w:rsid w:val="006F5E9D"/>
    <w:rsid w:val="006F6C31"/>
    <w:rsid w:val="006F6F08"/>
    <w:rsid w:val="00700157"/>
    <w:rsid w:val="007017D6"/>
    <w:rsid w:val="00702C70"/>
    <w:rsid w:val="007031D9"/>
    <w:rsid w:val="00705262"/>
    <w:rsid w:val="00705291"/>
    <w:rsid w:val="0070552F"/>
    <w:rsid w:val="00705A6F"/>
    <w:rsid w:val="00706D63"/>
    <w:rsid w:val="0070766D"/>
    <w:rsid w:val="00710741"/>
    <w:rsid w:val="00710CB4"/>
    <w:rsid w:val="007120B2"/>
    <w:rsid w:val="00712CBE"/>
    <w:rsid w:val="007148AB"/>
    <w:rsid w:val="00714EE4"/>
    <w:rsid w:val="0071508E"/>
    <w:rsid w:val="00715B08"/>
    <w:rsid w:val="00716620"/>
    <w:rsid w:val="00716D68"/>
    <w:rsid w:val="00716E00"/>
    <w:rsid w:val="0071750A"/>
    <w:rsid w:val="00720683"/>
    <w:rsid w:val="007207F0"/>
    <w:rsid w:val="0072148A"/>
    <w:rsid w:val="00722B61"/>
    <w:rsid w:val="00725AD6"/>
    <w:rsid w:val="007269F3"/>
    <w:rsid w:val="00726DDA"/>
    <w:rsid w:val="007270D4"/>
    <w:rsid w:val="007305AE"/>
    <w:rsid w:val="00730FE8"/>
    <w:rsid w:val="00732241"/>
    <w:rsid w:val="007327C7"/>
    <w:rsid w:val="0073377E"/>
    <w:rsid w:val="00734A18"/>
    <w:rsid w:val="00735555"/>
    <w:rsid w:val="00740830"/>
    <w:rsid w:val="0074114C"/>
    <w:rsid w:val="007412A7"/>
    <w:rsid w:val="00742731"/>
    <w:rsid w:val="00743129"/>
    <w:rsid w:val="0074321C"/>
    <w:rsid w:val="0074449C"/>
    <w:rsid w:val="00744507"/>
    <w:rsid w:val="0074478A"/>
    <w:rsid w:val="007448FB"/>
    <w:rsid w:val="00744A2B"/>
    <w:rsid w:val="007457AE"/>
    <w:rsid w:val="0074601C"/>
    <w:rsid w:val="0074670A"/>
    <w:rsid w:val="007510FD"/>
    <w:rsid w:val="007519B1"/>
    <w:rsid w:val="00751E36"/>
    <w:rsid w:val="00752114"/>
    <w:rsid w:val="00752B0F"/>
    <w:rsid w:val="00752FBD"/>
    <w:rsid w:val="0075442E"/>
    <w:rsid w:val="00755260"/>
    <w:rsid w:val="0075526F"/>
    <w:rsid w:val="0075568F"/>
    <w:rsid w:val="00755BFC"/>
    <w:rsid w:val="00755C27"/>
    <w:rsid w:val="00756D06"/>
    <w:rsid w:val="00757473"/>
    <w:rsid w:val="00757947"/>
    <w:rsid w:val="00757E32"/>
    <w:rsid w:val="007618A8"/>
    <w:rsid w:val="00762041"/>
    <w:rsid w:val="00762C8D"/>
    <w:rsid w:val="00763350"/>
    <w:rsid w:val="00765515"/>
    <w:rsid w:val="00766462"/>
    <w:rsid w:val="007667F5"/>
    <w:rsid w:val="00770830"/>
    <w:rsid w:val="00771351"/>
    <w:rsid w:val="00772013"/>
    <w:rsid w:val="00772268"/>
    <w:rsid w:val="007741C9"/>
    <w:rsid w:val="00774E55"/>
    <w:rsid w:val="007751B5"/>
    <w:rsid w:val="00775751"/>
    <w:rsid w:val="0077579B"/>
    <w:rsid w:val="00776623"/>
    <w:rsid w:val="00777165"/>
    <w:rsid w:val="00777DB9"/>
    <w:rsid w:val="00780157"/>
    <w:rsid w:val="00781529"/>
    <w:rsid w:val="00781F51"/>
    <w:rsid w:val="00783905"/>
    <w:rsid w:val="00783BF7"/>
    <w:rsid w:val="00783CFD"/>
    <w:rsid w:val="00783F53"/>
    <w:rsid w:val="0078530D"/>
    <w:rsid w:val="00786079"/>
    <w:rsid w:val="00786A1B"/>
    <w:rsid w:val="00786B0F"/>
    <w:rsid w:val="00787BB3"/>
    <w:rsid w:val="00787F7A"/>
    <w:rsid w:val="00790469"/>
    <w:rsid w:val="00790C75"/>
    <w:rsid w:val="007918CE"/>
    <w:rsid w:val="00791D3C"/>
    <w:rsid w:val="00792090"/>
    <w:rsid w:val="00792365"/>
    <w:rsid w:val="00793369"/>
    <w:rsid w:val="0079381D"/>
    <w:rsid w:val="007952AD"/>
    <w:rsid w:val="00795373"/>
    <w:rsid w:val="00796033"/>
    <w:rsid w:val="00796137"/>
    <w:rsid w:val="0079661B"/>
    <w:rsid w:val="00796710"/>
    <w:rsid w:val="00796B23"/>
    <w:rsid w:val="00796C69"/>
    <w:rsid w:val="00796FC1"/>
    <w:rsid w:val="00797839"/>
    <w:rsid w:val="00797E5C"/>
    <w:rsid w:val="007A1EF9"/>
    <w:rsid w:val="007A29ED"/>
    <w:rsid w:val="007A36D3"/>
    <w:rsid w:val="007A40A9"/>
    <w:rsid w:val="007A4B86"/>
    <w:rsid w:val="007A4CAE"/>
    <w:rsid w:val="007A5198"/>
    <w:rsid w:val="007A6309"/>
    <w:rsid w:val="007A648C"/>
    <w:rsid w:val="007A7084"/>
    <w:rsid w:val="007A72B7"/>
    <w:rsid w:val="007B0B2D"/>
    <w:rsid w:val="007B0DF8"/>
    <w:rsid w:val="007B1622"/>
    <w:rsid w:val="007B2E4E"/>
    <w:rsid w:val="007B3613"/>
    <w:rsid w:val="007B481D"/>
    <w:rsid w:val="007B57FE"/>
    <w:rsid w:val="007B6B26"/>
    <w:rsid w:val="007B7C14"/>
    <w:rsid w:val="007C11C3"/>
    <w:rsid w:val="007C1230"/>
    <w:rsid w:val="007C22B6"/>
    <w:rsid w:val="007C3229"/>
    <w:rsid w:val="007C37CA"/>
    <w:rsid w:val="007C5CED"/>
    <w:rsid w:val="007C7000"/>
    <w:rsid w:val="007C7474"/>
    <w:rsid w:val="007D23A2"/>
    <w:rsid w:val="007D338D"/>
    <w:rsid w:val="007D5015"/>
    <w:rsid w:val="007D688B"/>
    <w:rsid w:val="007D6F93"/>
    <w:rsid w:val="007E1AEB"/>
    <w:rsid w:val="007E2239"/>
    <w:rsid w:val="007E5774"/>
    <w:rsid w:val="007F0DC1"/>
    <w:rsid w:val="007F111A"/>
    <w:rsid w:val="007F1BA5"/>
    <w:rsid w:val="007F2192"/>
    <w:rsid w:val="007F5FE8"/>
    <w:rsid w:val="007F6236"/>
    <w:rsid w:val="007F74D3"/>
    <w:rsid w:val="007F770C"/>
    <w:rsid w:val="007F7AC4"/>
    <w:rsid w:val="007F7BE8"/>
    <w:rsid w:val="00800071"/>
    <w:rsid w:val="0080070C"/>
    <w:rsid w:val="00800B40"/>
    <w:rsid w:val="00800BE4"/>
    <w:rsid w:val="008016FF"/>
    <w:rsid w:val="00802589"/>
    <w:rsid w:val="00804D58"/>
    <w:rsid w:val="00804D8E"/>
    <w:rsid w:val="008060CA"/>
    <w:rsid w:val="008068A8"/>
    <w:rsid w:val="0081102A"/>
    <w:rsid w:val="00811040"/>
    <w:rsid w:val="00811E90"/>
    <w:rsid w:val="00812103"/>
    <w:rsid w:val="00812CFC"/>
    <w:rsid w:val="008141C2"/>
    <w:rsid w:val="008142D6"/>
    <w:rsid w:val="00815318"/>
    <w:rsid w:val="00820E60"/>
    <w:rsid w:val="00823FF6"/>
    <w:rsid w:val="008245E4"/>
    <w:rsid w:val="0082563C"/>
    <w:rsid w:val="00825DE1"/>
    <w:rsid w:val="00825E9B"/>
    <w:rsid w:val="0082723C"/>
    <w:rsid w:val="00827E08"/>
    <w:rsid w:val="00834443"/>
    <w:rsid w:val="00834F79"/>
    <w:rsid w:val="00836479"/>
    <w:rsid w:val="00841C09"/>
    <w:rsid w:val="008432D2"/>
    <w:rsid w:val="00843794"/>
    <w:rsid w:val="00844AAF"/>
    <w:rsid w:val="00847F77"/>
    <w:rsid w:val="008501F1"/>
    <w:rsid w:val="008507D5"/>
    <w:rsid w:val="00853D33"/>
    <w:rsid w:val="008552F2"/>
    <w:rsid w:val="00856277"/>
    <w:rsid w:val="008569AB"/>
    <w:rsid w:val="00857D8D"/>
    <w:rsid w:val="00857F64"/>
    <w:rsid w:val="00860072"/>
    <w:rsid w:val="008615BC"/>
    <w:rsid w:val="00861A11"/>
    <w:rsid w:val="00861F1F"/>
    <w:rsid w:val="00862C5D"/>
    <w:rsid w:val="008639C2"/>
    <w:rsid w:val="00863D71"/>
    <w:rsid w:val="00864D24"/>
    <w:rsid w:val="00867E39"/>
    <w:rsid w:val="00870F20"/>
    <w:rsid w:val="00873639"/>
    <w:rsid w:val="00873AD8"/>
    <w:rsid w:val="00874B73"/>
    <w:rsid w:val="0087522E"/>
    <w:rsid w:val="00875AC0"/>
    <w:rsid w:val="00875F79"/>
    <w:rsid w:val="00877022"/>
    <w:rsid w:val="008779B2"/>
    <w:rsid w:val="00881258"/>
    <w:rsid w:val="00883F62"/>
    <w:rsid w:val="00884189"/>
    <w:rsid w:val="00884B83"/>
    <w:rsid w:val="00887111"/>
    <w:rsid w:val="00887CBA"/>
    <w:rsid w:val="00887F43"/>
    <w:rsid w:val="00890DFE"/>
    <w:rsid w:val="00893AD1"/>
    <w:rsid w:val="008966B2"/>
    <w:rsid w:val="008967D3"/>
    <w:rsid w:val="0089681F"/>
    <w:rsid w:val="008A06C0"/>
    <w:rsid w:val="008A26AC"/>
    <w:rsid w:val="008A2BAB"/>
    <w:rsid w:val="008A4F6D"/>
    <w:rsid w:val="008A551E"/>
    <w:rsid w:val="008A667F"/>
    <w:rsid w:val="008A6C9A"/>
    <w:rsid w:val="008A7F6A"/>
    <w:rsid w:val="008B0AD7"/>
    <w:rsid w:val="008B0EB1"/>
    <w:rsid w:val="008B12FB"/>
    <w:rsid w:val="008B2041"/>
    <w:rsid w:val="008B205F"/>
    <w:rsid w:val="008B3CD1"/>
    <w:rsid w:val="008B41E2"/>
    <w:rsid w:val="008B4EB3"/>
    <w:rsid w:val="008B5403"/>
    <w:rsid w:val="008B5413"/>
    <w:rsid w:val="008B647D"/>
    <w:rsid w:val="008B66BA"/>
    <w:rsid w:val="008B7F56"/>
    <w:rsid w:val="008C075F"/>
    <w:rsid w:val="008C0B66"/>
    <w:rsid w:val="008C2E2E"/>
    <w:rsid w:val="008C4019"/>
    <w:rsid w:val="008C4F42"/>
    <w:rsid w:val="008C6380"/>
    <w:rsid w:val="008C6EC1"/>
    <w:rsid w:val="008D0589"/>
    <w:rsid w:val="008D1925"/>
    <w:rsid w:val="008D3421"/>
    <w:rsid w:val="008D7882"/>
    <w:rsid w:val="008E0136"/>
    <w:rsid w:val="008E0B73"/>
    <w:rsid w:val="008E1DE2"/>
    <w:rsid w:val="008E2B1F"/>
    <w:rsid w:val="008E30DE"/>
    <w:rsid w:val="008E31AC"/>
    <w:rsid w:val="008E6070"/>
    <w:rsid w:val="008E726A"/>
    <w:rsid w:val="008E759A"/>
    <w:rsid w:val="008E7CCF"/>
    <w:rsid w:val="008F0158"/>
    <w:rsid w:val="008F08FA"/>
    <w:rsid w:val="008F0F63"/>
    <w:rsid w:val="008F127D"/>
    <w:rsid w:val="008F1890"/>
    <w:rsid w:val="008F3297"/>
    <w:rsid w:val="008F3CC6"/>
    <w:rsid w:val="008F4BB1"/>
    <w:rsid w:val="008F54A6"/>
    <w:rsid w:val="008F6490"/>
    <w:rsid w:val="008F6ACB"/>
    <w:rsid w:val="008F7306"/>
    <w:rsid w:val="008F7484"/>
    <w:rsid w:val="00901609"/>
    <w:rsid w:val="009016EC"/>
    <w:rsid w:val="00901DD9"/>
    <w:rsid w:val="009023DA"/>
    <w:rsid w:val="00903AD7"/>
    <w:rsid w:val="00904C03"/>
    <w:rsid w:val="00905CBF"/>
    <w:rsid w:val="00907C84"/>
    <w:rsid w:val="009103C7"/>
    <w:rsid w:val="00910D17"/>
    <w:rsid w:val="00910E88"/>
    <w:rsid w:val="009115E8"/>
    <w:rsid w:val="00911EC6"/>
    <w:rsid w:val="009126CD"/>
    <w:rsid w:val="0091339E"/>
    <w:rsid w:val="00913A69"/>
    <w:rsid w:val="00913A8C"/>
    <w:rsid w:val="009143A8"/>
    <w:rsid w:val="00914512"/>
    <w:rsid w:val="00916282"/>
    <w:rsid w:val="00916DD3"/>
    <w:rsid w:val="00917462"/>
    <w:rsid w:val="00917CBE"/>
    <w:rsid w:val="00917D77"/>
    <w:rsid w:val="0092005B"/>
    <w:rsid w:val="0092080A"/>
    <w:rsid w:val="00920C5B"/>
    <w:rsid w:val="009217FE"/>
    <w:rsid w:val="0092190E"/>
    <w:rsid w:val="00921CC8"/>
    <w:rsid w:val="00922BA3"/>
    <w:rsid w:val="009234CE"/>
    <w:rsid w:val="009236BD"/>
    <w:rsid w:val="0092396D"/>
    <w:rsid w:val="00923D74"/>
    <w:rsid w:val="00924684"/>
    <w:rsid w:val="00924F88"/>
    <w:rsid w:val="00925351"/>
    <w:rsid w:val="00925382"/>
    <w:rsid w:val="00925ADD"/>
    <w:rsid w:val="00925EE0"/>
    <w:rsid w:val="009268D8"/>
    <w:rsid w:val="00926A45"/>
    <w:rsid w:val="00927286"/>
    <w:rsid w:val="00927B72"/>
    <w:rsid w:val="00931400"/>
    <w:rsid w:val="00932465"/>
    <w:rsid w:val="0093254E"/>
    <w:rsid w:val="00933DBD"/>
    <w:rsid w:val="00933E37"/>
    <w:rsid w:val="0093434A"/>
    <w:rsid w:val="009350A0"/>
    <w:rsid w:val="00936110"/>
    <w:rsid w:val="00936199"/>
    <w:rsid w:val="00936A1C"/>
    <w:rsid w:val="00937635"/>
    <w:rsid w:val="0094070D"/>
    <w:rsid w:val="00940940"/>
    <w:rsid w:val="00940FD4"/>
    <w:rsid w:val="00940FF2"/>
    <w:rsid w:val="0094278C"/>
    <w:rsid w:val="00943275"/>
    <w:rsid w:val="00943F38"/>
    <w:rsid w:val="00944571"/>
    <w:rsid w:val="00944B46"/>
    <w:rsid w:val="00946DEA"/>
    <w:rsid w:val="009470BA"/>
    <w:rsid w:val="00950523"/>
    <w:rsid w:val="0095097D"/>
    <w:rsid w:val="00950F94"/>
    <w:rsid w:val="00950FB5"/>
    <w:rsid w:val="009515A6"/>
    <w:rsid w:val="00952090"/>
    <w:rsid w:val="00952439"/>
    <w:rsid w:val="00954AAA"/>
    <w:rsid w:val="00954ABC"/>
    <w:rsid w:val="00956190"/>
    <w:rsid w:val="0095631F"/>
    <w:rsid w:val="00956558"/>
    <w:rsid w:val="009569DF"/>
    <w:rsid w:val="00956D30"/>
    <w:rsid w:val="0096234C"/>
    <w:rsid w:val="00963A98"/>
    <w:rsid w:val="009653F8"/>
    <w:rsid w:val="00965D36"/>
    <w:rsid w:val="009663F9"/>
    <w:rsid w:val="00966800"/>
    <w:rsid w:val="009668FE"/>
    <w:rsid w:val="00966D07"/>
    <w:rsid w:val="0096731D"/>
    <w:rsid w:val="009706E1"/>
    <w:rsid w:val="00971F27"/>
    <w:rsid w:val="00972884"/>
    <w:rsid w:val="009736E6"/>
    <w:rsid w:val="00973890"/>
    <w:rsid w:val="0097765B"/>
    <w:rsid w:val="009807A4"/>
    <w:rsid w:val="009819C9"/>
    <w:rsid w:val="00981A9F"/>
    <w:rsid w:val="00981C16"/>
    <w:rsid w:val="00983042"/>
    <w:rsid w:val="009835E4"/>
    <w:rsid w:val="00983E7D"/>
    <w:rsid w:val="00984724"/>
    <w:rsid w:val="0098556D"/>
    <w:rsid w:val="009869EF"/>
    <w:rsid w:val="00986CD5"/>
    <w:rsid w:val="00987139"/>
    <w:rsid w:val="0098717E"/>
    <w:rsid w:val="00987239"/>
    <w:rsid w:val="00987C4B"/>
    <w:rsid w:val="00990562"/>
    <w:rsid w:val="00991BAB"/>
    <w:rsid w:val="00991C3B"/>
    <w:rsid w:val="0099211C"/>
    <w:rsid w:val="00993BE2"/>
    <w:rsid w:val="00993F5C"/>
    <w:rsid w:val="00993F6E"/>
    <w:rsid w:val="009954F8"/>
    <w:rsid w:val="00995ABA"/>
    <w:rsid w:val="00995EEE"/>
    <w:rsid w:val="00996950"/>
    <w:rsid w:val="009A1740"/>
    <w:rsid w:val="009A23D9"/>
    <w:rsid w:val="009A248D"/>
    <w:rsid w:val="009A2FDD"/>
    <w:rsid w:val="009A33EA"/>
    <w:rsid w:val="009A3803"/>
    <w:rsid w:val="009A4A0F"/>
    <w:rsid w:val="009A5FF0"/>
    <w:rsid w:val="009A62A3"/>
    <w:rsid w:val="009A7542"/>
    <w:rsid w:val="009A7EDE"/>
    <w:rsid w:val="009B1B42"/>
    <w:rsid w:val="009B3052"/>
    <w:rsid w:val="009B3298"/>
    <w:rsid w:val="009B36C1"/>
    <w:rsid w:val="009B49EA"/>
    <w:rsid w:val="009B4B8E"/>
    <w:rsid w:val="009B4FE1"/>
    <w:rsid w:val="009B548E"/>
    <w:rsid w:val="009B6DDC"/>
    <w:rsid w:val="009C1CAE"/>
    <w:rsid w:val="009C213A"/>
    <w:rsid w:val="009C2937"/>
    <w:rsid w:val="009C2942"/>
    <w:rsid w:val="009C3A86"/>
    <w:rsid w:val="009C4AB7"/>
    <w:rsid w:val="009C4B20"/>
    <w:rsid w:val="009C4BA8"/>
    <w:rsid w:val="009C4CF7"/>
    <w:rsid w:val="009C5A46"/>
    <w:rsid w:val="009C60B3"/>
    <w:rsid w:val="009C6980"/>
    <w:rsid w:val="009C7221"/>
    <w:rsid w:val="009C763C"/>
    <w:rsid w:val="009C76EF"/>
    <w:rsid w:val="009D0553"/>
    <w:rsid w:val="009D105B"/>
    <w:rsid w:val="009D2992"/>
    <w:rsid w:val="009D2B76"/>
    <w:rsid w:val="009D2C5D"/>
    <w:rsid w:val="009D33FE"/>
    <w:rsid w:val="009D35F7"/>
    <w:rsid w:val="009D48A6"/>
    <w:rsid w:val="009D5F55"/>
    <w:rsid w:val="009D6D98"/>
    <w:rsid w:val="009D70F9"/>
    <w:rsid w:val="009E0462"/>
    <w:rsid w:val="009E14F9"/>
    <w:rsid w:val="009E2DCF"/>
    <w:rsid w:val="009E57C4"/>
    <w:rsid w:val="009F0A84"/>
    <w:rsid w:val="009F0F87"/>
    <w:rsid w:val="009F1FE8"/>
    <w:rsid w:val="009F23FE"/>
    <w:rsid w:val="009F24B5"/>
    <w:rsid w:val="009F2AFC"/>
    <w:rsid w:val="009F3916"/>
    <w:rsid w:val="009F3FB5"/>
    <w:rsid w:val="009F4DCE"/>
    <w:rsid w:val="009F561C"/>
    <w:rsid w:val="009F7222"/>
    <w:rsid w:val="009F7DE2"/>
    <w:rsid w:val="00A00293"/>
    <w:rsid w:val="00A01B58"/>
    <w:rsid w:val="00A0366D"/>
    <w:rsid w:val="00A04829"/>
    <w:rsid w:val="00A04C7C"/>
    <w:rsid w:val="00A04E9C"/>
    <w:rsid w:val="00A068EF"/>
    <w:rsid w:val="00A06E5E"/>
    <w:rsid w:val="00A0736D"/>
    <w:rsid w:val="00A077D1"/>
    <w:rsid w:val="00A10C38"/>
    <w:rsid w:val="00A12486"/>
    <w:rsid w:val="00A1351E"/>
    <w:rsid w:val="00A14E79"/>
    <w:rsid w:val="00A16D6A"/>
    <w:rsid w:val="00A178E0"/>
    <w:rsid w:val="00A1791E"/>
    <w:rsid w:val="00A17A31"/>
    <w:rsid w:val="00A17D4B"/>
    <w:rsid w:val="00A17FB6"/>
    <w:rsid w:val="00A200DB"/>
    <w:rsid w:val="00A207A8"/>
    <w:rsid w:val="00A209E4"/>
    <w:rsid w:val="00A216AA"/>
    <w:rsid w:val="00A21CD2"/>
    <w:rsid w:val="00A22C77"/>
    <w:rsid w:val="00A23D53"/>
    <w:rsid w:val="00A2444C"/>
    <w:rsid w:val="00A2691C"/>
    <w:rsid w:val="00A30639"/>
    <w:rsid w:val="00A3072C"/>
    <w:rsid w:val="00A30E07"/>
    <w:rsid w:val="00A31376"/>
    <w:rsid w:val="00A31B1B"/>
    <w:rsid w:val="00A320B3"/>
    <w:rsid w:val="00A32B30"/>
    <w:rsid w:val="00A3314E"/>
    <w:rsid w:val="00A33B87"/>
    <w:rsid w:val="00A33BDA"/>
    <w:rsid w:val="00A33C85"/>
    <w:rsid w:val="00A3409F"/>
    <w:rsid w:val="00A3437F"/>
    <w:rsid w:val="00A344D9"/>
    <w:rsid w:val="00A34ECB"/>
    <w:rsid w:val="00A352F9"/>
    <w:rsid w:val="00A36593"/>
    <w:rsid w:val="00A36A66"/>
    <w:rsid w:val="00A36C1B"/>
    <w:rsid w:val="00A37783"/>
    <w:rsid w:val="00A37EB3"/>
    <w:rsid w:val="00A40181"/>
    <w:rsid w:val="00A4064A"/>
    <w:rsid w:val="00A41F1A"/>
    <w:rsid w:val="00A42395"/>
    <w:rsid w:val="00A43D33"/>
    <w:rsid w:val="00A455E6"/>
    <w:rsid w:val="00A46352"/>
    <w:rsid w:val="00A46824"/>
    <w:rsid w:val="00A46861"/>
    <w:rsid w:val="00A47186"/>
    <w:rsid w:val="00A4769D"/>
    <w:rsid w:val="00A519D3"/>
    <w:rsid w:val="00A51E2B"/>
    <w:rsid w:val="00A53425"/>
    <w:rsid w:val="00A53460"/>
    <w:rsid w:val="00A54535"/>
    <w:rsid w:val="00A54F8F"/>
    <w:rsid w:val="00A55F8F"/>
    <w:rsid w:val="00A55FC3"/>
    <w:rsid w:val="00A56E4B"/>
    <w:rsid w:val="00A62B00"/>
    <w:rsid w:val="00A62C57"/>
    <w:rsid w:val="00A631F5"/>
    <w:rsid w:val="00A63FEF"/>
    <w:rsid w:val="00A64A36"/>
    <w:rsid w:val="00A64F61"/>
    <w:rsid w:val="00A664D9"/>
    <w:rsid w:val="00A669DC"/>
    <w:rsid w:val="00A66DA4"/>
    <w:rsid w:val="00A677CF"/>
    <w:rsid w:val="00A70625"/>
    <w:rsid w:val="00A708B3"/>
    <w:rsid w:val="00A70FB8"/>
    <w:rsid w:val="00A713BB"/>
    <w:rsid w:val="00A71620"/>
    <w:rsid w:val="00A71C18"/>
    <w:rsid w:val="00A71EFD"/>
    <w:rsid w:val="00A71F89"/>
    <w:rsid w:val="00A72D0F"/>
    <w:rsid w:val="00A7317D"/>
    <w:rsid w:val="00A75948"/>
    <w:rsid w:val="00A75B04"/>
    <w:rsid w:val="00A776EA"/>
    <w:rsid w:val="00A77C53"/>
    <w:rsid w:val="00A80868"/>
    <w:rsid w:val="00A80AFC"/>
    <w:rsid w:val="00A80C7D"/>
    <w:rsid w:val="00A80E21"/>
    <w:rsid w:val="00A80E82"/>
    <w:rsid w:val="00A81977"/>
    <w:rsid w:val="00A823CE"/>
    <w:rsid w:val="00A8399E"/>
    <w:rsid w:val="00A84182"/>
    <w:rsid w:val="00A84909"/>
    <w:rsid w:val="00A84B2C"/>
    <w:rsid w:val="00A84F28"/>
    <w:rsid w:val="00A85509"/>
    <w:rsid w:val="00A8775E"/>
    <w:rsid w:val="00A879EA"/>
    <w:rsid w:val="00A87F5F"/>
    <w:rsid w:val="00A90766"/>
    <w:rsid w:val="00A910CA"/>
    <w:rsid w:val="00A91B02"/>
    <w:rsid w:val="00A91D6D"/>
    <w:rsid w:val="00A92B65"/>
    <w:rsid w:val="00A94129"/>
    <w:rsid w:val="00A94855"/>
    <w:rsid w:val="00A96218"/>
    <w:rsid w:val="00A96251"/>
    <w:rsid w:val="00A96422"/>
    <w:rsid w:val="00A969DD"/>
    <w:rsid w:val="00AA0DEF"/>
    <w:rsid w:val="00AA2239"/>
    <w:rsid w:val="00AA2673"/>
    <w:rsid w:val="00AA3137"/>
    <w:rsid w:val="00AA3E8B"/>
    <w:rsid w:val="00AA41DF"/>
    <w:rsid w:val="00AA4233"/>
    <w:rsid w:val="00AA63D1"/>
    <w:rsid w:val="00AA6D54"/>
    <w:rsid w:val="00AB001F"/>
    <w:rsid w:val="00AB0442"/>
    <w:rsid w:val="00AB0AA4"/>
    <w:rsid w:val="00AB1B78"/>
    <w:rsid w:val="00AB1B7C"/>
    <w:rsid w:val="00AB2740"/>
    <w:rsid w:val="00AB2836"/>
    <w:rsid w:val="00AB46FB"/>
    <w:rsid w:val="00AB4BA5"/>
    <w:rsid w:val="00AB4BC0"/>
    <w:rsid w:val="00AB68E6"/>
    <w:rsid w:val="00AB7811"/>
    <w:rsid w:val="00AC003F"/>
    <w:rsid w:val="00AC035E"/>
    <w:rsid w:val="00AC06E6"/>
    <w:rsid w:val="00AC0A1B"/>
    <w:rsid w:val="00AC0AF6"/>
    <w:rsid w:val="00AC1029"/>
    <w:rsid w:val="00AC16AD"/>
    <w:rsid w:val="00AC2BE5"/>
    <w:rsid w:val="00AC3954"/>
    <w:rsid w:val="00AC64A4"/>
    <w:rsid w:val="00AC66E7"/>
    <w:rsid w:val="00AC74B0"/>
    <w:rsid w:val="00AC7F01"/>
    <w:rsid w:val="00AD0020"/>
    <w:rsid w:val="00AD030C"/>
    <w:rsid w:val="00AD0423"/>
    <w:rsid w:val="00AD0915"/>
    <w:rsid w:val="00AD1F23"/>
    <w:rsid w:val="00AD360C"/>
    <w:rsid w:val="00AD3D40"/>
    <w:rsid w:val="00AD3E17"/>
    <w:rsid w:val="00AD60D0"/>
    <w:rsid w:val="00AD7925"/>
    <w:rsid w:val="00AE1C42"/>
    <w:rsid w:val="00AE1EA0"/>
    <w:rsid w:val="00AE22E6"/>
    <w:rsid w:val="00AE2C97"/>
    <w:rsid w:val="00AE4172"/>
    <w:rsid w:val="00AE4456"/>
    <w:rsid w:val="00AE4B49"/>
    <w:rsid w:val="00AE4F5F"/>
    <w:rsid w:val="00AE57F5"/>
    <w:rsid w:val="00AE592A"/>
    <w:rsid w:val="00AE5F4D"/>
    <w:rsid w:val="00AE6292"/>
    <w:rsid w:val="00AE748F"/>
    <w:rsid w:val="00AF2513"/>
    <w:rsid w:val="00AF2705"/>
    <w:rsid w:val="00AF2813"/>
    <w:rsid w:val="00AF3579"/>
    <w:rsid w:val="00AF3A82"/>
    <w:rsid w:val="00AF40EF"/>
    <w:rsid w:val="00AF4F5F"/>
    <w:rsid w:val="00AF73A8"/>
    <w:rsid w:val="00AF75A9"/>
    <w:rsid w:val="00B0180F"/>
    <w:rsid w:val="00B02161"/>
    <w:rsid w:val="00B024F9"/>
    <w:rsid w:val="00B03538"/>
    <w:rsid w:val="00B035C2"/>
    <w:rsid w:val="00B0478D"/>
    <w:rsid w:val="00B05004"/>
    <w:rsid w:val="00B057B9"/>
    <w:rsid w:val="00B05BE9"/>
    <w:rsid w:val="00B05BF5"/>
    <w:rsid w:val="00B062CB"/>
    <w:rsid w:val="00B06BF3"/>
    <w:rsid w:val="00B06D4E"/>
    <w:rsid w:val="00B13DA3"/>
    <w:rsid w:val="00B14ADC"/>
    <w:rsid w:val="00B14B0F"/>
    <w:rsid w:val="00B16993"/>
    <w:rsid w:val="00B16AA5"/>
    <w:rsid w:val="00B173F5"/>
    <w:rsid w:val="00B210F2"/>
    <w:rsid w:val="00B21D39"/>
    <w:rsid w:val="00B21DCA"/>
    <w:rsid w:val="00B22007"/>
    <w:rsid w:val="00B22611"/>
    <w:rsid w:val="00B23942"/>
    <w:rsid w:val="00B24631"/>
    <w:rsid w:val="00B27A4D"/>
    <w:rsid w:val="00B27D05"/>
    <w:rsid w:val="00B305E0"/>
    <w:rsid w:val="00B3063D"/>
    <w:rsid w:val="00B32384"/>
    <w:rsid w:val="00B32B3A"/>
    <w:rsid w:val="00B34489"/>
    <w:rsid w:val="00B35209"/>
    <w:rsid w:val="00B35D93"/>
    <w:rsid w:val="00B360E5"/>
    <w:rsid w:val="00B36410"/>
    <w:rsid w:val="00B36DD9"/>
    <w:rsid w:val="00B3719B"/>
    <w:rsid w:val="00B4181F"/>
    <w:rsid w:val="00B4221B"/>
    <w:rsid w:val="00B423E0"/>
    <w:rsid w:val="00B42743"/>
    <w:rsid w:val="00B42C71"/>
    <w:rsid w:val="00B42DD1"/>
    <w:rsid w:val="00B43D1A"/>
    <w:rsid w:val="00B44115"/>
    <w:rsid w:val="00B443B5"/>
    <w:rsid w:val="00B453B1"/>
    <w:rsid w:val="00B472E7"/>
    <w:rsid w:val="00B47A0A"/>
    <w:rsid w:val="00B50A09"/>
    <w:rsid w:val="00B50C08"/>
    <w:rsid w:val="00B522E9"/>
    <w:rsid w:val="00B53613"/>
    <w:rsid w:val="00B53B34"/>
    <w:rsid w:val="00B579E5"/>
    <w:rsid w:val="00B57B85"/>
    <w:rsid w:val="00B57F9A"/>
    <w:rsid w:val="00B605EF"/>
    <w:rsid w:val="00B626FE"/>
    <w:rsid w:val="00B64049"/>
    <w:rsid w:val="00B642B1"/>
    <w:rsid w:val="00B65735"/>
    <w:rsid w:val="00B66527"/>
    <w:rsid w:val="00B70561"/>
    <w:rsid w:val="00B70911"/>
    <w:rsid w:val="00B71518"/>
    <w:rsid w:val="00B71C41"/>
    <w:rsid w:val="00B71D4E"/>
    <w:rsid w:val="00B720C7"/>
    <w:rsid w:val="00B72118"/>
    <w:rsid w:val="00B725EF"/>
    <w:rsid w:val="00B72F73"/>
    <w:rsid w:val="00B74B28"/>
    <w:rsid w:val="00B76645"/>
    <w:rsid w:val="00B801B3"/>
    <w:rsid w:val="00B80793"/>
    <w:rsid w:val="00B81023"/>
    <w:rsid w:val="00B8167C"/>
    <w:rsid w:val="00B82F20"/>
    <w:rsid w:val="00B83267"/>
    <w:rsid w:val="00B83307"/>
    <w:rsid w:val="00B8336E"/>
    <w:rsid w:val="00B8338A"/>
    <w:rsid w:val="00B83E64"/>
    <w:rsid w:val="00B8426A"/>
    <w:rsid w:val="00B8494A"/>
    <w:rsid w:val="00B84AF2"/>
    <w:rsid w:val="00B854DC"/>
    <w:rsid w:val="00B86461"/>
    <w:rsid w:val="00B87167"/>
    <w:rsid w:val="00B875BB"/>
    <w:rsid w:val="00B87D9C"/>
    <w:rsid w:val="00B90F80"/>
    <w:rsid w:val="00B915C4"/>
    <w:rsid w:val="00B92B41"/>
    <w:rsid w:val="00B93C63"/>
    <w:rsid w:val="00B966B9"/>
    <w:rsid w:val="00B96EBE"/>
    <w:rsid w:val="00B977BE"/>
    <w:rsid w:val="00B9790B"/>
    <w:rsid w:val="00BA0DD0"/>
    <w:rsid w:val="00BA11C1"/>
    <w:rsid w:val="00BA12F5"/>
    <w:rsid w:val="00BA1DB6"/>
    <w:rsid w:val="00BA2CD3"/>
    <w:rsid w:val="00BA4E25"/>
    <w:rsid w:val="00BA50A1"/>
    <w:rsid w:val="00BA6217"/>
    <w:rsid w:val="00BA67CD"/>
    <w:rsid w:val="00BA6A64"/>
    <w:rsid w:val="00BA6BD6"/>
    <w:rsid w:val="00BB02C1"/>
    <w:rsid w:val="00BB069F"/>
    <w:rsid w:val="00BB082D"/>
    <w:rsid w:val="00BB1B38"/>
    <w:rsid w:val="00BB21ED"/>
    <w:rsid w:val="00BB2388"/>
    <w:rsid w:val="00BB2604"/>
    <w:rsid w:val="00BB3F4E"/>
    <w:rsid w:val="00BB40E5"/>
    <w:rsid w:val="00BB43BE"/>
    <w:rsid w:val="00BB4A84"/>
    <w:rsid w:val="00BB598B"/>
    <w:rsid w:val="00BB6677"/>
    <w:rsid w:val="00BB6F8A"/>
    <w:rsid w:val="00BB75A9"/>
    <w:rsid w:val="00BC04F3"/>
    <w:rsid w:val="00BC1E66"/>
    <w:rsid w:val="00BC227A"/>
    <w:rsid w:val="00BC2F75"/>
    <w:rsid w:val="00BC45B5"/>
    <w:rsid w:val="00BC576C"/>
    <w:rsid w:val="00BC5BD0"/>
    <w:rsid w:val="00BC6028"/>
    <w:rsid w:val="00BC7CF9"/>
    <w:rsid w:val="00BD0CB6"/>
    <w:rsid w:val="00BD0D8E"/>
    <w:rsid w:val="00BD16AB"/>
    <w:rsid w:val="00BD16BD"/>
    <w:rsid w:val="00BD42DF"/>
    <w:rsid w:val="00BD57C0"/>
    <w:rsid w:val="00BD58E8"/>
    <w:rsid w:val="00BD5D1E"/>
    <w:rsid w:val="00BD6813"/>
    <w:rsid w:val="00BD6D8A"/>
    <w:rsid w:val="00BE0631"/>
    <w:rsid w:val="00BE24CB"/>
    <w:rsid w:val="00BE2AD4"/>
    <w:rsid w:val="00BE419D"/>
    <w:rsid w:val="00BE4FB0"/>
    <w:rsid w:val="00BE517F"/>
    <w:rsid w:val="00BE5995"/>
    <w:rsid w:val="00BF0B08"/>
    <w:rsid w:val="00BF2112"/>
    <w:rsid w:val="00BF30EF"/>
    <w:rsid w:val="00BF4312"/>
    <w:rsid w:val="00BF43EE"/>
    <w:rsid w:val="00BF4C26"/>
    <w:rsid w:val="00BF4C2C"/>
    <w:rsid w:val="00BF516D"/>
    <w:rsid w:val="00BF5603"/>
    <w:rsid w:val="00BF5CBA"/>
    <w:rsid w:val="00BF680D"/>
    <w:rsid w:val="00BF6BED"/>
    <w:rsid w:val="00C00CDE"/>
    <w:rsid w:val="00C01161"/>
    <w:rsid w:val="00C05DED"/>
    <w:rsid w:val="00C067ED"/>
    <w:rsid w:val="00C06EEC"/>
    <w:rsid w:val="00C07211"/>
    <w:rsid w:val="00C10740"/>
    <w:rsid w:val="00C1093D"/>
    <w:rsid w:val="00C1191E"/>
    <w:rsid w:val="00C11997"/>
    <w:rsid w:val="00C13364"/>
    <w:rsid w:val="00C13AF0"/>
    <w:rsid w:val="00C14411"/>
    <w:rsid w:val="00C15DC6"/>
    <w:rsid w:val="00C16D1D"/>
    <w:rsid w:val="00C17B40"/>
    <w:rsid w:val="00C20E96"/>
    <w:rsid w:val="00C21B75"/>
    <w:rsid w:val="00C21E72"/>
    <w:rsid w:val="00C22BA2"/>
    <w:rsid w:val="00C22BAF"/>
    <w:rsid w:val="00C23CDE"/>
    <w:rsid w:val="00C2434F"/>
    <w:rsid w:val="00C24BD6"/>
    <w:rsid w:val="00C24CD1"/>
    <w:rsid w:val="00C257D0"/>
    <w:rsid w:val="00C25C1D"/>
    <w:rsid w:val="00C27D2B"/>
    <w:rsid w:val="00C27DFB"/>
    <w:rsid w:val="00C307D7"/>
    <w:rsid w:val="00C3130F"/>
    <w:rsid w:val="00C316BA"/>
    <w:rsid w:val="00C31A25"/>
    <w:rsid w:val="00C31AE7"/>
    <w:rsid w:val="00C32337"/>
    <w:rsid w:val="00C33486"/>
    <w:rsid w:val="00C34479"/>
    <w:rsid w:val="00C34EA1"/>
    <w:rsid w:val="00C34EEF"/>
    <w:rsid w:val="00C35A02"/>
    <w:rsid w:val="00C36739"/>
    <w:rsid w:val="00C375FC"/>
    <w:rsid w:val="00C4257E"/>
    <w:rsid w:val="00C43EFE"/>
    <w:rsid w:val="00C4435B"/>
    <w:rsid w:val="00C44E73"/>
    <w:rsid w:val="00C45E30"/>
    <w:rsid w:val="00C4623A"/>
    <w:rsid w:val="00C474C0"/>
    <w:rsid w:val="00C4756E"/>
    <w:rsid w:val="00C50B24"/>
    <w:rsid w:val="00C50C79"/>
    <w:rsid w:val="00C510C9"/>
    <w:rsid w:val="00C51247"/>
    <w:rsid w:val="00C515A8"/>
    <w:rsid w:val="00C52206"/>
    <w:rsid w:val="00C525C2"/>
    <w:rsid w:val="00C526D2"/>
    <w:rsid w:val="00C55A52"/>
    <w:rsid w:val="00C5737D"/>
    <w:rsid w:val="00C57989"/>
    <w:rsid w:val="00C617BD"/>
    <w:rsid w:val="00C62710"/>
    <w:rsid w:val="00C6296F"/>
    <w:rsid w:val="00C64803"/>
    <w:rsid w:val="00C661C8"/>
    <w:rsid w:val="00C675F3"/>
    <w:rsid w:val="00C678AE"/>
    <w:rsid w:val="00C67F59"/>
    <w:rsid w:val="00C701DE"/>
    <w:rsid w:val="00C71342"/>
    <w:rsid w:val="00C71679"/>
    <w:rsid w:val="00C7225F"/>
    <w:rsid w:val="00C73528"/>
    <w:rsid w:val="00C73695"/>
    <w:rsid w:val="00C744D0"/>
    <w:rsid w:val="00C74859"/>
    <w:rsid w:val="00C74FB4"/>
    <w:rsid w:val="00C75A65"/>
    <w:rsid w:val="00C75B1F"/>
    <w:rsid w:val="00C81AF8"/>
    <w:rsid w:val="00C82CB9"/>
    <w:rsid w:val="00C834F2"/>
    <w:rsid w:val="00C83E59"/>
    <w:rsid w:val="00C844FA"/>
    <w:rsid w:val="00C8486D"/>
    <w:rsid w:val="00C84A33"/>
    <w:rsid w:val="00C84E21"/>
    <w:rsid w:val="00C868F0"/>
    <w:rsid w:val="00C86BC0"/>
    <w:rsid w:val="00C8716C"/>
    <w:rsid w:val="00C90402"/>
    <w:rsid w:val="00C916B4"/>
    <w:rsid w:val="00C928DC"/>
    <w:rsid w:val="00C933FE"/>
    <w:rsid w:val="00C93DD6"/>
    <w:rsid w:val="00C94291"/>
    <w:rsid w:val="00C94D92"/>
    <w:rsid w:val="00C955D1"/>
    <w:rsid w:val="00C95CB7"/>
    <w:rsid w:val="00C95CCB"/>
    <w:rsid w:val="00C95EA4"/>
    <w:rsid w:val="00C9623A"/>
    <w:rsid w:val="00C96D62"/>
    <w:rsid w:val="00C972EF"/>
    <w:rsid w:val="00CA0E87"/>
    <w:rsid w:val="00CA21ED"/>
    <w:rsid w:val="00CA2838"/>
    <w:rsid w:val="00CA4507"/>
    <w:rsid w:val="00CA47C4"/>
    <w:rsid w:val="00CA4EFB"/>
    <w:rsid w:val="00CA56B4"/>
    <w:rsid w:val="00CA6381"/>
    <w:rsid w:val="00CA661A"/>
    <w:rsid w:val="00CA6DCB"/>
    <w:rsid w:val="00CA6EC2"/>
    <w:rsid w:val="00CA7277"/>
    <w:rsid w:val="00CB0205"/>
    <w:rsid w:val="00CB1241"/>
    <w:rsid w:val="00CB2143"/>
    <w:rsid w:val="00CB26A6"/>
    <w:rsid w:val="00CB2748"/>
    <w:rsid w:val="00CB4317"/>
    <w:rsid w:val="00CB43A7"/>
    <w:rsid w:val="00CB55DE"/>
    <w:rsid w:val="00CB564E"/>
    <w:rsid w:val="00CB7157"/>
    <w:rsid w:val="00CB76D8"/>
    <w:rsid w:val="00CB7FA7"/>
    <w:rsid w:val="00CB7FB5"/>
    <w:rsid w:val="00CC15CE"/>
    <w:rsid w:val="00CC18D7"/>
    <w:rsid w:val="00CC20AB"/>
    <w:rsid w:val="00CC21E0"/>
    <w:rsid w:val="00CC29D3"/>
    <w:rsid w:val="00CC3378"/>
    <w:rsid w:val="00CC4B1E"/>
    <w:rsid w:val="00CC53A9"/>
    <w:rsid w:val="00CC63D8"/>
    <w:rsid w:val="00CC64D7"/>
    <w:rsid w:val="00CC6735"/>
    <w:rsid w:val="00CC79A4"/>
    <w:rsid w:val="00CC7CC7"/>
    <w:rsid w:val="00CD1FE1"/>
    <w:rsid w:val="00CD24F4"/>
    <w:rsid w:val="00CD2B87"/>
    <w:rsid w:val="00CD2E11"/>
    <w:rsid w:val="00CD4C84"/>
    <w:rsid w:val="00CD5651"/>
    <w:rsid w:val="00CD5816"/>
    <w:rsid w:val="00CD5EA3"/>
    <w:rsid w:val="00CD6BAE"/>
    <w:rsid w:val="00CD738B"/>
    <w:rsid w:val="00CE034F"/>
    <w:rsid w:val="00CE0B32"/>
    <w:rsid w:val="00CE15CE"/>
    <w:rsid w:val="00CE1AE6"/>
    <w:rsid w:val="00CE1D0E"/>
    <w:rsid w:val="00CE2053"/>
    <w:rsid w:val="00CE29F0"/>
    <w:rsid w:val="00CE306E"/>
    <w:rsid w:val="00CE3A2F"/>
    <w:rsid w:val="00CE4430"/>
    <w:rsid w:val="00CE4FF4"/>
    <w:rsid w:val="00CE5807"/>
    <w:rsid w:val="00CE5A8D"/>
    <w:rsid w:val="00CE6489"/>
    <w:rsid w:val="00CE696B"/>
    <w:rsid w:val="00CE70A5"/>
    <w:rsid w:val="00CE70C5"/>
    <w:rsid w:val="00CE7B20"/>
    <w:rsid w:val="00CE7C5B"/>
    <w:rsid w:val="00CF01B5"/>
    <w:rsid w:val="00CF0A68"/>
    <w:rsid w:val="00CF0AE5"/>
    <w:rsid w:val="00CF0BBF"/>
    <w:rsid w:val="00CF108C"/>
    <w:rsid w:val="00CF11BA"/>
    <w:rsid w:val="00CF1B02"/>
    <w:rsid w:val="00CF2214"/>
    <w:rsid w:val="00CF265D"/>
    <w:rsid w:val="00CF28F5"/>
    <w:rsid w:val="00CF2DC1"/>
    <w:rsid w:val="00CF3890"/>
    <w:rsid w:val="00CF3C3E"/>
    <w:rsid w:val="00CF4083"/>
    <w:rsid w:val="00CF4838"/>
    <w:rsid w:val="00CF5902"/>
    <w:rsid w:val="00CF5C96"/>
    <w:rsid w:val="00CF60F7"/>
    <w:rsid w:val="00CF737D"/>
    <w:rsid w:val="00CF7572"/>
    <w:rsid w:val="00CF7B0F"/>
    <w:rsid w:val="00CF7ED8"/>
    <w:rsid w:val="00D006A2"/>
    <w:rsid w:val="00D01265"/>
    <w:rsid w:val="00D0171E"/>
    <w:rsid w:val="00D01E44"/>
    <w:rsid w:val="00D02074"/>
    <w:rsid w:val="00D02477"/>
    <w:rsid w:val="00D02933"/>
    <w:rsid w:val="00D03044"/>
    <w:rsid w:val="00D046E0"/>
    <w:rsid w:val="00D0494B"/>
    <w:rsid w:val="00D04C20"/>
    <w:rsid w:val="00D04C9B"/>
    <w:rsid w:val="00D0683E"/>
    <w:rsid w:val="00D06B07"/>
    <w:rsid w:val="00D06B81"/>
    <w:rsid w:val="00D10526"/>
    <w:rsid w:val="00D10945"/>
    <w:rsid w:val="00D10ED0"/>
    <w:rsid w:val="00D11816"/>
    <w:rsid w:val="00D11F86"/>
    <w:rsid w:val="00D12264"/>
    <w:rsid w:val="00D12274"/>
    <w:rsid w:val="00D127EE"/>
    <w:rsid w:val="00D13C8A"/>
    <w:rsid w:val="00D14928"/>
    <w:rsid w:val="00D15ADA"/>
    <w:rsid w:val="00D15D88"/>
    <w:rsid w:val="00D16606"/>
    <w:rsid w:val="00D1684A"/>
    <w:rsid w:val="00D16EC4"/>
    <w:rsid w:val="00D176D7"/>
    <w:rsid w:val="00D17C3C"/>
    <w:rsid w:val="00D201B2"/>
    <w:rsid w:val="00D20644"/>
    <w:rsid w:val="00D212C9"/>
    <w:rsid w:val="00D231B9"/>
    <w:rsid w:val="00D2361B"/>
    <w:rsid w:val="00D24199"/>
    <w:rsid w:val="00D24365"/>
    <w:rsid w:val="00D24E8C"/>
    <w:rsid w:val="00D25C7A"/>
    <w:rsid w:val="00D25CBF"/>
    <w:rsid w:val="00D26E47"/>
    <w:rsid w:val="00D26F41"/>
    <w:rsid w:val="00D3111C"/>
    <w:rsid w:val="00D312A6"/>
    <w:rsid w:val="00D31D2C"/>
    <w:rsid w:val="00D31ECA"/>
    <w:rsid w:val="00D323D0"/>
    <w:rsid w:val="00D33A24"/>
    <w:rsid w:val="00D33DBC"/>
    <w:rsid w:val="00D34807"/>
    <w:rsid w:val="00D353B3"/>
    <w:rsid w:val="00D356A2"/>
    <w:rsid w:val="00D35776"/>
    <w:rsid w:val="00D359FB"/>
    <w:rsid w:val="00D362DF"/>
    <w:rsid w:val="00D373CF"/>
    <w:rsid w:val="00D375D9"/>
    <w:rsid w:val="00D37AB5"/>
    <w:rsid w:val="00D41E39"/>
    <w:rsid w:val="00D451E8"/>
    <w:rsid w:val="00D45E8C"/>
    <w:rsid w:val="00D469C6"/>
    <w:rsid w:val="00D46A1C"/>
    <w:rsid w:val="00D470B7"/>
    <w:rsid w:val="00D473F8"/>
    <w:rsid w:val="00D47B5E"/>
    <w:rsid w:val="00D50027"/>
    <w:rsid w:val="00D508C1"/>
    <w:rsid w:val="00D50CC4"/>
    <w:rsid w:val="00D51307"/>
    <w:rsid w:val="00D521F1"/>
    <w:rsid w:val="00D52297"/>
    <w:rsid w:val="00D53379"/>
    <w:rsid w:val="00D53873"/>
    <w:rsid w:val="00D54168"/>
    <w:rsid w:val="00D55727"/>
    <w:rsid w:val="00D55BF6"/>
    <w:rsid w:val="00D57A46"/>
    <w:rsid w:val="00D57D06"/>
    <w:rsid w:val="00D57E3E"/>
    <w:rsid w:val="00D60234"/>
    <w:rsid w:val="00D60644"/>
    <w:rsid w:val="00D6175F"/>
    <w:rsid w:val="00D637E8"/>
    <w:rsid w:val="00D64A5F"/>
    <w:rsid w:val="00D6520F"/>
    <w:rsid w:val="00D65220"/>
    <w:rsid w:val="00D65A73"/>
    <w:rsid w:val="00D66A6B"/>
    <w:rsid w:val="00D66A88"/>
    <w:rsid w:val="00D679DF"/>
    <w:rsid w:val="00D67B21"/>
    <w:rsid w:val="00D7119A"/>
    <w:rsid w:val="00D7132D"/>
    <w:rsid w:val="00D71409"/>
    <w:rsid w:val="00D74033"/>
    <w:rsid w:val="00D75535"/>
    <w:rsid w:val="00D75DC9"/>
    <w:rsid w:val="00D775C2"/>
    <w:rsid w:val="00D77751"/>
    <w:rsid w:val="00D77FFA"/>
    <w:rsid w:val="00D803CB"/>
    <w:rsid w:val="00D8269D"/>
    <w:rsid w:val="00D827AA"/>
    <w:rsid w:val="00D8288E"/>
    <w:rsid w:val="00D82A93"/>
    <w:rsid w:val="00D840BE"/>
    <w:rsid w:val="00D84539"/>
    <w:rsid w:val="00D84A56"/>
    <w:rsid w:val="00D851E9"/>
    <w:rsid w:val="00D85574"/>
    <w:rsid w:val="00D865B7"/>
    <w:rsid w:val="00D8675E"/>
    <w:rsid w:val="00D87361"/>
    <w:rsid w:val="00D90172"/>
    <w:rsid w:val="00D9098F"/>
    <w:rsid w:val="00D9144A"/>
    <w:rsid w:val="00D91E7C"/>
    <w:rsid w:val="00D92BF3"/>
    <w:rsid w:val="00D930D8"/>
    <w:rsid w:val="00D93F57"/>
    <w:rsid w:val="00D949BE"/>
    <w:rsid w:val="00D9508E"/>
    <w:rsid w:val="00D95957"/>
    <w:rsid w:val="00D96EEA"/>
    <w:rsid w:val="00D97121"/>
    <w:rsid w:val="00D9750E"/>
    <w:rsid w:val="00D975FC"/>
    <w:rsid w:val="00D9771C"/>
    <w:rsid w:val="00DA05E8"/>
    <w:rsid w:val="00DA10ED"/>
    <w:rsid w:val="00DA1A8D"/>
    <w:rsid w:val="00DA1FAE"/>
    <w:rsid w:val="00DA1FE8"/>
    <w:rsid w:val="00DA24F5"/>
    <w:rsid w:val="00DA28AA"/>
    <w:rsid w:val="00DA29B1"/>
    <w:rsid w:val="00DA3328"/>
    <w:rsid w:val="00DA44F6"/>
    <w:rsid w:val="00DA4A36"/>
    <w:rsid w:val="00DA5342"/>
    <w:rsid w:val="00DA539A"/>
    <w:rsid w:val="00DA55F1"/>
    <w:rsid w:val="00DA7230"/>
    <w:rsid w:val="00DA7A2C"/>
    <w:rsid w:val="00DA7B8A"/>
    <w:rsid w:val="00DA7E7B"/>
    <w:rsid w:val="00DB28EF"/>
    <w:rsid w:val="00DB3FAC"/>
    <w:rsid w:val="00DB473A"/>
    <w:rsid w:val="00DB4E86"/>
    <w:rsid w:val="00DB5F1C"/>
    <w:rsid w:val="00DB62DF"/>
    <w:rsid w:val="00DB6761"/>
    <w:rsid w:val="00DB72D0"/>
    <w:rsid w:val="00DB7AD3"/>
    <w:rsid w:val="00DC0571"/>
    <w:rsid w:val="00DC08AC"/>
    <w:rsid w:val="00DC1437"/>
    <w:rsid w:val="00DC19AA"/>
    <w:rsid w:val="00DC28AA"/>
    <w:rsid w:val="00DC2E69"/>
    <w:rsid w:val="00DC3F44"/>
    <w:rsid w:val="00DC4A82"/>
    <w:rsid w:val="00DC4FA2"/>
    <w:rsid w:val="00DC523D"/>
    <w:rsid w:val="00DC5821"/>
    <w:rsid w:val="00DC6CE6"/>
    <w:rsid w:val="00DC70AA"/>
    <w:rsid w:val="00DD0B71"/>
    <w:rsid w:val="00DD1D13"/>
    <w:rsid w:val="00DD2172"/>
    <w:rsid w:val="00DD21E8"/>
    <w:rsid w:val="00DD2725"/>
    <w:rsid w:val="00DD40F8"/>
    <w:rsid w:val="00DD4CC1"/>
    <w:rsid w:val="00DD4E11"/>
    <w:rsid w:val="00DD5252"/>
    <w:rsid w:val="00DD6416"/>
    <w:rsid w:val="00DD78FC"/>
    <w:rsid w:val="00DD7CCB"/>
    <w:rsid w:val="00DE0D40"/>
    <w:rsid w:val="00DE3D0F"/>
    <w:rsid w:val="00DE4B7A"/>
    <w:rsid w:val="00DE5F5D"/>
    <w:rsid w:val="00DE6488"/>
    <w:rsid w:val="00DE7C65"/>
    <w:rsid w:val="00DE7FE5"/>
    <w:rsid w:val="00DF005D"/>
    <w:rsid w:val="00DF09A0"/>
    <w:rsid w:val="00DF0A9C"/>
    <w:rsid w:val="00DF0EE5"/>
    <w:rsid w:val="00DF1147"/>
    <w:rsid w:val="00DF253E"/>
    <w:rsid w:val="00DF2B98"/>
    <w:rsid w:val="00DF2D2F"/>
    <w:rsid w:val="00DF2D72"/>
    <w:rsid w:val="00DF3571"/>
    <w:rsid w:val="00DF35D3"/>
    <w:rsid w:val="00DF361D"/>
    <w:rsid w:val="00DF4331"/>
    <w:rsid w:val="00DF47A4"/>
    <w:rsid w:val="00DF5406"/>
    <w:rsid w:val="00DF55E9"/>
    <w:rsid w:val="00DF5A7E"/>
    <w:rsid w:val="00DF5C70"/>
    <w:rsid w:val="00DF651B"/>
    <w:rsid w:val="00DF7AAD"/>
    <w:rsid w:val="00DF7C76"/>
    <w:rsid w:val="00DF7DBE"/>
    <w:rsid w:val="00E00443"/>
    <w:rsid w:val="00E008E7"/>
    <w:rsid w:val="00E009B5"/>
    <w:rsid w:val="00E02705"/>
    <w:rsid w:val="00E03087"/>
    <w:rsid w:val="00E0316D"/>
    <w:rsid w:val="00E03263"/>
    <w:rsid w:val="00E05AF0"/>
    <w:rsid w:val="00E05D61"/>
    <w:rsid w:val="00E10BFF"/>
    <w:rsid w:val="00E11806"/>
    <w:rsid w:val="00E1371C"/>
    <w:rsid w:val="00E147DF"/>
    <w:rsid w:val="00E14DCB"/>
    <w:rsid w:val="00E14DF7"/>
    <w:rsid w:val="00E1525D"/>
    <w:rsid w:val="00E1546A"/>
    <w:rsid w:val="00E15649"/>
    <w:rsid w:val="00E236B8"/>
    <w:rsid w:val="00E242C1"/>
    <w:rsid w:val="00E261C8"/>
    <w:rsid w:val="00E27281"/>
    <w:rsid w:val="00E27A9A"/>
    <w:rsid w:val="00E30FF7"/>
    <w:rsid w:val="00E31A40"/>
    <w:rsid w:val="00E32516"/>
    <w:rsid w:val="00E32B9E"/>
    <w:rsid w:val="00E33629"/>
    <w:rsid w:val="00E34361"/>
    <w:rsid w:val="00E35E19"/>
    <w:rsid w:val="00E369BF"/>
    <w:rsid w:val="00E37142"/>
    <w:rsid w:val="00E3724C"/>
    <w:rsid w:val="00E4059D"/>
    <w:rsid w:val="00E4078E"/>
    <w:rsid w:val="00E44030"/>
    <w:rsid w:val="00E44E08"/>
    <w:rsid w:val="00E45636"/>
    <w:rsid w:val="00E4588C"/>
    <w:rsid w:val="00E45B9F"/>
    <w:rsid w:val="00E468AD"/>
    <w:rsid w:val="00E46B7E"/>
    <w:rsid w:val="00E47062"/>
    <w:rsid w:val="00E504EE"/>
    <w:rsid w:val="00E51ADA"/>
    <w:rsid w:val="00E53709"/>
    <w:rsid w:val="00E537E4"/>
    <w:rsid w:val="00E5445D"/>
    <w:rsid w:val="00E5597B"/>
    <w:rsid w:val="00E57B6C"/>
    <w:rsid w:val="00E60EDB"/>
    <w:rsid w:val="00E611D3"/>
    <w:rsid w:val="00E6206A"/>
    <w:rsid w:val="00E62656"/>
    <w:rsid w:val="00E63900"/>
    <w:rsid w:val="00E63FB7"/>
    <w:rsid w:val="00E6495B"/>
    <w:rsid w:val="00E655BF"/>
    <w:rsid w:val="00E65CBB"/>
    <w:rsid w:val="00E701EF"/>
    <w:rsid w:val="00E702A9"/>
    <w:rsid w:val="00E70FA5"/>
    <w:rsid w:val="00E72301"/>
    <w:rsid w:val="00E731E6"/>
    <w:rsid w:val="00E7408A"/>
    <w:rsid w:val="00E752F2"/>
    <w:rsid w:val="00E75545"/>
    <w:rsid w:val="00E766E1"/>
    <w:rsid w:val="00E76A1C"/>
    <w:rsid w:val="00E81C51"/>
    <w:rsid w:val="00E82238"/>
    <w:rsid w:val="00E847F5"/>
    <w:rsid w:val="00E85520"/>
    <w:rsid w:val="00E85C11"/>
    <w:rsid w:val="00E869CA"/>
    <w:rsid w:val="00E86E65"/>
    <w:rsid w:val="00E86EB9"/>
    <w:rsid w:val="00E871B8"/>
    <w:rsid w:val="00E87895"/>
    <w:rsid w:val="00E91E25"/>
    <w:rsid w:val="00E93FF4"/>
    <w:rsid w:val="00E946E5"/>
    <w:rsid w:val="00E94D41"/>
    <w:rsid w:val="00E964E8"/>
    <w:rsid w:val="00E96839"/>
    <w:rsid w:val="00E97F3B"/>
    <w:rsid w:val="00EA0FD6"/>
    <w:rsid w:val="00EA10C7"/>
    <w:rsid w:val="00EA2933"/>
    <w:rsid w:val="00EA2958"/>
    <w:rsid w:val="00EA30B2"/>
    <w:rsid w:val="00EA3232"/>
    <w:rsid w:val="00EA38FB"/>
    <w:rsid w:val="00EA3D99"/>
    <w:rsid w:val="00EA4372"/>
    <w:rsid w:val="00EA4612"/>
    <w:rsid w:val="00EA48FE"/>
    <w:rsid w:val="00EA49E9"/>
    <w:rsid w:val="00EA5EC9"/>
    <w:rsid w:val="00EA6268"/>
    <w:rsid w:val="00EA64ED"/>
    <w:rsid w:val="00EA6A48"/>
    <w:rsid w:val="00EA716C"/>
    <w:rsid w:val="00EA768E"/>
    <w:rsid w:val="00EB04A3"/>
    <w:rsid w:val="00EB0B65"/>
    <w:rsid w:val="00EB21C4"/>
    <w:rsid w:val="00EB2371"/>
    <w:rsid w:val="00EB5031"/>
    <w:rsid w:val="00EB52A9"/>
    <w:rsid w:val="00EC021E"/>
    <w:rsid w:val="00EC04A3"/>
    <w:rsid w:val="00EC0E23"/>
    <w:rsid w:val="00EC1204"/>
    <w:rsid w:val="00EC2BF4"/>
    <w:rsid w:val="00EC2E7E"/>
    <w:rsid w:val="00EC30C1"/>
    <w:rsid w:val="00EC38A8"/>
    <w:rsid w:val="00EC4EE3"/>
    <w:rsid w:val="00EC5D9D"/>
    <w:rsid w:val="00EC5DA8"/>
    <w:rsid w:val="00EC71CC"/>
    <w:rsid w:val="00EC7329"/>
    <w:rsid w:val="00ED1F41"/>
    <w:rsid w:val="00ED278C"/>
    <w:rsid w:val="00ED2968"/>
    <w:rsid w:val="00ED49A8"/>
    <w:rsid w:val="00ED5189"/>
    <w:rsid w:val="00ED57E5"/>
    <w:rsid w:val="00ED712C"/>
    <w:rsid w:val="00ED751D"/>
    <w:rsid w:val="00EE03BA"/>
    <w:rsid w:val="00EE1CD2"/>
    <w:rsid w:val="00EE28D7"/>
    <w:rsid w:val="00EE2A5D"/>
    <w:rsid w:val="00EE2B46"/>
    <w:rsid w:val="00EE483A"/>
    <w:rsid w:val="00EE56EE"/>
    <w:rsid w:val="00EE7056"/>
    <w:rsid w:val="00EE73A4"/>
    <w:rsid w:val="00EE75FE"/>
    <w:rsid w:val="00EF0B2A"/>
    <w:rsid w:val="00EF138F"/>
    <w:rsid w:val="00EF2341"/>
    <w:rsid w:val="00EF2D7D"/>
    <w:rsid w:val="00EF3BCD"/>
    <w:rsid w:val="00EF6E44"/>
    <w:rsid w:val="00F00D7D"/>
    <w:rsid w:val="00F015F3"/>
    <w:rsid w:val="00F02BF4"/>
    <w:rsid w:val="00F03F43"/>
    <w:rsid w:val="00F04806"/>
    <w:rsid w:val="00F06E9B"/>
    <w:rsid w:val="00F07A80"/>
    <w:rsid w:val="00F10225"/>
    <w:rsid w:val="00F10725"/>
    <w:rsid w:val="00F11E0C"/>
    <w:rsid w:val="00F12D8F"/>
    <w:rsid w:val="00F12D97"/>
    <w:rsid w:val="00F13B26"/>
    <w:rsid w:val="00F13F94"/>
    <w:rsid w:val="00F14400"/>
    <w:rsid w:val="00F15C50"/>
    <w:rsid w:val="00F15ED8"/>
    <w:rsid w:val="00F16DF9"/>
    <w:rsid w:val="00F20C07"/>
    <w:rsid w:val="00F214E7"/>
    <w:rsid w:val="00F21965"/>
    <w:rsid w:val="00F23599"/>
    <w:rsid w:val="00F23CB1"/>
    <w:rsid w:val="00F25A6C"/>
    <w:rsid w:val="00F260A5"/>
    <w:rsid w:val="00F273F5"/>
    <w:rsid w:val="00F27799"/>
    <w:rsid w:val="00F2788D"/>
    <w:rsid w:val="00F27D44"/>
    <w:rsid w:val="00F308CE"/>
    <w:rsid w:val="00F31C08"/>
    <w:rsid w:val="00F333D0"/>
    <w:rsid w:val="00F33868"/>
    <w:rsid w:val="00F34B9D"/>
    <w:rsid w:val="00F35585"/>
    <w:rsid w:val="00F3568F"/>
    <w:rsid w:val="00F36AB3"/>
    <w:rsid w:val="00F36DDA"/>
    <w:rsid w:val="00F3786A"/>
    <w:rsid w:val="00F37B95"/>
    <w:rsid w:val="00F37FDB"/>
    <w:rsid w:val="00F40D59"/>
    <w:rsid w:val="00F4227C"/>
    <w:rsid w:val="00F42588"/>
    <w:rsid w:val="00F42968"/>
    <w:rsid w:val="00F443BB"/>
    <w:rsid w:val="00F47059"/>
    <w:rsid w:val="00F473D7"/>
    <w:rsid w:val="00F4747A"/>
    <w:rsid w:val="00F51015"/>
    <w:rsid w:val="00F5167D"/>
    <w:rsid w:val="00F52A92"/>
    <w:rsid w:val="00F52F8E"/>
    <w:rsid w:val="00F535B4"/>
    <w:rsid w:val="00F535E4"/>
    <w:rsid w:val="00F54236"/>
    <w:rsid w:val="00F54E3E"/>
    <w:rsid w:val="00F552A5"/>
    <w:rsid w:val="00F554B8"/>
    <w:rsid w:val="00F55B6C"/>
    <w:rsid w:val="00F55CE8"/>
    <w:rsid w:val="00F56AA9"/>
    <w:rsid w:val="00F56CB1"/>
    <w:rsid w:val="00F574EE"/>
    <w:rsid w:val="00F57A2D"/>
    <w:rsid w:val="00F57A3C"/>
    <w:rsid w:val="00F6238E"/>
    <w:rsid w:val="00F62CBE"/>
    <w:rsid w:val="00F64B8A"/>
    <w:rsid w:val="00F65332"/>
    <w:rsid w:val="00F65CB3"/>
    <w:rsid w:val="00F6629E"/>
    <w:rsid w:val="00F702E2"/>
    <w:rsid w:val="00F70BF4"/>
    <w:rsid w:val="00F71953"/>
    <w:rsid w:val="00F71F20"/>
    <w:rsid w:val="00F738A1"/>
    <w:rsid w:val="00F73F1C"/>
    <w:rsid w:val="00F743E8"/>
    <w:rsid w:val="00F74CA4"/>
    <w:rsid w:val="00F753D8"/>
    <w:rsid w:val="00F7558A"/>
    <w:rsid w:val="00F75EA9"/>
    <w:rsid w:val="00F762B7"/>
    <w:rsid w:val="00F76F19"/>
    <w:rsid w:val="00F80629"/>
    <w:rsid w:val="00F80DAE"/>
    <w:rsid w:val="00F8147A"/>
    <w:rsid w:val="00F85D3C"/>
    <w:rsid w:val="00F863E2"/>
    <w:rsid w:val="00F87990"/>
    <w:rsid w:val="00F9067C"/>
    <w:rsid w:val="00F906F2"/>
    <w:rsid w:val="00F9116C"/>
    <w:rsid w:val="00F92A7E"/>
    <w:rsid w:val="00F92E9D"/>
    <w:rsid w:val="00F932DB"/>
    <w:rsid w:val="00F94464"/>
    <w:rsid w:val="00F949F5"/>
    <w:rsid w:val="00F95C66"/>
    <w:rsid w:val="00F96489"/>
    <w:rsid w:val="00F96744"/>
    <w:rsid w:val="00F97180"/>
    <w:rsid w:val="00F9740B"/>
    <w:rsid w:val="00FA0339"/>
    <w:rsid w:val="00FA228C"/>
    <w:rsid w:val="00FA2685"/>
    <w:rsid w:val="00FA44A3"/>
    <w:rsid w:val="00FA486D"/>
    <w:rsid w:val="00FA60C2"/>
    <w:rsid w:val="00FA6687"/>
    <w:rsid w:val="00FA69A2"/>
    <w:rsid w:val="00FA7525"/>
    <w:rsid w:val="00FA79FE"/>
    <w:rsid w:val="00FA7D1B"/>
    <w:rsid w:val="00FB0EC9"/>
    <w:rsid w:val="00FB118E"/>
    <w:rsid w:val="00FB172A"/>
    <w:rsid w:val="00FB500D"/>
    <w:rsid w:val="00FB5170"/>
    <w:rsid w:val="00FB63D6"/>
    <w:rsid w:val="00FB6856"/>
    <w:rsid w:val="00FB7804"/>
    <w:rsid w:val="00FC0597"/>
    <w:rsid w:val="00FC096C"/>
    <w:rsid w:val="00FC1361"/>
    <w:rsid w:val="00FC177A"/>
    <w:rsid w:val="00FC495F"/>
    <w:rsid w:val="00FC5E53"/>
    <w:rsid w:val="00FC6553"/>
    <w:rsid w:val="00FD06C5"/>
    <w:rsid w:val="00FD1752"/>
    <w:rsid w:val="00FD2FBC"/>
    <w:rsid w:val="00FD3995"/>
    <w:rsid w:val="00FD4A76"/>
    <w:rsid w:val="00FD5E9C"/>
    <w:rsid w:val="00FD6930"/>
    <w:rsid w:val="00FD7691"/>
    <w:rsid w:val="00FE106D"/>
    <w:rsid w:val="00FE141D"/>
    <w:rsid w:val="00FE1422"/>
    <w:rsid w:val="00FE14F3"/>
    <w:rsid w:val="00FE178B"/>
    <w:rsid w:val="00FE2181"/>
    <w:rsid w:val="00FE2B02"/>
    <w:rsid w:val="00FE4D83"/>
    <w:rsid w:val="00FE6330"/>
    <w:rsid w:val="00FE6341"/>
    <w:rsid w:val="00FE64B2"/>
    <w:rsid w:val="00FE70F0"/>
    <w:rsid w:val="00FE7BF5"/>
    <w:rsid w:val="00FE7EE1"/>
    <w:rsid w:val="00FF0245"/>
    <w:rsid w:val="00FF10F0"/>
    <w:rsid w:val="00FF1A8F"/>
    <w:rsid w:val="00FF3083"/>
    <w:rsid w:val="00FF3A6A"/>
    <w:rsid w:val="00FF3F74"/>
    <w:rsid w:val="00FF60C7"/>
    <w:rsid w:val="00FF667F"/>
    <w:rsid w:val="00FF6BB9"/>
    <w:rsid w:val="00FF72E9"/>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C7A"/>
    <w:rPr>
      <w:sz w:val="24"/>
      <w:szCs w:val="24"/>
    </w:rPr>
  </w:style>
  <w:style w:type="paragraph" w:styleId="Heading1">
    <w:name w:val="heading 1"/>
    <w:basedOn w:val="Normal"/>
    <w:next w:val="Normal"/>
    <w:link w:val="Heading1Char"/>
    <w:qFormat/>
    <w:rsid w:val="001C0B8A"/>
    <w:pPr>
      <w:keepNext/>
      <w:spacing w:before="960" w:after="60"/>
      <w:jc w:val="center"/>
      <w:outlineLvl w:val="0"/>
    </w:pPr>
    <w:rPr>
      <w:rFonts w:ascii="Arial" w:hAnsi="Arial" w:cs="Arial"/>
      <w:b/>
      <w:bCs/>
      <w:kern w:val="32"/>
      <w:sz w:val="36"/>
      <w:szCs w:val="36"/>
    </w:rPr>
  </w:style>
  <w:style w:type="paragraph" w:styleId="Heading2">
    <w:name w:val="heading 2"/>
    <w:basedOn w:val="Normal"/>
    <w:next w:val="Normal"/>
    <w:link w:val="Heading2Char"/>
    <w:unhideWhenUsed/>
    <w:qFormat/>
    <w:rsid w:val="000A359F"/>
    <w:pPr>
      <w:keepNext/>
      <w:spacing w:before="240" w:after="60"/>
      <w:outlineLvl w:val="1"/>
    </w:pPr>
    <w:rPr>
      <w:rFonts w:ascii="Arial" w:hAnsi="Arial" w:cs="Arial"/>
      <w:b/>
      <w:bCs/>
      <w:iCs/>
      <w:noProof/>
    </w:rPr>
  </w:style>
  <w:style w:type="paragraph" w:styleId="Heading3">
    <w:name w:val="heading 3"/>
    <w:basedOn w:val="3rdheading"/>
    <w:next w:val="Normal"/>
    <w:link w:val="Heading3Char"/>
    <w:qFormat/>
    <w:rsid w:val="000A359F"/>
    <w:pPr>
      <w:spacing w:before="240" w:after="0"/>
      <w:outlineLvl w:val="2"/>
    </w:pPr>
    <w:rPr>
      <w:rFonts w:ascii="Arial" w:hAnsi="Arial" w:cs="Arial"/>
      <w:i/>
    </w:rPr>
  </w:style>
  <w:style w:type="paragraph" w:styleId="Heading4">
    <w:name w:val="heading 4"/>
    <w:basedOn w:val="Normal"/>
    <w:next w:val="Normal"/>
    <w:link w:val="Heading4Char"/>
    <w:unhideWhenUsed/>
    <w:qFormat/>
    <w:rsid w:val="002E3923"/>
    <w:pPr>
      <w:keepNext/>
      <w:spacing w:before="120"/>
      <w:outlineLvl w:val="3"/>
    </w:pPr>
    <w:rPr>
      <w:rFonts w:ascii="Calibri"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571"/>
    <w:pPr>
      <w:shd w:val="clear" w:color="auto" w:fill="948A54"/>
      <w:tabs>
        <w:tab w:val="center" w:pos="4320"/>
        <w:tab w:val="right" w:pos="8640"/>
      </w:tabs>
      <w:spacing w:after="360"/>
    </w:pPr>
    <w:rPr>
      <w:rFonts w:ascii="Calibri" w:hAnsi="Calibri"/>
      <w:noProof/>
    </w:rPr>
  </w:style>
  <w:style w:type="paragraph" w:styleId="Footer">
    <w:name w:val="footer"/>
    <w:basedOn w:val="Normal"/>
    <w:link w:val="FooterChar"/>
    <w:uiPriority w:val="99"/>
    <w:rsid w:val="002523BD"/>
    <w:pPr>
      <w:tabs>
        <w:tab w:val="center" w:pos="4320"/>
        <w:tab w:val="right" w:pos="8640"/>
      </w:tabs>
    </w:pPr>
  </w:style>
  <w:style w:type="paragraph" w:customStyle="1" w:styleId="text">
    <w:name w:val="text"/>
    <w:basedOn w:val="Normal"/>
    <w:link w:val="textChar"/>
    <w:rsid w:val="002523BD"/>
    <w:rPr>
      <w:rFonts w:ascii="Novarese Bk BT" w:hAnsi="Novarese Bk BT"/>
      <w:sz w:val="20"/>
      <w:szCs w:val="20"/>
    </w:rPr>
  </w:style>
  <w:style w:type="character" w:customStyle="1" w:styleId="textChar">
    <w:name w:val="text Char"/>
    <w:link w:val="text"/>
    <w:rsid w:val="002523BD"/>
    <w:rPr>
      <w:rFonts w:ascii="Novarese Bk BT" w:hAnsi="Novarese Bk BT"/>
      <w:lang w:val="en-US" w:eastAsia="en-US" w:bidi="ar-SA"/>
    </w:rPr>
  </w:style>
  <w:style w:type="paragraph" w:customStyle="1" w:styleId="headings">
    <w:name w:val="headings"/>
    <w:basedOn w:val="Heading3"/>
    <w:link w:val="headingsChar"/>
    <w:rsid w:val="00EA6A48"/>
  </w:style>
  <w:style w:type="character" w:styleId="FollowedHyperlink">
    <w:name w:val="FollowedHyperlink"/>
    <w:rsid w:val="002523BD"/>
    <w:rPr>
      <w:color w:val="800080"/>
      <w:u w:val="single"/>
    </w:rPr>
  </w:style>
  <w:style w:type="paragraph" w:styleId="BalloonText">
    <w:name w:val="Balloon Text"/>
    <w:basedOn w:val="Normal"/>
    <w:semiHidden/>
    <w:rsid w:val="002523BD"/>
    <w:rPr>
      <w:rFonts w:ascii="Tahoma" w:hAnsi="Tahoma" w:cs="Tahoma"/>
      <w:sz w:val="16"/>
      <w:szCs w:val="16"/>
    </w:rPr>
  </w:style>
  <w:style w:type="character" w:styleId="FootnoteReference">
    <w:name w:val="footnote reference"/>
    <w:semiHidden/>
    <w:rsid w:val="002523BD"/>
    <w:rPr>
      <w:vertAlign w:val="superscript"/>
    </w:rPr>
  </w:style>
  <w:style w:type="paragraph" w:styleId="FootnoteText">
    <w:name w:val="footnote text"/>
    <w:basedOn w:val="Normal"/>
    <w:semiHidden/>
    <w:rsid w:val="002E11DD"/>
    <w:pPr>
      <w:spacing w:before="240"/>
    </w:pPr>
    <w:rPr>
      <w:sz w:val="20"/>
      <w:szCs w:val="20"/>
    </w:rPr>
  </w:style>
  <w:style w:type="character" w:customStyle="1" w:styleId="headingsChar">
    <w:name w:val="headings Char"/>
    <w:link w:val="headings"/>
    <w:rsid w:val="00EA6A48"/>
    <w:rPr>
      <w:rFonts w:ascii="Arial" w:hAnsi="Arial" w:cs="Arial"/>
      <w:b/>
      <w:bCs/>
      <w:sz w:val="26"/>
      <w:szCs w:val="26"/>
    </w:rPr>
  </w:style>
  <w:style w:type="table" w:styleId="TableGrid">
    <w:name w:val="Table Grid"/>
    <w:basedOn w:val="TableNormal"/>
    <w:rsid w:val="0067290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C06E6"/>
    <w:pPr>
      <w:ind w:left="1080"/>
    </w:pPr>
  </w:style>
  <w:style w:type="paragraph" w:styleId="ListParagraph">
    <w:name w:val="List Paragraph"/>
    <w:basedOn w:val="Normal"/>
    <w:uiPriority w:val="34"/>
    <w:qFormat/>
    <w:rsid w:val="00B8494A"/>
    <w:pPr>
      <w:ind w:left="720"/>
    </w:pPr>
  </w:style>
  <w:style w:type="paragraph" w:customStyle="1" w:styleId="StyleheadingsLeft05">
    <w:name w:val="Style headings + Left:  0.5&quot;"/>
    <w:basedOn w:val="headings"/>
    <w:autoRedefine/>
    <w:rsid w:val="00E86EB9"/>
    <w:pPr>
      <w:ind w:left="720"/>
    </w:pPr>
    <w:rPr>
      <w:rFonts w:cs="Times New Roman"/>
    </w:rPr>
  </w:style>
  <w:style w:type="character" w:customStyle="1" w:styleId="Style10pt">
    <w:name w:val="Style 10 pt"/>
    <w:rsid w:val="00B305E0"/>
    <w:rPr>
      <w:sz w:val="22"/>
    </w:rPr>
  </w:style>
  <w:style w:type="paragraph" w:customStyle="1" w:styleId="Style10ptLeft05">
    <w:name w:val="Style 10 pt Left:  0.5&quot;"/>
    <w:basedOn w:val="Normal"/>
    <w:rsid w:val="00B305E0"/>
    <w:pPr>
      <w:ind w:left="720"/>
    </w:pPr>
    <w:rPr>
      <w:sz w:val="22"/>
      <w:szCs w:val="20"/>
    </w:rPr>
  </w:style>
  <w:style w:type="character" w:customStyle="1" w:styleId="HeaderChar">
    <w:name w:val="Header Char"/>
    <w:link w:val="Header"/>
    <w:uiPriority w:val="99"/>
    <w:rsid w:val="00DC0571"/>
    <w:rPr>
      <w:rFonts w:ascii="Calibri" w:hAnsi="Calibri"/>
      <w:noProof/>
      <w:sz w:val="24"/>
      <w:szCs w:val="24"/>
      <w:shd w:val="clear" w:color="auto" w:fill="948A54"/>
    </w:rPr>
  </w:style>
  <w:style w:type="character" w:customStyle="1" w:styleId="FooterChar">
    <w:name w:val="Footer Char"/>
    <w:link w:val="Footer"/>
    <w:uiPriority w:val="99"/>
    <w:rsid w:val="004A2CBD"/>
    <w:rPr>
      <w:sz w:val="24"/>
      <w:szCs w:val="24"/>
    </w:rPr>
  </w:style>
  <w:style w:type="character" w:customStyle="1" w:styleId="Heading1Char">
    <w:name w:val="Heading 1 Char"/>
    <w:link w:val="Heading1"/>
    <w:rsid w:val="001C0B8A"/>
    <w:rPr>
      <w:rFonts w:ascii="Arial" w:hAnsi="Arial" w:cs="Arial"/>
      <w:b/>
      <w:bCs/>
      <w:kern w:val="32"/>
      <w:sz w:val="36"/>
      <w:szCs w:val="36"/>
    </w:rPr>
  </w:style>
  <w:style w:type="paragraph" w:styleId="Title">
    <w:name w:val="Title"/>
    <w:basedOn w:val="Normal"/>
    <w:next w:val="Normal"/>
    <w:link w:val="TitleChar"/>
    <w:qFormat/>
    <w:rsid w:val="00716620"/>
    <w:pPr>
      <w:shd w:val="clear" w:color="auto" w:fill="4F81BD"/>
      <w:tabs>
        <w:tab w:val="center" w:pos="5760"/>
      </w:tabs>
      <w:jc w:val="center"/>
      <w:outlineLvl w:val="0"/>
    </w:pPr>
    <w:rPr>
      <w:rFonts w:ascii="Tahoma" w:hAnsi="Tahoma" w:cs="Tahoma"/>
      <w:b/>
      <w:bCs/>
      <w:noProof/>
      <w:color w:val="F2F2F2"/>
      <w:kern w:val="28"/>
      <w:sz w:val="64"/>
      <w:szCs w:val="64"/>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716620"/>
    <w:rPr>
      <w:rFonts w:ascii="Tahoma" w:hAnsi="Tahoma" w:cs="Tahoma"/>
      <w:b/>
      <w:bCs/>
      <w:noProof/>
      <w:color w:val="F2F2F2"/>
      <w:kern w:val="28"/>
      <w:sz w:val="64"/>
      <w:szCs w:val="64"/>
      <w:shd w:val="clear" w:color="auto" w:fill="4F81BD"/>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qFormat/>
    <w:rsid w:val="00716620"/>
    <w:pPr>
      <w:shd w:val="clear" w:color="auto" w:fill="4F81BD"/>
      <w:spacing w:after="60"/>
      <w:jc w:val="center"/>
      <w:outlineLvl w:val="1"/>
    </w:pPr>
    <w:rPr>
      <w:rFonts w:ascii="Comic Sans MS" w:hAnsi="Comic Sans MS"/>
      <w:color w:val="F2F2F2"/>
      <w:sz w:val="28"/>
      <w:szCs w:val="28"/>
    </w:rPr>
  </w:style>
  <w:style w:type="character" w:customStyle="1" w:styleId="SubtitleChar">
    <w:name w:val="Subtitle Char"/>
    <w:link w:val="Subtitle"/>
    <w:rsid w:val="00716620"/>
    <w:rPr>
      <w:rFonts w:ascii="Comic Sans MS" w:hAnsi="Comic Sans MS"/>
      <w:color w:val="F2F2F2"/>
      <w:sz w:val="28"/>
      <w:szCs w:val="28"/>
      <w:shd w:val="clear" w:color="auto" w:fill="4F81BD"/>
    </w:rPr>
  </w:style>
  <w:style w:type="character" w:customStyle="1" w:styleId="Heading2Char">
    <w:name w:val="Heading 2 Char"/>
    <w:link w:val="Heading2"/>
    <w:rsid w:val="000A359F"/>
    <w:rPr>
      <w:rFonts w:ascii="Arial" w:hAnsi="Arial" w:cs="Arial"/>
      <w:b/>
      <w:bCs/>
      <w:iCs/>
      <w:noProof/>
      <w:sz w:val="24"/>
      <w:szCs w:val="24"/>
    </w:rPr>
  </w:style>
  <w:style w:type="character" w:customStyle="1" w:styleId="BodyTextIndentChar">
    <w:name w:val="Body Text Indent Char"/>
    <w:link w:val="BodyTextIndent"/>
    <w:rsid w:val="00EA6A48"/>
    <w:rPr>
      <w:sz w:val="24"/>
      <w:szCs w:val="24"/>
    </w:rPr>
  </w:style>
  <w:style w:type="paragraph" w:styleId="BodyText">
    <w:name w:val="Body Text"/>
    <w:basedOn w:val="Normal"/>
    <w:link w:val="BodyTextChar"/>
    <w:rsid w:val="00DC0571"/>
    <w:pPr>
      <w:spacing w:after="120"/>
    </w:pPr>
    <w:rPr>
      <w:rFonts w:ascii="Calibri" w:hAnsi="Calibri" w:cs="Tahoma"/>
    </w:rPr>
  </w:style>
  <w:style w:type="character" w:customStyle="1" w:styleId="BodyTextChar">
    <w:name w:val="Body Text Char"/>
    <w:link w:val="BodyText"/>
    <w:rsid w:val="00DC0571"/>
    <w:rPr>
      <w:rFonts w:ascii="Calibri" w:hAnsi="Calibri" w:cs="Tahoma"/>
      <w:sz w:val="24"/>
      <w:szCs w:val="24"/>
    </w:rPr>
  </w:style>
  <w:style w:type="paragraph" w:styleId="BodyText2">
    <w:name w:val="Body Text 2"/>
    <w:basedOn w:val="Normal"/>
    <w:link w:val="BodyText2Char"/>
    <w:rsid w:val="00B360E5"/>
    <w:pPr>
      <w:spacing w:after="120" w:line="480" w:lineRule="auto"/>
    </w:pPr>
  </w:style>
  <w:style w:type="character" w:customStyle="1" w:styleId="BodyText2Char">
    <w:name w:val="Body Text 2 Char"/>
    <w:link w:val="BodyText2"/>
    <w:rsid w:val="00B360E5"/>
    <w:rPr>
      <w:sz w:val="24"/>
      <w:szCs w:val="24"/>
    </w:rPr>
  </w:style>
  <w:style w:type="paragraph" w:styleId="ListBullet">
    <w:name w:val="List Bullet"/>
    <w:basedOn w:val="Normal"/>
    <w:rsid w:val="00FF3F74"/>
    <w:pPr>
      <w:numPr>
        <w:numId w:val="3"/>
      </w:numPr>
      <w:contextualSpacing/>
    </w:pPr>
  </w:style>
  <w:style w:type="paragraph" w:styleId="ListBullet2">
    <w:name w:val="List Bullet 2"/>
    <w:basedOn w:val="Normal"/>
    <w:rsid w:val="00FF3F74"/>
    <w:pPr>
      <w:numPr>
        <w:numId w:val="4"/>
      </w:numPr>
      <w:contextualSpacing/>
    </w:pPr>
  </w:style>
  <w:style w:type="character" w:styleId="EndnoteReference">
    <w:name w:val="endnote reference"/>
    <w:rsid w:val="00AA41DF"/>
    <w:rPr>
      <w:vertAlign w:val="superscript"/>
    </w:rPr>
  </w:style>
  <w:style w:type="paragraph" w:styleId="EndnoteText">
    <w:name w:val="endnote text"/>
    <w:basedOn w:val="Normal"/>
    <w:link w:val="EndnoteTextChar"/>
    <w:rsid w:val="00AA41DF"/>
    <w:rPr>
      <w:sz w:val="20"/>
      <w:szCs w:val="20"/>
    </w:rPr>
  </w:style>
  <w:style w:type="character" w:customStyle="1" w:styleId="EndnoteTextChar">
    <w:name w:val="Endnote Text Char"/>
    <w:basedOn w:val="DefaultParagraphFont"/>
    <w:link w:val="EndnoteText"/>
    <w:rsid w:val="00AA41DF"/>
  </w:style>
  <w:style w:type="paragraph" w:styleId="NoSpacing">
    <w:name w:val="No Spacing"/>
    <w:link w:val="NoSpacingChar"/>
    <w:uiPriority w:val="1"/>
    <w:qFormat/>
    <w:rsid w:val="00716620"/>
    <w:rPr>
      <w:rFonts w:ascii="Calibri" w:hAnsi="Calibri"/>
      <w:sz w:val="22"/>
      <w:szCs w:val="22"/>
    </w:rPr>
  </w:style>
  <w:style w:type="character" w:customStyle="1" w:styleId="NoSpacingChar">
    <w:name w:val="No Spacing Char"/>
    <w:link w:val="NoSpacing"/>
    <w:uiPriority w:val="1"/>
    <w:rsid w:val="00716620"/>
    <w:rPr>
      <w:rFonts w:ascii="Calibri" w:hAnsi="Calibri"/>
      <w:sz w:val="22"/>
      <w:szCs w:val="22"/>
      <w:lang w:val="en-US" w:eastAsia="en-US" w:bidi="ar-SA"/>
    </w:rPr>
  </w:style>
  <w:style w:type="paragraph" w:styleId="Caption">
    <w:name w:val="caption"/>
    <w:basedOn w:val="Normal"/>
    <w:next w:val="Normal"/>
    <w:unhideWhenUsed/>
    <w:qFormat/>
    <w:rsid w:val="002E11DD"/>
    <w:rPr>
      <w:b/>
      <w:bCs/>
      <w:sz w:val="20"/>
      <w:szCs w:val="20"/>
    </w:rPr>
  </w:style>
  <w:style w:type="paragraph" w:styleId="DocumentMap">
    <w:name w:val="Document Map"/>
    <w:basedOn w:val="Normal"/>
    <w:link w:val="DocumentMapChar"/>
    <w:rsid w:val="00CA56B4"/>
    <w:rPr>
      <w:rFonts w:ascii="Tahoma" w:hAnsi="Tahoma" w:cs="Tahoma"/>
      <w:sz w:val="16"/>
      <w:szCs w:val="16"/>
    </w:rPr>
  </w:style>
  <w:style w:type="character" w:customStyle="1" w:styleId="DocumentMapChar">
    <w:name w:val="Document Map Char"/>
    <w:link w:val="DocumentMap"/>
    <w:rsid w:val="00CA56B4"/>
    <w:rPr>
      <w:rFonts w:ascii="Tahoma" w:hAnsi="Tahoma" w:cs="Tahoma"/>
      <w:sz w:val="16"/>
      <w:szCs w:val="16"/>
    </w:rPr>
  </w:style>
  <w:style w:type="character" w:customStyle="1" w:styleId="Heading4Char">
    <w:name w:val="Heading 4 Char"/>
    <w:link w:val="Heading4"/>
    <w:rsid w:val="002E3923"/>
    <w:rPr>
      <w:rFonts w:ascii="Calibri" w:hAnsi="Calibri" w:cs="Arial"/>
      <w:b/>
      <w:bCs/>
      <w:sz w:val="24"/>
      <w:szCs w:val="24"/>
    </w:rPr>
  </w:style>
  <w:style w:type="character" w:customStyle="1" w:styleId="Heading3Char">
    <w:name w:val="Heading 3 Char"/>
    <w:link w:val="Heading3"/>
    <w:rsid w:val="000A359F"/>
    <w:rPr>
      <w:rFonts w:ascii="Arial" w:hAnsi="Arial" w:cs="Arial"/>
      <w:b/>
      <w:i/>
      <w:sz w:val="24"/>
      <w:szCs w:val="24"/>
    </w:rPr>
  </w:style>
  <w:style w:type="paragraph" w:customStyle="1" w:styleId="2ndheading">
    <w:name w:val="2nd heading"/>
    <w:basedOn w:val="Normal"/>
    <w:qFormat/>
    <w:rsid w:val="00AC16AD"/>
    <w:pPr>
      <w:keepNext/>
      <w:keepLines/>
    </w:pPr>
    <w:rPr>
      <w:rFonts w:ascii="Arial Black" w:hAnsi="Arial Black"/>
      <w:sz w:val="22"/>
    </w:rPr>
  </w:style>
  <w:style w:type="paragraph" w:customStyle="1" w:styleId="3rdheading">
    <w:name w:val="3rd heading"/>
    <w:basedOn w:val="Normal"/>
    <w:qFormat/>
    <w:rsid w:val="00AC16AD"/>
    <w:pPr>
      <w:keepNext/>
      <w:keepLines/>
      <w:spacing w:after="120" w:line="320" w:lineRule="exact"/>
    </w:pPr>
    <w:rPr>
      <w:rFonts w:ascii="Novarese Bk BT" w:hAnsi="Novarese Bk BT"/>
      <w:b/>
    </w:rPr>
  </w:style>
  <w:style w:type="character" w:styleId="Hyperlink">
    <w:name w:val="Hyperlink"/>
    <w:rsid w:val="00DC05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C7A"/>
    <w:rPr>
      <w:sz w:val="24"/>
      <w:szCs w:val="24"/>
    </w:rPr>
  </w:style>
  <w:style w:type="paragraph" w:styleId="Heading1">
    <w:name w:val="heading 1"/>
    <w:basedOn w:val="Normal"/>
    <w:next w:val="Normal"/>
    <w:link w:val="Heading1Char"/>
    <w:qFormat/>
    <w:rsid w:val="001C0B8A"/>
    <w:pPr>
      <w:keepNext/>
      <w:spacing w:before="960" w:after="60"/>
      <w:jc w:val="center"/>
      <w:outlineLvl w:val="0"/>
    </w:pPr>
    <w:rPr>
      <w:rFonts w:ascii="Arial" w:hAnsi="Arial" w:cs="Arial"/>
      <w:b/>
      <w:bCs/>
      <w:kern w:val="32"/>
      <w:sz w:val="36"/>
      <w:szCs w:val="36"/>
    </w:rPr>
  </w:style>
  <w:style w:type="paragraph" w:styleId="Heading2">
    <w:name w:val="heading 2"/>
    <w:basedOn w:val="Normal"/>
    <w:next w:val="Normal"/>
    <w:link w:val="Heading2Char"/>
    <w:unhideWhenUsed/>
    <w:qFormat/>
    <w:rsid w:val="000A359F"/>
    <w:pPr>
      <w:keepNext/>
      <w:spacing w:before="240" w:after="60"/>
      <w:outlineLvl w:val="1"/>
    </w:pPr>
    <w:rPr>
      <w:rFonts w:ascii="Arial" w:hAnsi="Arial" w:cs="Arial"/>
      <w:b/>
      <w:bCs/>
      <w:iCs/>
      <w:noProof/>
    </w:rPr>
  </w:style>
  <w:style w:type="paragraph" w:styleId="Heading3">
    <w:name w:val="heading 3"/>
    <w:basedOn w:val="3rdheading"/>
    <w:next w:val="Normal"/>
    <w:link w:val="Heading3Char"/>
    <w:qFormat/>
    <w:rsid w:val="000A359F"/>
    <w:pPr>
      <w:spacing w:before="240" w:after="0"/>
      <w:outlineLvl w:val="2"/>
    </w:pPr>
    <w:rPr>
      <w:rFonts w:ascii="Arial" w:hAnsi="Arial" w:cs="Arial"/>
      <w:i/>
    </w:rPr>
  </w:style>
  <w:style w:type="paragraph" w:styleId="Heading4">
    <w:name w:val="heading 4"/>
    <w:basedOn w:val="Normal"/>
    <w:next w:val="Normal"/>
    <w:link w:val="Heading4Char"/>
    <w:unhideWhenUsed/>
    <w:qFormat/>
    <w:rsid w:val="002E3923"/>
    <w:pPr>
      <w:keepNext/>
      <w:spacing w:before="120"/>
      <w:outlineLvl w:val="3"/>
    </w:pPr>
    <w:rPr>
      <w:rFonts w:ascii="Calibri"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571"/>
    <w:pPr>
      <w:shd w:val="clear" w:color="auto" w:fill="948A54"/>
      <w:tabs>
        <w:tab w:val="center" w:pos="4320"/>
        <w:tab w:val="right" w:pos="8640"/>
      </w:tabs>
      <w:spacing w:after="360"/>
    </w:pPr>
    <w:rPr>
      <w:rFonts w:ascii="Calibri" w:hAnsi="Calibri"/>
      <w:noProof/>
    </w:rPr>
  </w:style>
  <w:style w:type="paragraph" w:styleId="Footer">
    <w:name w:val="footer"/>
    <w:basedOn w:val="Normal"/>
    <w:link w:val="FooterChar"/>
    <w:uiPriority w:val="99"/>
    <w:rsid w:val="002523BD"/>
    <w:pPr>
      <w:tabs>
        <w:tab w:val="center" w:pos="4320"/>
        <w:tab w:val="right" w:pos="8640"/>
      </w:tabs>
    </w:pPr>
  </w:style>
  <w:style w:type="paragraph" w:customStyle="1" w:styleId="text">
    <w:name w:val="text"/>
    <w:basedOn w:val="Normal"/>
    <w:link w:val="textChar"/>
    <w:rsid w:val="002523BD"/>
    <w:rPr>
      <w:rFonts w:ascii="Novarese Bk BT" w:hAnsi="Novarese Bk BT"/>
      <w:sz w:val="20"/>
      <w:szCs w:val="20"/>
    </w:rPr>
  </w:style>
  <w:style w:type="character" w:customStyle="1" w:styleId="textChar">
    <w:name w:val="text Char"/>
    <w:link w:val="text"/>
    <w:rsid w:val="002523BD"/>
    <w:rPr>
      <w:rFonts w:ascii="Novarese Bk BT" w:hAnsi="Novarese Bk BT"/>
      <w:lang w:val="en-US" w:eastAsia="en-US" w:bidi="ar-SA"/>
    </w:rPr>
  </w:style>
  <w:style w:type="paragraph" w:customStyle="1" w:styleId="headings">
    <w:name w:val="headings"/>
    <w:basedOn w:val="Heading3"/>
    <w:link w:val="headingsChar"/>
    <w:rsid w:val="00EA6A48"/>
  </w:style>
  <w:style w:type="character" w:styleId="FollowedHyperlink">
    <w:name w:val="FollowedHyperlink"/>
    <w:rsid w:val="002523BD"/>
    <w:rPr>
      <w:color w:val="800080"/>
      <w:u w:val="single"/>
    </w:rPr>
  </w:style>
  <w:style w:type="paragraph" w:styleId="BalloonText">
    <w:name w:val="Balloon Text"/>
    <w:basedOn w:val="Normal"/>
    <w:semiHidden/>
    <w:rsid w:val="002523BD"/>
    <w:rPr>
      <w:rFonts w:ascii="Tahoma" w:hAnsi="Tahoma" w:cs="Tahoma"/>
      <w:sz w:val="16"/>
      <w:szCs w:val="16"/>
    </w:rPr>
  </w:style>
  <w:style w:type="character" w:styleId="FootnoteReference">
    <w:name w:val="footnote reference"/>
    <w:semiHidden/>
    <w:rsid w:val="002523BD"/>
    <w:rPr>
      <w:vertAlign w:val="superscript"/>
    </w:rPr>
  </w:style>
  <w:style w:type="paragraph" w:styleId="FootnoteText">
    <w:name w:val="footnote text"/>
    <w:basedOn w:val="Normal"/>
    <w:semiHidden/>
    <w:rsid w:val="002E11DD"/>
    <w:pPr>
      <w:spacing w:before="240"/>
    </w:pPr>
    <w:rPr>
      <w:sz w:val="20"/>
      <w:szCs w:val="20"/>
    </w:rPr>
  </w:style>
  <w:style w:type="character" w:customStyle="1" w:styleId="headingsChar">
    <w:name w:val="headings Char"/>
    <w:link w:val="headings"/>
    <w:rsid w:val="00EA6A48"/>
    <w:rPr>
      <w:rFonts w:ascii="Arial" w:hAnsi="Arial" w:cs="Arial"/>
      <w:b/>
      <w:bCs/>
      <w:sz w:val="26"/>
      <w:szCs w:val="26"/>
    </w:rPr>
  </w:style>
  <w:style w:type="table" w:styleId="TableGrid">
    <w:name w:val="Table Grid"/>
    <w:basedOn w:val="TableNormal"/>
    <w:rsid w:val="00672909"/>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C06E6"/>
    <w:pPr>
      <w:ind w:left="1080"/>
    </w:pPr>
  </w:style>
  <w:style w:type="paragraph" w:styleId="ListParagraph">
    <w:name w:val="List Paragraph"/>
    <w:basedOn w:val="Normal"/>
    <w:uiPriority w:val="34"/>
    <w:qFormat/>
    <w:rsid w:val="00B8494A"/>
    <w:pPr>
      <w:ind w:left="720"/>
    </w:pPr>
  </w:style>
  <w:style w:type="paragraph" w:customStyle="1" w:styleId="StyleheadingsLeft05">
    <w:name w:val="Style headings + Left:  0.5&quot;"/>
    <w:basedOn w:val="headings"/>
    <w:autoRedefine/>
    <w:rsid w:val="00E86EB9"/>
    <w:pPr>
      <w:ind w:left="720"/>
    </w:pPr>
    <w:rPr>
      <w:rFonts w:cs="Times New Roman"/>
    </w:rPr>
  </w:style>
  <w:style w:type="character" w:customStyle="1" w:styleId="Style10pt">
    <w:name w:val="Style 10 pt"/>
    <w:rsid w:val="00B305E0"/>
    <w:rPr>
      <w:sz w:val="22"/>
    </w:rPr>
  </w:style>
  <w:style w:type="paragraph" w:customStyle="1" w:styleId="Style10ptLeft05">
    <w:name w:val="Style 10 pt Left:  0.5&quot;"/>
    <w:basedOn w:val="Normal"/>
    <w:rsid w:val="00B305E0"/>
    <w:pPr>
      <w:ind w:left="720"/>
    </w:pPr>
    <w:rPr>
      <w:sz w:val="22"/>
      <w:szCs w:val="20"/>
    </w:rPr>
  </w:style>
  <w:style w:type="character" w:customStyle="1" w:styleId="HeaderChar">
    <w:name w:val="Header Char"/>
    <w:link w:val="Header"/>
    <w:uiPriority w:val="99"/>
    <w:rsid w:val="00DC0571"/>
    <w:rPr>
      <w:rFonts w:ascii="Calibri" w:hAnsi="Calibri"/>
      <w:noProof/>
      <w:sz w:val="24"/>
      <w:szCs w:val="24"/>
      <w:shd w:val="clear" w:color="auto" w:fill="948A54"/>
    </w:rPr>
  </w:style>
  <w:style w:type="character" w:customStyle="1" w:styleId="FooterChar">
    <w:name w:val="Footer Char"/>
    <w:link w:val="Footer"/>
    <w:uiPriority w:val="99"/>
    <w:rsid w:val="004A2CBD"/>
    <w:rPr>
      <w:sz w:val="24"/>
      <w:szCs w:val="24"/>
    </w:rPr>
  </w:style>
  <w:style w:type="character" w:customStyle="1" w:styleId="Heading1Char">
    <w:name w:val="Heading 1 Char"/>
    <w:link w:val="Heading1"/>
    <w:rsid w:val="001C0B8A"/>
    <w:rPr>
      <w:rFonts w:ascii="Arial" w:hAnsi="Arial" w:cs="Arial"/>
      <w:b/>
      <w:bCs/>
      <w:kern w:val="32"/>
      <w:sz w:val="36"/>
      <w:szCs w:val="36"/>
    </w:rPr>
  </w:style>
  <w:style w:type="paragraph" w:styleId="Title">
    <w:name w:val="Title"/>
    <w:basedOn w:val="Normal"/>
    <w:next w:val="Normal"/>
    <w:link w:val="TitleChar"/>
    <w:qFormat/>
    <w:rsid w:val="00716620"/>
    <w:pPr>
      <w:shd w:val="clear" w:color="auto" w:fill="4F81BD"/>
      <w:tabs>
        <w:tab w:val="center" w:pos="5760"/>
      </w:tabs>
      <w:jc w:val="center"/>
      <w:outlineLvl w:val="0"/>
    </w:pPr>
    <w:rPr>
      <w:rFonts w:ascii="Tahoma" w:hAnsi="Tahoma" w:cs="Tahoma"/>
      <w:b/>
      <w:bCs/>
      <w:noProof/>
      <w:color w:val="F2F2F2"/>
      <w:kern w:val="28"/>
      <w:sz w:val="64"/>
      <w:szCs w:val="64"/>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716620"/>
    <w:rPr>
      <w:rFonts w:ascii="Tahoma" w:hAnsi="Tahoma" w:cs="Tahoma"/>
      <w:b/>
      <w:bCs/>
      <w:noProof/>
      <w:color w:val="F2F2F2"/>
      <w:kern w:val="28"/>
      <w:sz w:val="64"/>
      <w:szCs w:val="64"/>
      <w:shd w:val="clear" w:color="auto" w:fill="4F81BD"/>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qFormat/>
    <w:rsid w:val="00716620"/>
    <w:pPr>
      <w:shd w:val="clear" w:color="auto" w:fill="4F81BD"/>
      <w:spacing w:after="60"/>
      <w:jc w:val="center"/>
      <w:outlineLvl w:val="1"/>
    </w:pPr>
    <w:rPr>
      <w:rFonts w:ascii="Comic Sans MS" w:hAnsi="Comic Sans MS"/>
      <w:color w:val="F2F2F2"/>
      <w:sz w:val="28"/>
      <w:szCs w:val="28"/>
    </w:rPr>
  </w:style>
  <w:style w:type="character" w:customStyle="1" w:styleId="SubtitleChar">
    <w:name w:val="Subtitle Char"/>
    <w:link w:val="Subtitle"/>
    <w:rsid w:val="00716620"/>
    <w:rPr>
      <w:rFonts w:ascii="Comic Sans MS" w:hAnsi="Comic Sans MS"/>
      <w:color w:val="F2F2F2"/>
      <w:sz w:val="28"/>
      <w:szCs w:val="28"/>
      <w:shd w:val="clear" w:color="auto" w:fill="4F81BD"/>
    </w:rPr>
  </w:style>
  <w:style w:type="character" w:customStyle="1" w:styleId="Heading2Char">
    <w:name w:val="Heading 2 Char"/>
    <w:link w:val="Heading2"/>
    <w:rsid w:val="000A359F"/>
    <w:rPr>
      <w:rFonts w:ascii="Arial" w:hAnsi="Arial" w:cs="Arial"/>
      <w:b/>
      <w:bCs/>
      <w:iCs/>
      <w:noProof/>
      <w:sz w:val="24"/>
      <w:szCs w:val="24"/>
    </w:rPr>
  </w:style>
  <w:style w:type="character" w:customStyle="1" w:styleId="BodyTextIndentChar">
    <w:name w:val="Body Text Indent Char"/>
    <w:link w:val="BodyTextIndent"/>
    <w:rsid w:val="00EA6A48"/>
    <w:rPr>
      <w:sz w:val="24"/>
      <w:szCs w:val="24"/>
    </w:rPr>
  </w:style>
  <w:style w:type="paragraph" w:styleId="BodyText">
    <w:name w:val="Body Text"/>
    <w:basedOn w:val="Normal"/>
    <w:link w:val="BodyTextChar"/>
    <w:rsid w:val="00DC0571"/>
    <w:pPr>
      <w:spacing w:after="120"/>
    </w:pPr>
    <w:rPr>
      <w:rFonts w:ascii="Calibri" w:hAnsi="Calibri" w:cs="Tahoma"/>
    </w:rPr>
  </w:style>
  <w:style w:type="character" w:customStyle="1" w:styleId="BodyTextChar">
    <w:name w:val="Body Text Char"/>
    <w:link w:val="BodyText"/>
    <w:rsid w:val="00DC0571"/>
    <w:rPr>
      <w:rFonts w:ascii="Calibri" w:hAnsi="Calibri" w:cs="Tahoma"/>
      <w:sz w:val="24"/>
      <w:szCs w:val="24"/>
    </w:rPr>
  </w:style>
  <w:style w:type="paragraph" w:styleId="BodyText2">
    <w:name w:val="Body Text 2"/>
    <w:basedOn w:val="Normal"/>
    <w:link w:val="BodyText2Char"/>
    <w:rsid w:val="00B360E5"/>
    <w:pPr>
      <w:spacing w:after="120" w:line="480" w:lineRule="auto"/>
    </w:pPr>
  </w:style>
  <w:style w:type="character" w:customStyle="1" w:styleId="BodyText2Char">
    <w:name w:val="Body Text 2 Char"/>
    <w:link w:val="BodyText2"/>
    <w:rsid w:val="00B360E5"/>
    <w:rPr>
      <w:sz w:val="24"/>
      <w:szCs w:val="24"/>
    </w:rPr>
  </w:style>
  <w:style w:type="paragraph" w:styleId="ListBullet">
    <w:name w:val="List Bullet"/>
    <w:basedOn w:val="Normal"/>
    <w:rsid w:val="00FF3F74"/>
    <w:pPr>
      <w:numPr>
        <w:numId w:val="3"/>
      </w:numPr>
      <w:contextualSpacing/>
    </w:pPr>
  </w:style>
  <w:style w:type="paragraph" w:styleId="ListBullet2">
    <w:name w:val="List Bullet 2"/>
    <w:basedOn w:val="Normal"/>
    <w:rsid w:val="00FF3F74"/>
    <w:pPr>
      <w:numPr>
        <w:numId w:val="4"/>
      </w:numPr>
      <w:contextualSpacing/>
    </w:pPr>
  </w:style>
  <w:style w:type="character" w:styleId="EndnoteReference">
    <w:name w:val="endnote reference"/>
    <w:rsid w:val="00AA41DF"/>
    <w:rPr>
      <w:vertAlign w:val="superscript"/>
    </w:rPr>
  </w:style>
  <w:style w:type="paragraph" w:styleId="EndnoteText">
    <w:name w:val="endnote text"/>
    <w:basedOn w:val="Normal"/>
    <w:link w:val="EndnoteTextChar"/>
    <w:rsid w:val="00AA41DF"/>
    <w:rPr>
      <w:sz w:val="20"/>
      <w:szCs w:val="20"/>
    </w:rPr>
  </w:style>
  <w:style w:type="character" w:customStyle="1" w:styleId="EndnoteTextChar">
    <w:name w:val="Endnote Text Char"/>
    <w:basedOn w:val="DefaultParagraphFont"/>
    <w:link w:val="EndnoteText"/>
    <w:rsid w:val="00AA41DF"/>
  </w:style>
  <w:style w:type="paragraph" w:styleId="NoSpacing">
    <w:name w:val="No Spacing"/>
    <w:link w:val="NoSpacingChar"/>
    <w:uiPriority w:val="1"/>
    <w:qFormat/>
    <w:rsid w:val="00716620"/>
    <w:rPr>
      <w:rFonts w:ascii="Calibri" w:hAnsi="Calibri"/>
      <w:sz w:val="22"/>
      <w:szCs w:val="22"/>
    </w:rPr>
  </w:style>
  <w:style w:type="character" w:customStyle="1" w:styleId="NoSpacingChar">
    <w:name w:val="No Spacing Char"/>
    <w:link w:val="NoSpacing"/>
    <w:uiPriority w:val="1"/>
    <w:rsid w:val="00716620"/>
    <w:rPr>
      <w:rFonts w:ascii="Calibri" w:hAnsi="Calibri"/>
      <w:sz w:val="22"/>
      <w:szCs w:val="22"/>
      <w:lang w:val="en-US" w:eastAsia="en-US" w:bidi="ar-SA"/>
    </w:rPr>
  </w:style>
  <w:style w:type="paragraph" w:styleId="Caption">
    <w:name w:val="caption"/>
    <w:basedOn w:val="Normal"/>
    <w:next w:val="Normal"/>
    <w:unhideWhenUsed/>
    <w:qFormat/>
    <w:rsid w:val="002E11DD"/>
    <w:rPr>
      <w:b/>
      <w:bCs/>
      <w:sz w:val="20"/>
      <w:szCs w:val="20"/>
    </w:rPr>
  </w:style>
  <w:style w:type="paragraph" w:styleId="DocumentMap">
    <w:name w:val="Document Map"/>
    <w:basedOn w:val="Normal"/>
    <w:link w:val="DocumentMapChar"/>
    <w:rsid w:val="00CA56B4"/>
    <w:rPr>
      <w:rFonts w:ascii="Tahoma" w:hAnsi="Tahoma" w:cs="Tahoma"/>
      <w:sz w:val="16"/>
      <w:szCs w:val="16"/>
    </w:rPr>
  </w:style>
  <w:style w:type="character" w:customStyle="1" w:styleId="DocumentMapChar">
    <w:name w:val="Document Map Char"/>
    <w:link w:val="DocumentMap"/>
    <w:rsid w:val="00CA56B4"/>
    <w:rPr>
      <w:rFonts w:ascii="Tahoma" w:hAnsi="Tahoma" w:cs="Tahoma"/>
      <w:sz w:val="16"/>
      <w:szCs w:val="16"/>
    </w:rPr>
  </w:style>
  <w:style w:type="character" w:customStyle="1" w:styleId="Heading4Char">
    <w:name w:val="Heading 4 Char"/>
    <w:link w:val="Heading4"/>
    <w:rsid w:val="002E3923"/>
    <w:rPr>
      <w:rFonts w:ascii="Calibri" w:hAnsi="Calibri" w:cs="Arial"/>
      <w:b/>
      <w:bCs/>
      <w:sz w:val="24"/>
      <w:szCs w:val="24"/>
    </w:rPr>
  </w:style>
  <w:style w:type="character" w:customStyle="1" w:styleId="Heading3Char">
    <w:name w:val="Heading 3 Char"/>
    <w:link w:val="Heading3"/>
    <w:rsid w:val="000A359F"/>
    <w:rPr>
      <w:rFonts w:ascii="Arial" w:hAnsi="Arial" w:cs="Arial"/>
      <w:b/>
      <w:i/>
      <w:sz w:val="24"/>
      <w:szCs w:val="24"/>
    </w:rPr>
  </w:style>
  <w:style w:type="paragraph" w:customStyle="1" w:styleId="2ndheading">
    <w:name w:val="2nd heading"/>
    <w:basedOn w:val="Normal"/>
    <w:qFormat/>
    <w:rsid w:val="00AC16AD"/>
    <w:pPr>
      <w:keepNext/>
      <w:keepLines/>
    </w:pPr>
    <w:rPr>
      <w:rFonts w:ascii="Arial Black" w:hAnsi="Arial Black"/>
      <w:sz w:val="22"/>
    </w:rPr>
  </w:style>
  <w:style w:type="paragraph" w:customStyle="1" w:styleId="3rdheading">
    <w:name w:val="3rd heading"/>
    <w:basedOn w:val="Normal"/>
    <w:qFormat/>
    <w:rsid w:val="00AC16AD"/>
    <w:pPr>
      <w:keepNext/>
      <w:keepLines/>
      <w:spacing w:after="120" w:line="320" w:lineRule="exact"/>
    </w:pPr>
    <w:rPr>
      <w:rFonts w:ascii="Novarese Bk BT" w:hAnsi="Novarese Bk BT"/>
      <w:b/>
    </w:rPr>
  </w:style>
  <w:style w:type="character" w:styleId="Hyperlink">
    <w:name w:val="Hyperlink"/>
    <w:rsid w:val="00DC0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83">
      <w:bodyDiv w:val="1"/>
      <w:marLeft w:val="0"/>
      <w:marRight w:val="0"/>
      <w:marTop w:val="0"/>
      <w:marBottom w:val="0"/>
      <w:divBdr>
        <w:top w:val="none" w:sz="0" w:space="0" w:color="auto"/>
        <w:left w:val="none" w:sz="0" w:space="0" w:color="auto"/>
        <w:bottom w:val="none" w:sz="0" w:space="0" w:color="auto"/>
        <w:right w:val="none" w:sz="0" w:space="0" w:color="auto"/>
      </w:divBdr>
    </w:div>
    <w:div w:id="52431325">
      <w:bodyDiv w:val="1"/>
      <w:marLeft w:val="0"/>
      <w:marRight w:val="0"/>
      <w:marTop w:val="0"/>
      <w:marBottom w:val="0"/>
      <w:divBdr>
        <w:top w:val="none" w:sz="0" w:space="0" w:color="auto"/>
        <w:left w:val="none" w:sz="0" w:space="0" w:color="auto"/>
        <w:bottom w:val="none" w:sz="0" w:space="0" w:color="auto"/>
        <w:right w:val="none" w:sz="0" w:space="0" w:color="auto"/>
      </w:divBdr>
    </w:div>
    <w:div w:id="65106470">
      <w:bodyDiv w:val="1"/>
      <w:marLeft w:val="0"/>
      <w:marRight w:val="0"/>
      <w:marTop w:val="0"/>
      <w:marBottom w:val="0"/>
      <w:divBdr>
        <w:top w:val="none" w:sz="0" w:space="0" w:color="auto"/>
        <w:left w:val="none" w:sz="0" w:space="0" w:color="auto"/>
        <w:bottom w:val="none" w:sz="0" w:space="0" w:color="auto"/>
        <w:right w:val="none" w:sz="0" w:space="0" w:color="auto"/>
      </w:divBdr>
    </w:div>
    <w:div w:id="132717931">
      <w:bodyDiv w:val="1"/>
      <w:marLeft w:val="0"/>
      <w:marRight w:val="0"/>
      <w:marTop w:val="0"/>
      <w:marBottom w:val="0"/>
      <w:divBdr>
        <w:top w:val="none" w:sz="0" w:space="0" w:color="auto"/>
        <w:left w:val="none" w:sz="0" w:space="0" w:color="auto"/>
        <w:bottom w:val="none" w:sz="0" w:space="0" w:color="auto"/>
        <w:right w:val="none" w:sz="0" w:space="0" w:color="auto"/>
      </w:divBdr>
    </w:div>
    <w:div w:id="201745794">
      <w:bodyDiv w:val="1"/>
      <w:marLeft w:val="0"/>
      <w:marRight w:val="0"/>
      <w:marTop w:val="0"/>
      <w:marBottom w:val="0"/>
      <w:divBdr>
        <w:top w:val="none" w:sz="0" w:space="0" w:color="auto"/>
        <w:left w:val="none" w:sz="0" w:space="0" w:color="auto"/>
        <w:bottom w:val="none" w:sz="0" w:space="0" w:color="auto"/>
        <w:right w:val="none" w:sz="0" w:space="0" w:color="auto"/>
      </w:divBdr>
    </w:div>
    <w:div w:id="228542013">
      <w:bodyDiv w:val="1"/>
      <w:marLeft w:val="0"/>
      <w:marRight w:val="0"/>
      <w:marTop w:val="0"/>
      <w:marBottom w:val="0"/>
      <w:divBdr>
        <w:top w:val="none" w:sz="0" w:space="0" w:color="auto"/>
        <w:left w:val="none" w:sz="0" w:space="0" w:color="auto"/>
        <w:bottom w:val="none" w:sz="0" w:space="0" w:color="auto"/>
        <w:right w:val="none" w:sz="0" w:space="0" w:color="auto"/>
      </w:divBdr>
    </w:div>
    <w:div w:id="297613130">
      <w:bodyDiv w:val="1"/>
      <w:marLeft w:val="0"/>
      <w:marRight w:val="0"/>
      <w:marTop w:val="0"/>
      <w:marBottom w:val="0"/>
      <w:divBdr>
        <w:top w:val="none" w:sz="0" w:space="0" w:color="auto"/>
        <w:left w:val="none" w:sz="0" w:space="0" w:color="auto"/>
        <w:bottom w:val="none" w:sz="0" w:space="0" w:color="auto"/>
        <w:right w:val="none" w:sz="0" w:space="0" w:color="auto"/>
      </w:divBdr>
    </w:div>
    <w:div w:id="300355128">
      <w:bodyDiv w:val="1"/>
      <w:marLeft w:val="0"/>
      <w:marRight w:val="0"/>
      <w:marTop w:val="0"/>
      <w:marBottom w:val="0"/>
      <w:divBdr>
        <w:top w:val="none" w:sz="0" w:space="0" w:color="auto"/>
        <w:left w:val="none" w:sz="0" w:space="0" w:color="auto"/>
        <w:bottom w:val="none" w:sz="0" w:space="0" w:color="auto"/>
        <w:right w:val="none" w:sz="0" w:space="0" w:color="auto"/>
      </w:divBdr>
    </w:div>
    <w:div w:id="338587092">
      <w:bodyDiv w:val="1"/>
      <w:marLeft w:val="0"/>
      <w:marRight w:val="0"/>
      <w:marTop w:val="0"/>
      <w:marBottom w:val="0"/>
      <w:divBdr>
        <w:top w:val="none" w:sz="0" w:space="0" w:color="auto"/>
        <w:left w:val="none" w:sz="0" w:space="0" w:color="auto"/>
        <w:bottom w:val="none" w:sz="0" w:space="0" w:color="auto"/>
        <w:right w:val="none" w:sz="0" w:space="0" w:color="auto"/>
      </w:divBdr>
    </w:div>
    <w:div w:id="357587015">
      <w:bodyDiv w:val="1"/>
      <w:marLeft w:val="0"/>
      <w:marRight w:val="0"/>
      <w:marTop w:val="0"/>
      <w:marBottom w:val="0"/>
      <w:divBdr>
        <w:top w:val="none" w:sz="0" w:space="0" w:color="auto"/>
        <w:left w:val="none" w:sz="0" w:space="0" w:color="auto"/>
        <w:bottom w:val="none" w:sz="0" w:space="0" w:color="auto"/>
        <w:right w:val="none" w:sz="0" w:space="0" w:color="auto"/>
      </w:divBdr>
    </w:div>
    <w:div w:id="360402850">
      <w:bodyDiv w:val="1"/>
      <w:marLeft w:val="0"/>
      <w:marRight w:val="0"/>
      <w:marTop w:val="0"/>
      <w:marBottom w:val="0"/>
      <w:divBdr>
        <w:top w:val="none" w:sz="0" w:space="0" w:color="auto"/>
        <w:left w:val="none" w:sz="0" w:space="0" w:color="auto"/>
        <w:bottom w:val="none" w:sz="0" w:space="0" w:color="auto"/>
        <w:right w:val="none" w:sz="0" w:space="0" w:color="auto"/>
      </w:divBdr>
    </w:div>
    <w:div w:id="370035727">
      <w:bodyDiv w:val="1"/>
      <w:marLeft w:val="0"/>
      <w:marRight w:val="0"/>
      <w:marTop w:val="0"/>
      <w:marBottom w:val="0"/>
      <w:divBdr>
        <w:top w:val="none" w:sz="0" w:space="0" w:color="auto"/>
        <w:left w:val="none" w:sz="0" w:space="0" w:color="auto"/>
        <w:bottom w:val="none" w:sz="0" w:space="0" w:color="auto"/>
        <w:right w:val="none" w:sz="0" w:space="0" w:color="auto"/>
      </w:divBdr>
    </w:div>
    <w:div w:id="391536825">
      <w:bodyDiv w:val="1"/>
      <w:marLeft w:val="0"/>
      <w:marRight w:val="0"/>
      <w:marTop w:val="0"/>
      <w:marBottom w:val="0"/>
      <w:divBdr>
        <w:top w:val="none" w:sz="0" w:space="0" w:color="auto"/>
        <w:left w:val="none" w:sz="0" w:space="0" w:color="auto"/>
        <w:bottom w:val="none" w:sz="0" w:space="0" w:color="auto"/>
        <w:right w:val="none" w:sz="0" w:space="0" w:color="auto"/>
      </w:divBdr>
    </w:div>
    <w:div w:id="448282623">
      <w:bodyDiv w:val="1"/>
      <w:marLeft w:val="0"/>
      <w:marRight w:val="0"/>
      <w:marTop w:val="0"/>
      <w:marBottom w:val="0"/>
      <w:divBdr>
        <w:top w:val="none" w:sz="0" w:space="0" w:color="auto"/>
        <w:left w:val="none" w:sz="0" w:space="0" w:color="auto"/>
        <w:bottom w:val="none" w:sz="0" w:space="0" w:color="auto"/>
        <w:right w:val="none" w:sz="0" w:space="0" w:color="auto"/>
      </w:divBdr>
    </w:div>
    <w:div w:id="468278929">
      <w:bodyDiv w:val="1"/>
      <w:marLeft w:val="0"/>
      <w:marRight w:val="0"/>
      <w:marTop w:val="0"/>
      <w:marBottom w:val="0"/>
      <w:divBdr>
        <w:top w:val="none" w:sz="0" w:space="0" w:color="auto"/>
        <w:left w:val="none" w:sz="0" w:space="0" w:color="auto"/>
        <w:bottom w:val="none" w:sz="0" w:space="0" w:color="auto"/>
        <w:right w:val="none" w:sz="0" w:space="0" w:color="auto"/>
      </w:divBdr>
    </w:div>
    <w:div w:id="520168146">
      <w:bodyDiv w:val="1"/>
      <w:marLeft w:val="0"/>
      <w:marRight w:val="0"/>
      <w:marTop w:val="0"/>
      <w:marBottom w:val="0"/>
      <w:divBdr>
        <w:top w:val="none" w:sz="0" w:space="0" w:color="auto"/>
        <w:left w:val="none" w:sz="0" w:space="0" w:color="auto"/>
        <w:bottom w:val="none" w:sz="0" w:space="0" w:color="auto"/>
        <w:right w:val="none" w:sz="0" w:space="0" w:color="auto"/>
      </w:divBdr>
    </w:div>
    <w:div w:id="566306568">
      <w:bodyDiv w:val="1"/>
      <w:marLeft w:val="0"/>
      <w:marRight w:val="0"/>
      <w:marTop w:val="0"/>
      <w:marBottom w:val="0"/>
      <w:divBdr>
        <w:top w:val="none" w:sz="0" w:space="0" w:color="auto"/>
        <w:left w:val="none" w:sz="0" w:space="0" w:color="auto"/>
        <w:bottom w:val="none" w:sz="0" w:space="0" w:color="auto"/>
        <w:right w:val="none" w:sz="0" w:space="0" w:color="auto"/>
      </w:divBdr>
    </w:div>
    <w:div w:id="656344833">
      <w:bodyDiv w:val="1"/>
      <w:marLeft w:val="0"/>
      <w:marRight w:val="0"/>
      <w:marTop w:val="0"/>
      <w:marBottom w:val="0"/>
      <w:divBdr>
        <w:top w:val="none" w:sz="0" w:space="0" w:color="auto"/>
        <w:left w:val="none" w:sz="0" w:space="0" w:color="auto"/>
        <w:bottom w:val="none" w:sz="0" w:space="0" w:color="auto"/>
        <w:right w:val="none" w:sz="0" w:space="0" w:color="auto"/>
      </w:divBdr>
    </w:div>
    <w:div w:id="687486736">
      <w:bodyDiv w:val="1"/>
      <w:marLeft w:val="0"/>
      <w:marRight w:val="0"/>
      <w:marTop w:val="0"/>
      <w:marBottom w:val="0"/>
      <w:divBdr>
        <w:top w:val="none" w:sz="0" w:space="0" w:color="auto"/>
        <w:left w:val="none" w:sz="0" w:space="0" w:color="auto"/>
        <w:bottom w:val="none" w:sz="0" w:space="0" w:color="auto"/>
        <w:right w:val="none" w:sz="0" w:space="0" w:color="auto"/>
      </w:divBdr>
    </w:div>
    <w:div w:id="713506104">
      <w:bodyDiv w:val="1"/>
      <w:marLeft w:val="0"/>
      <w:marRight w:val="0"/>
      <w:marTop w:val="0"/>
      <w:marBottom w:val="0"/>
      <w:divBdr>
        <w:top w:val="none" w:sz="0" w:space="0" w:color="auto"/>
        <w:left w:val="none" w:sz="0" w:space="0" w:color="auto"/>
        <w:bottom w:val="none" w:sz="0" w:space="0" w:color="auto"/>
        <w:right w:val="none" w:sz="0" w:space="0" w:color="auto"/>
      </w:divBdr>
    </w:div>
    <w:div w:id="781190598">
      <w:bodyDiv w:val="1"/>
      <w:marLeft w:val="0"/>
      <w:marRight w:val="0"/>
      <w:marTop w:val="0"/>
      <w:marBottom w:val="0"/>
      <w:divBdr>
        <w:top w:val="none" w:sz="0" w:space="0" w:color="auto"/>
        <w:left w:val="none" w:sz="0" w:space="0" w:color="auto"/>
        <w:bottom w:val="none" w:sz="0" w:space="0" w:color="auto"/>
        <w:right w:val="none" w:sz="0" w:space="0" w:color="auto"/>
      </w:divBdr>
    </w:div>
    <w:div w:id="814295062">
      <w:bodyDiv w:val="1"/>
      <w:marLeft w:val="0"/>
      <w:marRight w:val="0"/>
      <w:marTop w:val="0"/>
      <w:marBottom w:val="0"/>
      <w:divBdr>
        <w:top w:val="none" w:sz="0" w:space="0" w:color="auto"/>
        <w:left w:val="none" w:sz="0" w:space="0" w:color="auto"/>
        <w:bottom w:val="none" w:sz="0" w:space="0" w:color="auto"/>
        <w:right w:val="none" w:sz="0" w:space="0" w:color="auto"/>
      </w:divBdr>
    </w:div>
    <w:div w:id="829172007">
      <w:bodyDiv w:val="1"/>
      <w:marLeft w:val="0"/>
      <w:marRight w:val="0"/>
      <w:marTop w:val="0"/>
      <w:marBottom w:val="0"/>
      <w:divBdr>
        <w:top w:val="none" w:sz="0" w:space="0" w:color="auto"/>
        <w:left w:val="none" w:sz="0" w:space="0" w:color="auto"/>
        <w:bottom w:val="none" w:sz="0" w:space="0" w:color="auto"/>
        <w:right w:val="none" w:sz="0" w:space="0" w:color="auto"/>
      </w:divBdr>
    </w:div>
    <w:div w:id="850877829">
      <w:bodyDiv w:val="1"/>
      <w:marLeft w:val="0"/>
      <w:marRight w:val="0"/>
      <w:marTop w:val="0"/>
      <w:marBottom w:val="0"/>
      <w:divBdr>
        <w:top w:val="none" w:sz="0" w:space="0" w:color="auto"/>
        <w:left w:val="none" w:sz="0" w:space="0" w:color="auto"/>
        <w:bottom w:val="none" w:sz="0" w:space="0" w:color="auto"/>
        <w:right w:val="none" w:sz="0" w:space="0" w:color="auto"/>
      </w:divBdr>
    </w:div>
    <w:div w:id="852185432">
      <w:bodyDiv w:val="1"/>
      <w:marLeft w:val="0"/>
      <w:marRight w:val="0"/>
      <w:marTop w:val="0"/>
      <w:marBottom w:val="0"/>
      <w:divBdr>
        <w:top w:val="none" w:sz="0" w:space="0" w:color="auto"/>
        <w:left w:val="none" w:sz="0" w:space="0" w:color="auto"/>
        <w:bottom w:val="none" w:sz="0" w:space="0" w:color="auto"/>
        <w:right w:val="none" w:sz="0" w:space="0" w:color="auto"/>
      </w:divBdr>
    </w:div>
    <w:div w:id="932399421">
      <w:bodyDiv w:val="1"/>
      <w:marLeft w:val="0"/>
      <w:marRight w:val="0"/>
      <w:marTop w:val="0"/>
      <w:marBottom w:val="0"/>
      <w:divBdr>
        <w:top w:val="none" w:sz="0" w:space="0" w:color="auto"/>
        <w:left w:val="none" w:sz="0" w:space="0" w:color="auto"/>
        <w:bottom w:val="none" w:sz="0" w:space="0" w:color="auto"/>
        <w:right w:val="none" w:sz="0" w:space="0" w:color="auto"/>
      </w:divBdr>
    </w:div>
    <w:div w:id="935140822">
      <w:bodyDiv w:val="1"/>
      <w:marLeft w:val="0"/>
      <w:marRight w:val="0"/>
      <w:marTop w:val="0"/>
      <w:marBottom w:val="0"/>
      <w:divBdr>
        <w:top w:val="none" w:sz="0" w:space="0" w:color="auto"/>
        <w:left w:val="none" w:sz="0" w:space="0" w:color="auto"/>
        <w:bottom w:val="none" w:sz="0" w:space="0" w:color="auto"/>
        <w:right w:val="none" w:sz="0" w:space="0" w:color="auto"/>
      </w:divBdr>
    </w:div>
    <w:div w:id="977995183">
      <w:bodyDiv w:val="1"/>
      <w:marLeft w:val="0"/>
      <w:marRight w:val="0"/>
      <w:marTop w:val="0"/>
      <w:marBottom w:val="0"/>
      <w:divBdr>
        <w:top w:val="none" w:sz="0" w:space="0" w:color="auto"/>
        <w:left w:val="none" w:sz="0" w:space="0" w:color="auto"/>
        <w:bottom w:val="none" w:sz="0" w:space="0" w:color="auto"/>
        <w:right w:val="none" w:sz="0" w:space="0" w:color="auto"/>
      </w:divBdr>
    </w:div>
    <w:div w:id="1122924432">
      <w:bodyDiv w:val="1"/>
      <w:marLeft w:val="0"/>
      <w:marRight w:val="0"/>
      <w:marTop w:val="0"/>
      <w:marBottom w:val="0"/>
      <w:divBdr>
        <w:top w:val="none" w:sz="0" w:space="0" w:color="auto"/>
        <w:left w:val="none" w:sz="0" w:space="0" w:color="auto"/>
        <w:bottom w:val="none" w:sz="0" w:space="0" w:color="auto"/>
        <w:right w:val="none" w:sz="0" w:space="0" w:color="auto"/>
      </w:divBdr>
    </w:div>
    <w:div w:id="1252544845">
      <w:bodyDiv w:val="1"/>
      <w:marLeft w:val="0"/>
      <w:marRight w:val="0"/>
      <w:marTop w:val="0"/>
      <w:marBottom w:val="0"/>
      <w:divBdr>
        <w:top w:val="none" w:sz="0" w:space="0" w:color="auto"/>
        <w:left w:val="none" w:sz="0" w:space="0" w:color="auto"/>
        <w:bottom w:val="none" w:sz="0" w:space="0" w:color="auto"/>
        <w:right w:val="none" w:sz="0" w:space="0" w:color="auto"/>
      </w:divBdr>
    </w:div>
    <w:div w:id="1266425924">
      <w:bodyDiv w:val="1"/>
      <w:marLeft w:val="0"/>
      <w:marRight w:val="0"/>
      <w:marTop w:val="0"/>
      <w:marBottom w:val="0"/>
      <w:divBdr>
        <w:top w:val="none" w:sz="0" w:space="0" w:color="auto"/>
        <w:left w:val="none" w:sz="0" w:space="0" w:color="auto"/>
        <w:bottom w:val="none" w:sz="0" w:space="0" w:color="auto"/>
        <w:right w:val="none" w:sz="0" w:space="0" w:color="auto"/>
      </w:divBdr>
    </w:div>
    <w:div w:id="1299261135">
      <w:bodyDiv w:val="1"/>
      <w:marLeft w:val="0"/>
      <w:marRight w:val="0"/>
      <w:marTop w:val="0"/>
      <w:marBottom w:val="0"/>
      <w:divBdr>
        <w:top w:val="none" w:sz="0" w:space="0" w:color="auto"/>
        <w:left w:val="none" w:sz="0" w:space="0" w:color="auto"/>
        <w:bottom w:val="none" w:sz="0" w:space="0" w:color="auto"/>
        <w:right w:val="none" w:sz="0" w:space="0" w:color="auto"/>
      </w:divBdr>
    </w:div>
    <w:div w:id="1445928502">
      <w:bodyDiv w:val="1"/>
      <w:marLeft w:val="0"/>
      <w:marRight w:val="0"/>
      <w:marTop w:val="0"/>
      <w:marBottom w:val="0"/>
      <w:divBdr>
        <w:top w:val="none" w:sz="0" w:space="0" w:color="auto"/>
        <w:left w:val="none" w:sz="0" w:space="0" w:color="auto"/>
        <w:bottom w:val="none" w:sz="0" w:space="0" w:color="auto"/>
        <w:right w:val="none" w:sz="0" w:space="0" w:color="auto"/>
      </w:divBdr>
    </w:div>
    <w:div w:id="1506821454">
      <w:bodyDiv w:val="1"/>
      <w:marLeft w:val="0"/>
      <w:marRight w:val="0"/>
      <w:marTop w:val="0"/>
      <w:marBottom w:val="0"/>
      <w:divBdr>
        <w:top w:val="none" w:sz="0" w:space="0" w:color="auto"/>
        <w:left w:val="none" w:sz="0" w:space="0" w:color="auto"/>
        <w:bottom w:val="none" w:sz="0" w:space="0" w:color="auto"/>
        <w:right w:val="none" w:sz="0" w:space="0" w:color="auto"/>
      </w:divBdr>
    </w:div>
    <w:div w:id="1528836004">
      <w:bodyDiv w:val="1"/>
      <w:marLeft w:val="0"/>
      <w:marRight w:val="0"/>
      <w:marTop w:val="0"/>
      <w:marBottom w:val="0"/>
      <w:divBdr>
        <w:top w:val="none" w:sz="0" w:space="0" w:color="auto"/>
        <w:left w:val="none" w:sz="0" w:space="0" w:color="auto"/>
        <w:bottom w:val="none" w:sz="0" w:space="0" w:color="auto"/>
        <w:right w:val="none" w:sz="0" w:space="0" w:color="auto"/>
      </w:divBdr>
    </w:div>
    <w:div w:id="1546018648">
      <w:bodyDiv w:val="1"/>
      <w:marLeft w:val="0"/>
      <w:marRight w:val="0"/>
      <w:marTop w:val="0"/>
      <w:marBottom w:val="0"/>
      <w:divBdr>
        <w:top w:val="none" w:sz="0" w:space="0" w:color="auto"/>
        <w:left w:val="none" w:sz="0" w:space="0" w:color="auto"/>
        <w:bottom w:val="none" w:sz="0" w:space="0" w:color="auto"/>
        <w:right w:val="none" w:sz="0" w:space="0" w:color="auto"/>
      </w:divBdr>
    </w:div>
    <w:div w:id="1577090407">
      <w:bodyDiv w:val="1"/>
      <w:marLeft w:val="0"/>
      <w:marRight w:val="0"/>
      <w:marTop w:val="0"/>
      <w:marBottom w:val="0"/>
      <w:divBdr>
        <w:top w:val="none" w:sz="0" w:space="0" w:color="auto"/>
        <w:left w:val="none" w:sz="0" w:space="0" w:color="auto"/>
        <w:bottom w:val="none" w:sz="0" w:space="0" w:color="auto"/>
        <w:right w:val="none" w:sz="0" w:space="0" w:color="auto"/>
      </w:divBdr>
    </w:div>
    <w:div w:id="1586453849">
      <w:bodyDiv w:val="1"/>
      <w:marLeft w:val="0"/>
      <w:marRight w:val="0"/>
      <w:marTop w:val="0"/>
      <w:marBottom w:val="0"/>
      <w:divBdr>
        <w:top w:val="none" w:sz="0" w:space="0" w:color="auto"/>
        <w:left w:val="none" w:sz="0" w:space="0" w:color="auto"/>
        <w:bottom w:val="none" w:sz="0" w:space="0" w:color="auto"/>
        <w:right w:val="none" w:sz="0" w:space="0" w:color="auto"/>
      </w:divBdr>
    </w:div>
    <w:div w:id="1591430649">
      <w:bodyDiv w:val="1"/>
      <w:marLeft w:val="0"/>
      <w:marRight w:val="0"/>
      <w:marTop w:val="0"/>
      <w:marBottom w:val="0"/>
      <w:divBdr>
        <w:top w:val="none" w:sz="0" w:space="0" w:color="auto"/>
        <w:left w:val="none" w:sz="0" w:space="0" w:color="auto"/>
        <w:bottom w:val="none" w:sz="0" w:space="0" w:color="auto"/>
        <w:right w:val="none" w:sz="0" w:space="0" w:color="auto"/>
      </w:divBdr>
    </w:div>
    <w:div w:id="1655335000">
      <w:bodyDiv w:val="1"/>
      <w:marLeft w:val="0"/>
      <w:marRight w:val="0"/>
      <w:marTop w:val="0"/>
      <w:marBottom w:val="0"/>
      <w:divBdr>
        <w:top w:val="none" w:sz="0" w:space="0" w:color="auto"/>
        <w:left w:val="none" w:sz="0" w:space="0" w:color="auto"/>
        <w:bottom w:val="none" w:sz="0" w:space="0" w:color="auto"/>
        <w:right w:val="none" w:sz="0" w:space="0" w:color="auto"/>
      </w:divBdr>
    </w:div>
    <w:div w:id="1683893115">
      <w:bodyDiv w:val="1"/>
      <w:marLeft w:val="0"/>
      <w:marRight w:val="0"/>
      <w:marTop w:val="0"/>
      <w:marBottom w:val="0"/>
      <w:divBdr>
        <w:top w:val="none" w:sz="0" w:space="0" w:color="auto"/>
        <w:left w:val="none" w:sz="0" w:space="0" w:color="auto"/>
        <w:bottom w:val="none" w:sz="0" w:space="0" w:color="auto"/>
        <w:right w:val="none" w:sz="0" w:space="0" w:color="auto"/>
      </w:divBdr>
    </w:div>
    <w:div w:id="1685859189">
      <w:bodyDiv w:val="1"/>
      <w:marLeft w:val="0"/>
      <w:marRight w:val="0"/>
      <w:marTop w:val="0"/>
      <w:marBottom w:val="0"/>
      <w:divBdr>
        <w:top w:val="none" w:sz="0" w:space="0" w:color="auto"/>
        <w:left w:val="none" w:sz="0" w:space="0" w:color="auto"/>
        <w:bottom w:val="none" w:sz="0" w:space="0" w:color="auto"/>
        <w:right w:val="none" w:sz="0" w:space="0" w:color="auto"/>
      </w:divBdr>
    </w:div>
    <w:div w:id="1735424546">
      <w:bodyDiv w:val="1"/>
      <w:marLeft w:val="0"/>
      <w:marRight w:val="0"/>
      <w:marTop w:val="0"/>
      <w:marBottom w:val="0"/>
      <w:divBdr>
        <w:top w:val="none" w:sz="0" w:space="0" w:color="auto"/>
        <w:left w:val="none" w:sz="0" w:space="0" w:color="auto"/>
        <w:bottom w:val="none" w:sz="0" w:space="0" w:color="auto"/>
        <w:right w:val="none" w:sz="0" w:space="0" w:color="auto"/>
      </w:divBdr>
    </w:div>
    <w:div w:id="1770393557">
      <w:bodyDiv w:val="1"/>
      <w:marLeft w:val="0"/>
      <w:marRight w:val="0"/>
      <w:marTop w:val="0"/>
      <w:marBottom w:val="0"/>
      <w:divBdr>
        <w:top w:val="none" w:sz="0" w:space="0" w:color="auto"/>
        <w:left w:val="none" w:sz="0" w:space="0" w:color="auto"/>
        <w:bottom w:val="none" w:sz="0" w:space="0" w:color="auto"/>
        <w:right w:val="none" w:sz="0" w:space="0" w:color="auto"/>
      </w:divBdr>
    </w:div>
    <w:div w:id="1797719739">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
    <w:div w:id="1828474607">
      <w:bodyDiv w:val="1"/>
      <w:marLeft w:val="0"/>
      <w:marRight w:val="0"/>
      <w:marTop w:val="0"/>
      <w:marBottom w:val="0"/>
      <w:divBdr>
        <w:top w:val="none" w:sz="0" w:space="0" w:color="auto"/>
        <w:left w:val="none" w:sz="0" w:space="0" w:color="auto"/>
        <w:bottom w:val="none" w:sz="0" w:space="0" w:color="auto"/>
        <w:right w:val="none" w:sz="0" w:space="0" w:color="auto"/>
      </w:divBdr>
    </w:div>
    <w:div w:id="1833790994">
      <w:bodyDiv w:val="1"/>
      <w:marLeft w:val="0"/>
      <w:marRight w:val="0"/>
      <w:marTop w:val="0"/>
      <w:marBottom w:val="0"/>
      <w:divBdr>
        <w:top w:val="none" w:sz="0" w:space="0" w:color="auto"/>
        <w:left w:val="none" w:sz="0" w:space="0" w:color="auto"/>
        <w:bottom w:val="none" w:sz="0" w:space="0" w:color="auto"/>
        <w:right w:val="none" w:sz="0" w:space="0" w:color="auto"/>
      </w:divBdr>
    </w:div>
    <w:div w:id="1836530944">
      <w:bodyDiv w:val="1"/>
      <w:marLeft w:val="0"/>
      <w:marRight w:val="0"/>
      <w:marTop w:val="0"/>
      <w:marBottom w:val="0"/>
      <w:divBdr>
        <w:top w:val="none" w:sz="0" w:space="0" w:color="auto"/>
        <w:left w:val="none" w:sz="0" w:space="0" w:color="auto"/>
        <w:bottom w:val="none" w:sz="0" w:space="0" w:color="auto"/>
        <w:right w:val="none" w:sz="0" w:space="0" w:color="auto"/>
      </w:divBdr>
    </w:div>
    <w:div w:id="1925987986">
      <w:bodyDiv w:val="1"/>
      <w:marLeft w:val="0"/>
      <w:marRight w:val="0"/>
      <w:marTop w:val="0"/>
      <w:marBottom w:val="0"/>
      <w:divBdr>
        <w:top w:val="none" w:sz="0" w:space="0" w:color="auto"/>
        <w:left w:val="none" w:sz="0" w:space="0" w:color="auto"/>
        <w:bottom w:val="none" w:sz="0" w:space="0" w:color="auto"/>
        <w:right w:val="none" w:sz="0" w:space="0" w:color="auto"/>
      </w:divBdr>
    </w:div>
    <w:div w:id="1966807407">
      <w:bodyDiv w:val="1"/>
      <w:marLeft w:val="0"/>
      <w:marRight w:val="0"/>
      <w:marTop w:val="0"/>
      <w:marBottom w:val="0"/>
      <w:divBdr>
        <w:top w:val="none" w:sz="0" w:space="0" w:color="auto"/>
        <w:left w:val="none" w:sz="0" w:space="0" w:color="auto"/>
        <w:bottom w:val="none" w:sz="0" w:space="0" w:color="auto"/>
        <w:right w:val="none" w:sz="0" w:space="0" w:color="auto"/>
      </w:divBdr>
    </w:div>
    <w:div w:id="2005666493">
      <w:bodyDiv w:val="1"/>
      <w:marLeft w:val="0"/>
      <w:marRight w:val="0"/>
      <w:marTop w:val="0"/>
      <w:marBottom w:val="0"/>
      <w:divBdr>
        <w:top w:val="none" w:sz="0" w:space="0" w:color="auto"/>
        <w:left w:val="none" w:sz="0" w:space="0" w:color="auto"/>
        <w:bottom w:val="none" w:sz="0" w:space="0" w:color="auto"/>
        <w:right w:val="none" w:sz="0" w:space="0" w:color="auto"/>
      </w:divBdr>
    </w:div>
    <w:div w:id="2024278587">
      <w:bodyDiv w:val="1"/>
      <w:marLeft w:val="0"/>
      <w:marRight w:val="0"/>
      <w:marTop w:val="0"/>
      <w:marBottom w:val="0"/>
      <w:divBdr>
        <w:top w:val="none" w:sz="0" w:space="0" w:color="auto"/>
        <w:left w:val="none" w:sz="0" w:space="0" w:color="auto"/>
        <w:bottom w:val="none" w:sz="0" w:space="0" w:color="auto"/>
        <w:right w:val="none" w:sz="0" w:space="0" w:color="auto"/>
      </w:divBdr>
    </w:div>
    <w:div w:id="2042321709">
      <w:bodyDiv w:val="1"/>
      <w:marLeft w:val="0"/>
      <w:marRight w:val="0"/>
      <w:marTop w:val="0"/>
      <w:marBottom w:val="0"/>
      <w:divBdr>
        <w:top w:val="none" w:sz="0" w:space="0" w:color="auto"/>
        <w:left w:val="none" w:sz="0" w:space="0" w:color="auto"/>
        <w:bottom w:val="none" w:sz="0" w:space="0" w:color="auto"/>
        <w:right w:val="none" w:sz="0" w:space="0" w:color="auto"/>
      </w:divBdr>
    </w:div>
    <w:div w:id="2046905392">
      <w:bodyDiv w:val="1"/>
      <w:marLeft w:val="0"/>
      <w:marRight w:val="0"/>
      <w:marTop w:val="0"/>
      <w:marBottom w:val="0"/>
      <w:divBdr>
        <w:top w:val="none" w:sz="0" w:space="0" w:color="auto"/>
        <w:left w:val="none" w:sz="0" w:space="0" w:color="auto"/>
        <w:bottom w:val="none" w:sz="0" w:space="0" w:color="auto"/>
        <w:right w:val="none" w:sz="0" w:space="0" w:color="auto"/>
      </w:divBdr>
    </w:div>
    <w:div w:id="2089813533">
      <w:bodyDiv w:val="1"/>
      <w:marLeft w:val="0"/>
      <w:marRight w:val="0"/>
      <w:marTop w:val="0"/>
      <w:marBottom w:val="0"/>
      <w:divBdr>
        <w:top w:val="none" w:sz="0" w:space="0" w:color="auto"/>
        <w:left w:val="none" w:sz="0" w:space="0" w:color="auto"/>
        <w:bottom w:val="none" w:sz="0" w:space="0" w:color="auto"/>
        <w:right w:val="none" w:sz="0" w:space="0" w:color="auto"/>
      </w:divBdr>
    </w:div>
    <w:div w:id="2092702224">
      <w:bodyDiv w:val="1"/>
      <w:marLeft w:val="0"/>
      <w:marRight w:val="0"/>
      <w:marTop w:val="0"/>
      <w:marBottom w:val="0"/>
      <w:divBdr>
        <w:top w:val="none" w:sz="0" w:space="0" w:color="auto"/>
        <w:left w:val="none" w:sz="0" w:space="0" w:color="auto"/>
        <w:bottom w:val="none" w:sz="0" w:space="0" w:color="auto"/>
        <w:right w:val="none" w:sz="0" w:space="0" w:color="auto"/>
      </w:divBdr>
    </w:div>
    <w:div w:id="21143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aine.gov/labor/cwr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CWRI%20website\CWRI\publications\Word\Template_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9C44-2C77-4C59-BF72-3F0CC560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Template_Brief</Template>
  <TotalTime>25</TotalTime>
  <Pages>13</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Additional Data on Unemployment Insurance Claims in the</vt:lpstr>
    </vt:vector>
  </TitlesOfParts>
  <Company>Department of Labor</Company>
  <LinksUpToDate>false</LinksUpToDate>
  <CharactersWithSpaces>20460</CharactersWithSpaces>
  <SharedDoc>false</SharedDoc>
  <HLinks>
    <vt:vector size="6" baseType="variant">
      <vt:variant>
        <vt:i4>3539047</vt:i4>
      </vt:variant>
      <vt:variant>
        <vt:i4>0</vt:i4>
      </vt:variant>
      <vt:variant>
        <vt:i4>0</vt:i4>
      </vt:variant>
      <vt:variant>
        <vt:i4>5</vt:i4>
      </vt:variant>
      <vt:variant>
        <vt:lpwstr>http://www.maine.gov/labor/cwri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Data on Unemployment Insurance Claims in the</dc:title>
  <dc:subject/>
  <dc:creator>State of Maine</dc:creator>
  <cp:keywords/>
  <cp:lastModifiedBy>State of Maine</cp:lastModifiedBy>
  <cp:revision>9</cp:revision>
  <cp:lastPrinted>2013-05-21T12:29:00Z</cp:lastPrinted>
  <dcterms:created xsi:type="dcterms:W3CDTF">2013-05-13T14:27:00Z</dcterms:created>
  <dcterms:modified xsi:type="dcterms:W3CDTF">2014-05-19T15:07:00Z</dcterms:modified>
</cp:coreProperties>
</file>