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993" w:rsidRPr="00632FB0" w:rsidRDefault="00252A69" w:rsidP="00632FB0">
      <w:pPr>
        <w:pStyle w:val="Title"/>
      </w:pPr>
      <w:r w:rsidRPr="00632FB0">
        <w:t>E</w:t>
      </w:r>
      <w:r w:rsidR="00DD2993" w:rsidRPr="00632FB0">
        <w:t>mployment outc</w:t>
      </w:r>
      <w:bookmarkStart w:id="0" w:name="_GoBack"/>
      <w:bookmarkEnd w:id="0"/>
      <w:r w:rsidR="00DD2993" w:rsidRPr="00632FB0">
        <w:t>omes for Maine’s public post-secondary graduates</w:t>
      </w:r>
    </w:p>
    <w:p w:rsidR="00DD2993" w:rsidRPr="00DD2993" w:rsidRDefault="00DD2993" w:rsidP="00E66D89">
      <w:pPr>
        <w:spacing w:before="5400" w:line="276" w:lineRule="auto"/>
        <w:rPr>
          <w:i/>
          <w:sz w:val="22"/>
        </w:rPr>
      </w:pPr>
      <w:r w:rsidRPr="00DD2993">
        <w:rPr>
          <w:i/>
          <w:sz w:val="22"/>
        </w:rPr>
        <w:t>A publication of:</w:t>
      </w:r>
    </w:p>
    <w:p w:rsidR="00DD2993" w:rsidRDefault="00DD2993" w:rsidP="00DD2993">
      <w:r>
        <w:rPr>
          <w:noProof/>
        </w:rPr>
        <w:drawing>
          <wp:inline distT="0" distB="0" distL="0" distR="0" wp14:anchorId="5AE79E73" wp14:editId="02B69519">
            <wp:extent cx="1298952"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283" cy="1071179"/>
                    </a:xfrm>
                    <a:prstGeom prst="rect">
                      <a:avLst/>
                    </a:prstGeom>
                    <a:noFill/>
                    <a:ln>
                      <a:noFill/>
                    </a:ln>
                  </pic:spPr>
                </pic:pic>
              </a:graphicData>
            </a:graphic>
          </wp:inline>
        </w:drawing>
      </w:r>
    </w:p>
    <w:p w:rsidR="00DD2993" w:rsidRDefault="00DD2993" w:rsidP="00B42F49">
      <w:pPr>
        <w:spacing w:line="276" w:lineRule="auto"/>
      </w:pPr>
    </w:p>
    <w:p w:rsidR="00DD2993" w:rsidRPr="00DD2993" w:rsidRDefault="00DD2993" w:rsidP="00B42F49">
      <w:pPr>
        <w:spacing w:line="276" w:lineRule="auto"/>
        <w:rPr>
          <w:i/>
          <w:sz w:val="22"/>
          <w:szCs w:val="22"/>
        </w:rPr>
      </w:pPr>
      <w:r w:rsidRPr="00DD2993">
        <w:rPr>
          <w:i/>
          <w:sz w:val="22"/>
          <w:szCs w:val="22"/>
        </w:rPr>
        <w:t xml:space="preserve">Prepared by: </w:t>
      </w:r>
    </w:p>
    <w:p w:rsidR="00DD2993" w:rsidRPr="00DD2993" w:rsidRDefault="00DD2993" w:rsidP="00DD2993">
      <w:pPr>
        <w:pStyle w:val="NoSpacing"/>
        <w:rPr>
          <w:rFonts w:ascii="Tw Cen MT" w:hAnsi="Tw Cen MT"/>
          <w:i/>
        </w:rPr>
      </w:pPr>
      <w:r w:rsidRPr="00DD2993">
        <w:rPr>
          <w:rFonts w:ascii="Tw Cen MT" w:hAnsi="Tw Cen MT"/>
          <w:i/>
        </w:rPr>
        <w:t>Paul Leparulo, CFA</w:t>
      </w:r>
    </w:p>
    <w:p w:rsidR="00DD2993" w:rsidRPr="00DD2993" w:rsidRDefault="00DD2993" w:rsidP="00DD2993">
      <w:pPr>
        <w:pStyle w:val="NoSpacing"/>
        <w:rPr>
          <w:rFonts w:ascii="Tw Cen MT" w:hAnsi="Tw Cen MT"/>
          <w:i/>
        </w:rPr>
      </w:pPr>
      <w:r w:rsidRPr="00DD2993">
        <w:rPr>
          <w:rFonts w:ascii="Tw Cen MT" w:hAnsi="Tw Cen MT"/>
          <w:i/>
        </w:rPr>
        <w:t>Principal Economic Research Analyst</w:t>
      </w:r>
    </w:p>
    <w:p w:rsidR="00DD2993" w:rsidRDefault="00DD2993" w:rsidP="00DD2993">
      <w:pPr>
        <w:pStyle w:val="NoSpacing"/>
        <w:rPr>
          <w:i/>
        </w:rPr>
      </w:pPr>
    </w:p>
    <w:p w:rsidR="00DD2993" w:rsidRDefault="00DD2993" w:rsidP="00DD2993">
      <w:pPr>
        <w:pStyle w:val="NoSpacing"/>
        <w:rPr>
          <w:i/>
        </w:rPr>
      </w:pPr>
    </w:p>
    <w:p w:rsidR="00DD2993" w:rsidRDefault="00DD2993" w:rsidP="00DD2993">
      <w:pPr>
        <w:pStyle w:val="NoSpacing"/>
        <w:rPr>
          <w:rFonts w:ascii="Tw Cen MT" w:hAnsi="Tw Cen MT"/>
          <w:sz w:val="24"/>
        </w:rPr>
      </w:pPr>
      <w:r w:rsidRPr="00DD2993">
        <w:rPr>
          <w:rFonts w:ascii="Tw Cen MT" w:hAnsi="Tw Cen MT"/>
          <w:sz w:val="24"/>
        </w:rPr>
        <w:t>Issued October 22, 2014</w:t>
      </w:r>
    </w:p>
    <w:p w:rsidR="00012CCC" w:rsidRDefault="00012CCC" w:rsidP="00B42F49">
      <w:pPr>
        <w:spacing w:line="276" w:lineRule="auto"/>
        <w:rPr>
          <w:sz w:val="22"/>
        </w:rPr>
        <w:sectPr w:rsidR="00012CCC" w:rsidSect="004D5127">
          <w:footerReference w:type="default" r:id="rId10"/>
          <w:type w:val="continuous"/>
          <w:pgSz w:w="12240" w:h="15840" w:code="1"/>
          <w:pgMar w:top="1008" w:right="1080" w:bottom="720" w:left="1080" w:header="720" w:footer="720" w:gutter="0"/>
          <w:cols w:space="720"/>
          <w:docGrid w:linePitch="360"/>
        </w:sectPr>
      </w:pPr>
    </w:p>
    <w:p w:rsidR="00DD2993" w:rsidRPr="00252A69" w:rsidRDefault="00252A69" w:rsidP="00E66D89">
      <w:pPr>
        <w:spacing w:before="12840" w:line="276" w:lineRule="auto"/>
        <w:rPr>
          <w:sz w:val="22"/>
        </w:rPr>
      </w:pPr>
      <w:r>
        <w:rPr>
          <w:sz w:val="22"/>
        </w:rPr>
        <w:lastRenderedPageBreak/>
        <w:t>The data in this publication is in the public domain and may, with appropriate credit to the Maine Department of Labor, be reproduced without permission. The Maine Department of Labor provides equal opportunity in emplo</w:t>
      </w:r>
      <w:r>
        <w:rPr>
          <w:sz w:val="22"/>
        </w:rPr>
        <w:t>y</w:t>
      </w:r>
      <w:r>
        <w:rPr>
          <w:sz w:val="22"/>
        </w:rPr>
        <w:t xml:space="preserve">ment and programs. Auxiliary aids and services are available to individuals with disabilities upon request. </w:t>
      </w:r>
    </w:p>
    <w:p w:rsidR="00DD2993" w:rsidRPr="003421EE" w:rsidRDefault="003421EE" w:rsidP="003421EE">
      <w:pPr>
        <w:spacing w:line="276" w:lineRule="auto"/>
        <w:jc w:val="center"/>
        <w:rPr>
          <w:sz w:val="22"/>
        </w:rPr>
      </w:pPr>
      <w:r w:rsidRPr="003421EE">
        <w:rPr>
          <w:sz w:val="22"/>
        </w:rPr>
        <w:t>Telephone: (207) 623-7900</w:t>
      </w:r>
      <w:r w:rsidRPr="003421EE">
        <w:rPr>
          <w:sz w:val="22"/>
        </w:rPr>
        <w:tab/>
        <w:t>TTY 1-800-794-1100</w:t>
      </w:r>
      <w:r w:rsidRPr="003421EE">
        <w:rPr>
          <w:sz w:val="22"/>
        </w:rPr>
        <w:tab/>
        <w:t>FAX: (207) 287-2947</w:t>
      </w:r>
    </w:p>
    <w:p w:rsidR="00012CCC" w:rsidRDefault="00012CCC" w:rsidP="00012CCC">
      <w:pPr>
        <w:pStyle w:val="Heading1"/>
        <w:sectPr w:rsidR="00012CCC" w:rsidSect="00012CCC">
          <w:pgSz w:w="12240" w:h="15840" w:code="1"/>
          <w:pgMar w:top="1008" w:right="1080" w:bottom="720" w:left="1080" w:header="720" w:footer="720" w:gutter="0"/>
          <w:cols w:space="720"/>
          <w:docGrid w:linePitch="360"/>
        </w:sectPr>
      </w:pPr>
    </w:p>
    <w:p w:rsidR="00252A69" w:rsidRDefault="00252A69" w:rsidP="00012CCC">
      <w:pPr>
        <w:pStyle w:val="Heading1"/>
      </w:pPr>
      <w:r>
        <w:lastRenderedPageBreak/>
        <w:t xml:space="preserve">Wage and </w:t>
      </w:r>
      <w:r w:rsidR="003421EE">
        <w:t>e</w:t>
      </w:r>
      <w:r w:rsidRPr="00DD2993">
        <w:t>mployment outcomes for Maine’s public post-secondary graduates</w:t>
      </w:r>
    </w:p>
    <w:p w:rsidR="00B42F49" w:rsidRDefault="00F46F34" w:rsidP="00B42F49">
      <w:pPr>
        <w:spacing w:line="276" w:lineRule="auto"/>
      </w:pPr>
      <w:r w:rsidRPr="00F46F34">
        <w:t>The Maine Department of Labor’s (MDOL) Center for Workforce Res</w:t>
      </w:r>
      <w:r w:rsidR="006E639C">
        <w:t>earch and Information (CWRI) r</w:t>
      </w:r>
      <w:r w:rsidR="006E639C">
        <w:t>e</w:t>
      </w:r>
      <w:r w:rsidRPr="00F46F34">
        <w:t>cently unveiled a new data system that measures the wage and employment outcomes</w:t>
      </w:r>
      <w:r w:rsidR="006E639C">
        <w:t xml:space="preserve"> of college grad</w:t>
      </w:r>
      <w:r w:rsidR="006E639C">
        <w:t>u</w:t>
      </w:r>
      <w:r w:rsidRPr="00F46F34">
        <w:t xml:space="preserve">ates. The system links the records of University of Maine System (UMS) </w:t>
      </w:r>
      <w:r w:rsidR="006E639C">
        <w:t>and Maine community college st</w:t>
      </w:r>
      <w:r w:rsidR="006E639C">
        <w:t>u</w:t>
      </w:r>
      <w:r w:rsidRPr="00F46F34">
        <w:t>dents with their corresponding unemployment insurance wage records available at MDOL. Bringing these sets of data together improves our ability to answer important questions regarding the extent to which new graduates find jobs in Maine, and what are they paid.</w:t>
      </w:r>
    </w:p>
    <w:p w:rsidR="00C5666E" w:rsidRPr="0056334A" w:rsidRDefault="00C5666E" w:rsidP="00B42F49">
      <w:pPr>
        <w:spacing w:line="276" w:lineRule="auto"/>
        <w:rPr>
          <w:color w:val="FF0000"/>
        </w:rPr>
      </w:pPr>
      <w:r>
        <w:t xml:space="preserve">The outputs shed </w:t>
      </w:r>
      <w:r w:rsidR="00FD7400">
        <w:t xml:space="preserve">new </w:t>
      </w:r>
      <w:r>
        <w:t>light on what happens to students as they leave school and progress through the work</w:t>
      </w:r>
      <w:r w:rsidR="0056334A">
        <w:t xml:space="preserve">force. </w:t>
      </w:r>
      <w:r w:rsidRPr="00A13558">
        <w:t>We’re learning that a majority of the graduates stayed in Maine and found employ</w:t>
      </w:r>
      <w:r w:rsidR="00686612">
        <w:t>ment,</w:t>
      </w:r>
      <w:r w:rsidRPr="00A13558">
        <w:t xml:space="preserve"> </w:t>
      </w:r>
      <w:r w:rsidR="001E6996">
        <w:t xml:space="preserve">that </w:t>
      </w:r>
      <w:r w:rsidR="00A13558" w:rsidRPr="00A13558">
        <w:t xml:space="preserve">those with two year credentials earned competitive </w:t>
      </w:r>
      <w:r w:rsidR="000561B6">
        <w:t xml:space="preserve">first year </w:t>
      </w:r>
      <w:r w:rsidR="00A13558" w:rsidRPr="00A13558">
        <w:t>wages</w:t>
      </w:r>
      <w:r w:rsidR="00B41155">
        <w:t xml:space="preserve"> and</w:t>
      </w:r>
      <w:r w:rsidR="001E6996">
        <w:t xml:space="preserve"> that</w:t>
      </w:r>
      <w:r w:rsidR="00FD7400">
        <w:t xml:space="preserve"> </w:t>
      </w:r>
      <w:r w:rsidRPr="00A13558">
        <w:t>nursing graduates r</w:t>
      </w:r>
      <w:r w:rsidRPr="00A13558">
        <w:t>e</w:t>
      </w:r>
      <w:r w:rsidRPr="00A13558">
        <w:t>main</w:t>
      </w:r>
      <w:r w:rsidR="00FD7400">
        <w:t>ed</w:t>
      </w:r>
      <w:r w:rsidRPr="00A13558">
        <w:t xml:space="preserve"> in high de</w:t>
      </w:r>
      <w:r w:rsidR="00FD7400">
        <w:t xml:space="preserve">mand, </w:t>
      </w:r>
      <w:r w:rsidR="00F30152">
        <w:t>plus</w:t>
      </w:r>
      <w:r w:rsidR="00FD7400">
        <w:t xml:space="preserve"> much more.</w:t>
      </w:r>
      <w:r w:rsidR="00BE2C68">
        <w:t xml:space="preserve"> As more data is added and longer term outcomes developed, we expect to gain a better under</w:t>
      </w:r>
      <w:r w:rsidR="00DE3B7C">
        <w:t>standing of the market value of</w:t>
      </w:r>
      <w:r w:rsidR="00BE2C68">
        <w:t xml:space="preserve"> specific credentials in the Maine eco</w:t>
      </w:r>
      <w:r w:rsidR="00BE2C68">
        <w:t>n</w:t>
      </w:r>
      <w:r w:rsidR="00BE2C68">
        <w:t xml:space="preserve">omy. </w:t>
      </w:r>
    </w:p>
    <w:p w:rsidR="006015FA" w:rsidRDefault="006015FA" w:rsidP="00B42F49">
      <w:pPr>
        <w:spacing w:line="276" w:lineRule="auto"/>
      </w:pPr>
      <w:r w:rsidRPr="006015FA">
        <w:t>This type of information offers value to a range of stakeholders. Prospective students will be better equipped to choose among different paths of education, and guidance counselors and parents will have reliable data to help students navigate these career decisions. College administrators and educators will have more comprehensive data for evaluating programs and allocatin</w:t>
      </w:r>
      <w:r w:rsidR="006E639C">
        <w:t>g scarce resources. Economic d</w:t>
      </w:r>
      <w:r w:rsidR="006E639C">
        <w:t>e</w:t>
      </w:r>
      <w:r w:rsidRPr="006015FA">
        <w:t xml:space="preserve">velopers, employers and policy makers will be able to better understand the supply of newly trained graduates in strategic sectors and occupations. </w:t>
      </w:r>
    </w:p>
    <w:p w:rsidR="00AC48E1" w:rsidRDefault="00AC48E1" w:rsidP="00012CCC">
      <w:pPr>
        <w:pStyle w:val="Heading2"/>
      </w:pPr>
      <w:r w:rsidRPr="00012CCC">
        <w:t>Methodology</w:t>
      </w:r>
    </w:p>
    <w:p w:rsidR="006015FA" w:rsidRDefault="006015FA" w:rsidP="006015FA">
      <w:pPr>
        <w:spacing w:line="276" w:lineRule="auto"/>
      </w:pPr>
      <w:r>
        <w:t xml:space="preserve">Records of graduates from UMS and Maine’s community colleges, Classes of 2009 to 2011, </w:t>
      </w:r>
      <w:r w:rsidRPr="00EA16C7">
        <w:t xml:space="preserve">are </w:t>
      </w:r>
      <w:r>
        <w:t>linked</w:t>
      </w:r>
      <w:r w:rsidRPr="00EA16C7">
        <w:t xml:space="preserve"> to quarterly wage </w:t>
      </w:r>
      <w:r>
        <w:t xml:space="preserve">data </w:t>
      </w:r>
      <w:r w:rsidRPr="00EA16C7">
        <w:t xml:space="preserve">available </w:t>
      </w:r>
      <w:r>
        <w:t xml:space="preserve">at MDOL. </w:t>
      </w:r>
      <w:r w:rsidRPr="00513E6A">
        <w:t>Wage data is available for jobs in Maine that provide une</w:t>
      </w:r>
      <w:r w:rsidRPr="00513E6A">
        <w:t>m</w:t>
      </w:r>
      <w:r w:rsidRPr="00513E6A">
        <w:t xml:space="preserve">ployment insurance benefits, or covered employment. </w:t>
      </w:r>
      <w:r>
        <w:t xml:space="preserve">Combining three academic years enables greater reporting at the area of study level while at the same time maintaining confidentiality. </w:t>
      </w:r>
    </w:p>
    <w:p w:rsidR="006015FA" w:rsidRDefault="006015FA" w:rsidP="006015FA">
      <w:pPr>
        <w:spacing w:line="276" w:lineRule="auto"/>
      </w:pPr>
      <w:r w:rsidRPr="00B04947">
        <w:t xml:space="preserve">The </w:t>
      </w:r>
      <w:r>
        <w:t xml:space="preserve">data </w:t>
      </w:r>
      <w:r w:rsidRPr="00B04947">
        <w:t>system pro</w:t>
      </w:r>
      <w:r>
        <w:t xml:space="preserve">duces </w:t>
      </w:r>
      <w:r w:rsidRPr="00B04947">
        <w:t xml:space="preserve">employment </w:t>
      </w:r>
      <w:r>
        <w:t>and</w:t>
      </w:r>
      <w:r w:rsidRPr="00B04947">
        <w:t xml:space="preserve"> wage outcomes for </w:t>
      </w:r>
      <w:r>
        <w:t xml:space="preserve">the first year after graduation, defined as quarters three through six post-graduation. This gives individuals two quarters after completing school to find employment. Longer term outcomes will be added as more data becomes available. Results are aggregated and reported by credential, area of study and school. </w:t>
      </w:r>
    </w:p>
    <w:p w:rsidR="006015FA" w:rsidRDefault="006015FA" w:rsidP="006015FA">
      <w:pPr>
        <w:spacing w:line="276" w:lineRule="auto"/>
      </w:pPr>
      <w:r>
        <w:t>Data sharing among partners is established and governed in accordance the Family Education Ri</w:t>
      </w:r>
      <w:r w:rsidR="00DE3B7C">
        <w:t>ghts and Privacy Act and other federal and s</w:t>
      </w:r>
      <w:r>
        <w:t xml:space="preserve">tate confidentiality and privacy laws and provisions. </w:t>
      </w:r>
    </w:p>
    <w:p w:rsidR="00E66D89" w:rsidRDefault="00E66D89" w:rsidP="00012CCC">
      <w:pPr>
        <w:pStyle w:val="Heading2"/>
        <w:jc w:val="center"/>
        <w:rPr>
          <w:color w:val="244061" w:themeColor="accent1" w:themeShade="80"/>
          <w:sz w:val="48"/>
          <w:szCs w:val="48"/>
        </w:rPr>
      </w:pPr>
      <w:r>
        <w:rPr>
          <w:color w:val="244061" w:themeColor="accent1" w:themeShade="80"/>
          <w:sz w:val="48"/>
          <w:szCs w:val="48"/>
        </w:rPr>
        <w:br w:type="page"/>
      </w:r>
    </w:p>
    <w:p w:rsidR="003A5DFA" w:rsidRPr="00012CCC" w:rsidRDefault="003A5DFA" w:rsidP="00391A84">
      <w:pPr>
        <w:pStyle w:val="Heading2"/>
        <w:ind w:left="360"/>
        <w:rPr>
          <w:color w:val="244061" w:themeColor="accent1" w:themeShade="80"/>
          <w:sz w:val="48"/>
          <w:szCs w:val="48"/>
        </w:rPr>
      </w:pPr>
      <w:r w:rsidRPr="00012CCC">
        <w:rPr>
          <w:color w:val="244061" w:themeColor="accent1" w:themeShade="80"/>
          <w:sz w:val="48"/>
          <w:szCs w:val="48"/>
        </w:rPr>
        <w:lastRenderedPageBreak/>
        <w:t>MDOL Wage &amp; Employment Outcomes Data System</w:t>
      </w:r>
    </w:p>
    <w:p w:rsidR="00DF710C" w:rsidRDefault="00093B8A" w:rsidP="00B27865">
      <w:r>
        <w:rPr>
          <w:noProof/>
        </w:rPr>
        <mc:AlternateContent>
          <mc:Choice Requires="wps">
            <w:drawing>
              <wp:anchor distT="0" distB="0" distL="114300" distR="114300" simplePos="0" relativeHeight="251660288" behindDoc="0" locked="0" layoutInCell="1" allowOverlap="1" wp14:anchorId="15172ECF" wp14:editId="356B65AF">
                <wp:simplePos x="0" y="0"/>
                <wp:positionH relativeFrom="column">
                  <wp:posOffset>3810000</wp:posOffset>
                </wp:positionH>
                <wp:positionV relativeFrom="paragraph">
                  <wp:posOffset>190500</wp:posOffset>
                </wp:positionV>
                <wp:extent cx="1419225" cy="1371600"/>
                <wp:effectExtent l="0" t="0" r="28575" b="19050"/>
                <wp:wrapNone/>
                <wp:docPr id="5" name="Flowchart: Magnetic Disk 5"/>
                <wp:cNvGraphicFramePr/>
                <a:graphic xmlns:a="http://schemas.openxmlformats.org/drawingml/2006/main">
                  <a:graphicData uri="http://schemas.microsoft.com/office/word/2010/wordprocessingShape">
                    <wps:wsp>
                      <wps:cNvSpPr/>
                      <wps:spPr>
                        <a:xfrm>
                          <a:off x="0" y="0"/>
                          <a:ext cx="1419225" cy="1371600"/>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3AEA" w:rsidRPr="00093B8A" w:rsidRDefault="00893AEA" w:rsidP="00D5273F">
                            <w:pPr>
                              <w:jc w:val="center"/>
                              <w:rPr>
                                <w:b/>
                                <w:color w:val="FFFFFF" w:themeColor="background1"/>
                                <w:sz w:val="28"/>
                              </w:rPr>
                            </w:pPr>
                            <w:r w:rsidRPr="00093B8A">
                              <w:rPr>
                                <w:b/>
                                <w:color w:val="FFFFFF" w:themeColor="background1"/>
                                <w:sz w:val="28"/>
                              </w:rPr>
                              <w:t xml:space="preserve">MDOL </w:t>
                            </w:r>
                            <w:r>
                              <w:rPr>
                                <w:b/>
                                <w:color w:val="FFFFFF" w:themeColor="background1"/>
                                <w:sz w:val="28"/>
                              </w:rPr>
                              <w:t>Une</w:t>
                            </w:r>
                            <w:r>
                              <w:rPr>
                                <w:b/>
                                <w:color w:val="FFFFFF" w:themeColor="background1"/>
                                <w:sz w:val="28"/>
                              </w:rPr>
                              <w:t>m</w:t>
                            </w:r>
                            <w:r>
                              <w:rPr>
                                <w:b/>
                                <w:color w:val="FFFFFF" w:themeColor="background1"/>
                                <w:sz w:val="28"/>
                              </w:rPr>
                              <w:t>ployment Insu</w:t>
                            </w:r>
                            <w:r>
                              <w:rPr>
                                <w:b/>
                                <w:color w:val="FFFFFF" w:themeColor="background1"/>
                                <w:sz w:val="28"/>
                              </w:rPr>
                              <w:t>r</w:t>
                            </w:r>
                            <w:r>
                              <w:rPr>
                                <w:b/>
                                <w:color w:val="FFFFFF" w:themeColor="background1"/>
                                <w:sz w:val="28"/>
                              </w:rPr>
                              <w:t xml:space="preserve">ance </w:t>
                            </w:r>
                            <w:r w:rsidRPr="00093B8A">
                              <w:rPr>
                                <w:b/>
                                <w:color w:val="FFFFFF" w:themeColor="background1"/>
                                <w:sz w:val="28"/>
                              </w:rPr>
                              <w:t>Wage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5" o:spid="_x0000_s1026" type="#_x0000_t132" style="position:absolute;margin-left:300pt;margin-top:15pt;width:111.7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" fillcolor="#4f81bd [3204]" strokecolor="#243f60 [1604]" strokeweight="2pt">
                <v:textbox>
                  <w:txbxContent>
                    <w:p w:rsidR="00893AEA" w:rsidRPr="00093B8A" w:rsidRDefault="00893AEA" w:rsidP="00D5273F">
                      <w:pPr>
                        <w:jc w:val="center"/>
                        <w:rPr>
                          <w:b/>
                          <w:color w:val="FFFFFF" w:themeColor="background1"/>
                          <w:sz w:val="28"/>
                        </w:rPr>
                      </w:pPr>
                      <w:r w:rsidRPr="00093B8A">
                        <w:rPr>
                          <w:b/>
                          <w:color w:val="FFFFFF" w:themeColor="background1"/>
                          <w:sz w:val="28"/>
                        </w:rPr>
                        <w:t xml:space="preserve">MDOL </w:t>
                      </w:r>
                      <w:r>
                        <w:rPr>
                          <w:b/>
                          <w:color w:val="FFFFFF" w:themeColor="background1"/>
                          <w:sz w:val="28"/>
                        </w:rPr>
                        <w:t>Une</w:t>
                      </w:r>
                      <w:r>
                        <w:rPr>
                          <w:b/>
                          <w:color w:val="FFFFFF" w:themeColor="background1"/>
                          <w:sz w:val="28"/>
                        </w:rPr>
                        <w:t>m</w:t>
                      </w:r>
                      <w:r>
                        <w:rPr>
                          <w:b/>
                          <w:color w:val="FFFFFF" w:themeColor="background1"/>
                          <w:sz w:val="28"/>
                        </w:rPr>
                        <w:t>ployment Insu</w:t>
                      </w:r>
                      <w:r>
                        <w:rPr>
                          <w:b/>
                          <w:color w:val="FFFFFF" w:themeColor="background1"/>
                          <w:sz w:val="28"/>
                        </w:rPr>
                        <w:t>r</w:t>
                      </w:r>
                      <w:r>
                        <w:rPr>
                          <w:b/>
                          <w:color w:val="FFFFFF" w:themeColor="background1"/>
                          <w:sz w:val="28"/>
                        </w:rPr>
                        <w:t xml:space="preserve">ance </w:t>
                      </w:r>
                      <w:r w:rsidRPr="00093B8A">
                        <w:rPr>
                          <w:b/>
                          <w:color w:val="FFFFFF" w:themeColor="background1"/>
                          <w:sz w:val="28"/>
                        </w:rPr>
                        <w:t>Wage data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428C409" wp14:editId="5AF588D3">
                <wp:simplePos x="0" y="0"/>
                <wp:positionH relativeFrom="column">
                  <wp:posOffset>219075</wp:posOffset>
                </wp:positionH>
                <wp:positionV relativeFrom="paragraph">
                  <wp:posOffset>190500</wp:posOffset>
                </wp:positionV>
                <wp:extent cx="1438275" cy="1371600"/>
                <wp:effectExtent l="0" t="0" r="28575" b="19050"/>
                <wp:wrapNone/>
                <wp:docPr id="4" name="Flowchart: Magnetic Disk 4"/>
                <wp:cNvGraphicFramePr/>
                <a:graphic xmlns:a="http://schemas.openxmlformats.org/drawingml/2006/main">
                  <a:graphicData uri="http://schemas.microsoft.com/office/word/2010/wordprocessingShape">
                    <wps:wsp>
                      <wps:cNvSpPr/>
                      <wps:spPr>
                        <a:xfrm>
                          <a:off x="0" y="0"/>
                          <a:ext cx="1438275" cy="1371600"/>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3AEA" w:rsidRPr="00093B8A" w:rsidRDefault="00893AEA" w:rsidP="0041586C">
                            <w:pPr>
                              <w:jc w:val="center"/>
                              <w:rPr>
                                <w:b/>
                                <w:sz w:val="28"/>
                                <w:szCs w:val="28"/>
                              </w:rPr>
                            </w:pPr>
                            <w:r w:rsidRPr="00093B8A">
                              <w:rPr>
                                <w:b/>
                                <w:sz w:val="28"/>
                                <w:szCs w:val="28"/>
                              </w:rPr>
                              <w:t>UMS, MCCS Classes 2009-2011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 o:spid="_x0000_s1027" type="#_x0000_t132" style="position:absolute;margin-left:17.25pt;margin-top:15pt;width:113.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" fillcolor="#4f81bd [3204]" strokecolor="#243f60 [1604]" strokeweight="2pt">
                <v:textbox>
                  <w:txbxContent>
                    <w:p w:rsidR="00893AEA" w:rsidRPr="00093B8A" w:rsidRDefault="00893AEA" w:rsidP="0041586C">
                      <w:pPr>
                        <w:jc w:val="center"/>
                        <w:rPr>
                          <w:b/>
                          <w:sz w:val="28"/>
                          <w:szCs w:val="28"/>
                        </w:rPr>
                      </w:pPr>
                      <w:r w:rsidRPr="00093B8A">
                        <w:rPr>
                          <w:b/>
                          <w:sz w:val="28"/>
                          <w:szCs w:val="28"/>
                        </w:rPr>
                        <w:t>UMS, MCCS Classes 2009-2011</w:t>
                      </w:r>
                    </w:p>
                  </w:txbxContent>
                </v:textbox>
              </v:shape>
            </w:pict>
          </mc:Fallback>
        </mc:AlternateContent>
      </w:r>
    </w:p>
    <w:p w:rsidR="00CD4815" w:rsidRDefault="00CD4815" w:rsidP="00E21D54"/>
    <w:p w:rsidR="00CD4815" w:rsidRDefault="00CD4815" w:rsidP="0041586C">
      <w:pPr>
        <w:pStyle w:val="Normal4Paragraph"/>
      </w:pPr>
    </w:p>
    <w:p w:rsidR="00CD4815" w:rsidRDefault="00CD4815" w:rsidP="00E21D54"/>
    <w:p w:rsidR="00093B8A" w:rsidRDefault="00093B8A" w:rsidP="00E21D54"/>
    <w:p w:rsidR="00093B8A" w:rsidRDefault="003A5DFA" w:rsidP="00E21D54">
      <w:r>
        <w:rPr>
          <w:noProof/>
        </w:rPr>
        <mc:AlternateContent>
          <mc:Choice Requires="wps">
            <w:drawing>
              <wp:anchor distT="0" distB="0" distL="114300" distR="114300" simplePos="0" relativeHeight="251662336" behindDoc="0" locked="0" layoutInCell="1" allowOverlap="1" wp14:anchorId="188EF4BA" wp14:editId="3F4F3087">
                <wp:simplePos x="0" y="0"/>
                <wp:positionH relativeFrom="column">
                  <wp:posOffset>3268980</wp:posOffset>
                </wp:positionH>
                <wp:positionV relativeFrom="paragraph">
                  <wp:posOffset>178435</wp:posOffset>
                </wp:positionV>
                <wp:extent cx="598170" cy="400050"/>
                <wp:effectExtent l="0" t="95250" r="11430" b="38100"/>
                <wp:wrapNone/>
                <wp:docPr id="10" name="Left Arrow 10"/>
                <wp:cNvGraphicFramePr/>
                <a:graphic xmlns:a="http://schemas.openxmlformats.org/drawingml/2006/main">
                  <a:graphicData uri="http://schemas.microsoft.com/office/word/2010/wordprocessingShape">
                    <wps:wsp>
                      <wps:cNvSpPr/>
                      <wps:spPr>
                        <a:xfrm rot="18904900">
                          <a:off x="0" y="0"/>
                          <a:ext cx="598170" cy="400050"/>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257.4pt;margin-top:14.05pt;width:47.1pt;height:31.5pt;rotation:-294376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" adj="7223" fillcolor="#dbe5f1 [660]" strokecolor="#243f60 [1604]" strokeweight="2pt"/>
            </w:pict>
          </mc:Fallback>
        </mc:AlternateContent>
      </w:r>
      <w:r>
        <w:rPr>
          <w:noProof/>
        </w:rPr>
        <mc:AlternateContent>
          <mc:Choice Requires="wps">
            <w:drawing>
              <wp:anchor distT="0" distB="0" distL="114300" distR="114300" simplePos="0" relativeHeight="251661312" behindDoc="0" locked="0" layoutInCell="1" allowOverlap="1" wp14:anchorId="5C058448" wp14:editId="5AB0A4CF">
                <wp:simplePos x="0" y="0"/>
                <wp:positionH relativeFrom="column">
                  <wp:posOffset>1280795</wp:posOffset>
                </wp:positionH>
                <wp:positionV relativeFrom="paragraph">
                  <wp:posOffset>201075</wp:posOffset>
                </wp:positionV>
                <wp:extent cx="581025" cy="400050"/>
                <wp:effectExtent l="38100" t="76200" r="0" b="38100"/>
                <wp:wrapNone/>
                <wp:docPr id="9" name="Right Arrow 9"/>
                <wp:cNvGraphicFramePr/>
                <a:graphic xmlns:a="http://schemas.openxmlformats.org/drawingml/2006/main">
                  <a:graphicData uri="http://schemas.microsoft.com/office/word/2010/wordprocessingShape">
                    <wps:wsp>
                      <wps:cNvSpPr/>
                      <wps:spPr>
                        <a:xfrm rot="2164116">
                          <a:off x="0" y="0"/>
                          <a:ext cx="581025" cy="40005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00.85pt;margin-top:15.85pt;width:45.75pt;height:31.5pt;rotation:2363792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" adj="14164" fillcolor="#dbe5f1 [660]" strokecolor="#243f60 [1604]" strokeweight="2pt"/>
            </w:pict>
          </mc:Fallback>
        </mc:AlternateContent>
      </w:r>
    </w:p>
    <w:p w:rsidR="00093B8A" w:rsidRDefault="00093B8A" w:rsidP="00E21D54"/>
    <w:p w:rsidR="00093B8A" w:rsidRDefault="003A5DFA" w:rsidP="00E21D54">
      <w:r>
        <w:rPr>
          <w:noProof/>
        </w:rPr>
        <mc:AlternateContent>
          <mc:Choice Requires="wps">
            <w:drawing>
              <wp:anchor distT="0" distB="0" distL="114300" distR="114300" simplePos="0" relativeHeight="251666432" behindDoc="0" locked="0" layoutInCell="1" allowOverlap="1" wp14:anchorId="45AF6D32" wp14:editId="75FCE264">
                <wp:simplePos x="0" y="0"/>
                <wp:positionH relativeFrom="column">
                  <wp:posOffset>4038600</wp:posOffset>
                </wp:positionH>
                <wp:positionV relativeFrom="paragraph">
                  <wp:posOffset>2463800</wp:posOffset>
                </wp:positionV>
                <wp:extent cx="1419225" cy="9144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1419225" cy="914400"/>
                        </a:xfrm>
                        <a:prstGeom prst="roundRect">
                          <a:avLst/>
                        </a:prstGeom>
                        <a:ln w="6350"/>
                      </wps:spPr>
                      <wps:style>
                        <a:lnRef idx="2">
                          <a:schemeClr val="accent1"/>
                        </a:lnRef>
                        <a:fillRef idx="1">
                          <a:schemeClr val="lt1"/>
                        </a:fillRef>
                        <a:effectRef idx="0">
                          <a:schemeClr val="accent1"/>
                        </a:effectRef>
                        <a:fontRef idx="minor">
                          <a:schemeClr val="dk1"/>
                        </a:fontRef>
                      </wps:style>
                      <wps:txbx>
                        <w:txbxContent>
                          <w:p w:rsidR="00893AEA" w:rsidRPr="003A5DFA" w:rsidRDefault="00893AEA" w:rsidP="003A5DFA">
                            <w:pPr>
                              <w:jc w:val="center"/>
                              <w:rPr>
                                <w:i/>
                              </w:rPr>
                            </w:pPr>
                            <w:r>
                              <w:rPr>
                                <w:i/>
                              </w:rPr>
                              <w:t>First year wage &amp; e</w:t>
                            </w:r>
                            <w:r w:rsidRPr="003A5DFA">
                              <w:rPr>
                                <w:i/>
                              </w:rPr>
                              <w:t>mployment ou</w:t>
                            </w:r>
                            <w:r w:rsidRPr="003A5DFA">
                              <w:rPr>
                                <w:i/>
                              </w:rPr>
                              <w:t>t</w:t>
                            </w:r>
                            <w:r w:rsidRPr="003A5DFA">
                              <w:rPr>
                                <w:i/>
                              </w:rPr>
                              <w:t>come reports are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4" o:spid="_x0000_s1028" style="position:absolute;margin-left:318pt;margin-top:194pt;width:111.75pt;height:1in;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" fillcolor="white [3201]" strokecolor="#4f81bd [3204]" strokeweight=".5pt">
                <v:textbox>
                  <w:txbxContent>
                    <w:p w:rsidR="00893AEA" w:rsidRPr="003A5DFA" w:rsidRDefault="00893AEA" w:rsidP="003A5DFA">
                      <w:pPr>
                        <w:jc w:val="center"/>
                        <w:rPr>
                          <w:i/>
                        </w:rPr>
                      </w:pPr>
                      <w:r>
                        <w:rPr>
                          <w:i/>
                        </w:rPr>
                        <w:t>First year wage &amp; e</w:t>
                      </w:r>
                      <w:r w:rsidRPr="003A5DFA">
                        <w:rPr>
                          <w:i/>
                        </w:rPr>
                        <w:t>mployment ou</w:t>
                      </w:r>
                      <w:r w:rsidRPr="003A5DFA">
                        <w:rPr>
                          <w:i/>
                        </w:rPr>
                        <w:t>t</w:t>
                      </w:r>
                      <w:r w:rsidRPr="003A5DFA">
                        <w:rPr>
                          <w:i/>
                        </w:rPr>
                        <w:t>come reports are created.</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0185FE42" wp14:editId="0C77DB0F">
                <wp:simplePos x="0" y="0"/>
                <wp:positionH relativeFrom="column">
                  <wp:posOffset>3971290</wp:posOffset>
                </wp:positionH>
                <wp:positionV relativeFrom="paragraph">
                  <wp:posOffset>57785</wp:posOffset>
                </wp:positionV>
                <wp:extent cx="1514475" cy="8001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514475" cy="800100"/>
                        </a:xfrm>
                        <a:prstGeom prst="roundRect">
                          <a:avLst/>
                        </a:prstGeom>
                        <a:ln w="6350"/>
                      </wps:spPr>
                      <wps:style>
                        <a:lnRef idx="2">
                          <a:schemeClr val="accent1"/>
                        </a:lnRef>
                        <a:fillRef idx="1">
                          <a:schemeClr val="lt1"/>
                        </a:fillRef>
                        <a:effectRef idx="0">
                          <a:schemeClr val="accent1"/>
                        </a:effectRef>
                        <a:fontRef idx="minor">
                          <a:schemeClr val="dk1"/>
                        </a:fontRef>
                      </wps:style>
                      <wps:txbx>
                        <w:txbxContent>
                          <w:p w:rsidR="00893AEA" w:rsidRPr="003A5DFA" w:rsidRDefault="00893AEA" w:rsidP="00093B8A">
                            <w:pPr>
                              <w:jc w:val="center"/>
                              <w:rPr>
                                <w:i/>
                              </w:rPr>
                            </w:pPr>
                            <w:r w:rsidRPr="003A5DFA">
                              <w:rPr>
                                <w:i/>
                              </w:rPr>
                              <w:t>Unit level records from separate dat</w:t>
                            </w:r>
                            <w:r w:rsidRPr="003A5DFA">
                              <w:rPr>
                                <w:i/>
                              </w:rPr>
                              <w:t>a</w:t>
                            </w:r>
                            <w:r w:rsidRPr="003A5DFA">
                              <w:rPr>
                                <w:i/>
                              </w:rPr>
                              <w:t>bases are linked.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3" o:spid="_x0000_s1029" style="position:absolute;margin-left:312.7pt;margin-top:4.55pt;width:119.25pt;height:6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" fillcolor="white [3201]" strokecolor="#4f81bd [3204]" strokeweight=".5pt">
                <v:textbox>
                  <w:txbxContent>
                    <w:p w:rsidR="00893AEA" w:rsidRPr="003A5DFA" w:rsidRDefault="00893AEA" w:rsidP="00093B8A">
                      <w:pPr>
                        <w:jc w:val="center"/>
                        <w:rPr>
                          <w:i/>
                        </w:rPr>
                      </w:pPr>
                      <w:r w:rsidRPr="003A5DFA">
                        <w:rPr>
                          <w:i/>
                        </w:rPr>
                        <w:t>Unit level records from separate dat</w:t>
                      </w:r>
                      <w:r w:rsidRPr="003A5DFA">
                        <w:rPr>
                          <w:i/>
                        </w:rPr>
                        <w:t>a</w:t>
                      </w:r>
                      <w:r w:rsidRPr="003A5DFA">
                        <w:rPr>
                          <w:i/>
                        </w:rPr>
                        <w:t>bases are linked.</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6D1B80F3" wp14:editId="532EDFF4">
                <wp:simplePos x="0" y="0"/>
                <wp:positionH relativeFrom="column">
                  <wp:posOffset>4038600</wp:posOffset>
                </wp:positionH>
                <wp:positionV relativeFrom="paragraph">
                  <wp:posOffset>1229360</wp:posOffset>
                </wp:positionV>
                <wp:extent cx="1447800" cy="81915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1447800" cy="819150"/>
                        </a:xfrm>
                        <a:prstGeom prst="roundRect">
                          <a:avLst/>
                        </a:prstGeom>
                        <a:ln w="6350"/>
                      </wps:spPr>
                      <wps:style>
                        <a:lnRef idx="2">
                          <a:schemeClr val="accent1"/>
                        </a:lnRef>
                        <a:fillRef idx="1">
                          <a:schemeClr val="lt1"/>
                        </a:fillRef>
                        <a:effectRef idx="0">
                          <a:schemeClr val="accent1"/>
                        </a:effectRef>
                        <a:fontRef idx="minor">
                          <a:schemeClr val="dk1"/>
                        </a:fontRef>
                      </wps:style>
                      <wps:txbx>
                        <w:txbxContent>
                          <w:p w:rsidR="00893AEA" w:rsidRPr="003A5DFA" w:rsidRDefault="00893AEA" w:rsidP="003A5DFA">
                            <w:pPr>
                              <w:jc w:val="center"/>
                              <w:rPr>
                                <w:i/>
                              </w:rPr>
                            </w:pPr>
                            <w:r w:rsidRPr="003A5DFA">
                              <w:rPr>
                                <w:i/>
                              </w:rPr>
                              <w:t>Results are aggr</w:t>
                            </w:r>
                            <w:r w:rsidRPr="003A5DFA">
                              <w:rPr>
                                <w:i/>
                              </w:rPr>
                              <w:t>e</w:t>
                            </w:r>
                            <w:r w:rsidRPr="003A5DFA">
                              <w:rPr>
                                <w:i/>
                              </w:rPr>
                              <w:t>gated to protect confidentiality.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0" style="position:absolute;margin-left:318pt;margin-top:96.8pt;width:114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" fillcolor="white [3201]" strokecolor="#4f81bd [3204]" strokeweight=".5pt">
                <v:textbox>
                  <w:txbxContent>
                    <w:p w:rsidR="00893AEA" w:rsidRPr="003A5DFA" w:rsidRDefault="00893AEA" w:rsidP="003A5DFA">
                      <w:pPr>
                        <w:jc w:val="center"/>
                        <w:rPr>
                          <w:i/>
                        </w:rPr>
                      </w:pPr>
                      <w:r w:rsidRPr="003A5DFA">
                        <w:rPr>
                          <w:i/>
                        </w:rPr>
                        <w:t>Results are aggr</w:t>
                      </w:r>
                      <w:r w:rsidRPr="003A5DFA">
                        <w:rPr>
                          <w:i/>
                        </w:rPr>
                        <w:t>e</w:t>
                      </w:r>
                      <w:r w:rsidRPr="003A5DFA">
                        <w:rPr>
                          <w:i/>
                        </w:rPr>
                        <w:t>gated to protect confidentiality.</w:t>
                      </w:r>
                    </w:p>
                  </w:txbxContent>
                </v:textbox>
              </v:roundrect>
            </w:pict>
          </mc:Fallback>
        </mc:AlternateContent>
      </w:r>
      <w:r w:rsidR="00093B8A">
        <w:rPr>
          <w:noProof/>
        </w:rPr>
        <w:drawing>
          <wp:inline distT="0" distB="0" distL="0" distR="0" wp14:anchorId="4852647D" wp14:editId="1BE5E8E1">
            <wp:extent cx="5162550" cy="3200400"/>
            <wp:effectExtent l="0" t="57150" r="0" b="1143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93B8A" w:rsidRDefault="00093B8A" w:rsidP="00E21D54"/>
    <w:p w:rsidR="0070720B" w:rsidRDefault="0070720B" w:rsidP="00012CCC">
      <w:pPr>
        <w:pStyle w:val="Heading2"/>
      </w:pPr>
      <w:r>
        <w:t xml:space="preserve">What </w:t>
      </w:r>
      <w:r w:rsidR="00EA4AF6">
        <w:t>does the system measure</w:t>
      </w:r>
      <w:r>
        <w:t>?</w:t>
      </w:r>
    </w:p>
    <w:p w:rsidR="002B5343" w:rsidRDefault="006E639C" w:rsidP="00D14902">
      <w:pPr>
        <w:spacing w:line="276" w:lineRule="auto"/>
      </w:pPr>
      <w:r>
        <w:t xml:space="preserve">The </w:t>
      </w:r>
      <w:r w:rsidR="00CE0807">
        <w:t xml:space="preserve">system aggregates the number of completers by credential, area of study and school, and measures the number employed and wages paid. </w:t>
      </w:r>
      <w:r w:rsidR="007601C7">
        <w:t xml:space="preserve">Two separate definitions are used to measure employment: </w:t>
      </w:r>
      <w:r w:rsidR="00CE0807">
        <w:t xml:space="preserve">those that had any employment during the first year </w:t>
      </w:r>
      <w:r w:rsidR="007601C7">
        <w:t xml:space="preserve">(regardless of duration and amount earned) </w:t>
      </w:r>
      <w:r w:rsidR="00CE0807">
        <w:t>and those that were employed during all four quarters with wages above a minimum threshold</w:t>
      </w:r>
      <w:r w:rsidR="002B5343">
        <w:t xml:space="preserve"> </w:t>
      </w:r>
      <w:r w:rsidR="006B4235">
        <w:t xml:space="preserve">of $3,120 </w:t>
      </w:r>
      <w:r w:rsidR="002B5343" w:rsidRPr="002B5343">
        <w:t>in each quarter</w:t>
      </w:r>
      <w:r w:rsidR="002B5343">
        <w:t>. The former definition is a broad measure of the number remaining in Maine an</w:t>
      </w:r>
      <w:r w:rsidR="00D14902">
        <w:t>d finding some employment; the l</w:t>
      </w:r>
      <w:r w:rsidR="002B5343">
        <w:t xml:space="preserve">atter </w:t>
      </w:r>
      <w:r w:rsidR="002B5343" w:rsidRPr="00E40943">
        <w:t>capture</w:t>
      </w:r>
      <w:r w:rsidR="00B42F49">
        <w:t>s</w:t>
      </w:r>
      <w:r w:rsidR="002B5343" w:rsidRPr="00E40943">
        <w:t xml:space="preserve"> those who were more ful</w:t>
      </w:r>
      <w:r w:rsidR="002B5343">
        <w:t xml:space="preserve">ly and continuously employed during </w:t>
      </w:r>
      <w:r w:rsidR="006B4235">
        <w:t>the first year after graduation</w:t>
      </w:r>
      <w:r w:rsidR="002B5343">
        <w:t>.</w:t>
      </w:r>
      <w:r w:rsidR="002B5343" w:rsidRPr="00E40943">
        <w:rPr>
          <w:rStyle w:val="FootnoteReference"/>
        </w:rPr>
        <w:footnoteReference w:id="1"/>
      </w:r>
      <w:r w:rsidR="002B5343" w:rsidRPr="00E40943">
        <w:t xml:space="preserve"> </w:t>
      </w:r>
    </w:p>
    <w:p w:rsidR="005F729C" w:rsidRPr="00E66D89" w:rsidRDefault="00FD7EDF" w:rsidP="00E66D89">
      <w:pPr>
        <w:pStyle w:val="Heading2"/>
        <w:pageBreakBefore/>
        <w:spacing w:before="0"/>
        <w:rPr>
          <w:color w:val="244061" w:themeColor="accent1" w:themeShade="80"/>
          <w:sz w:val="48"/>
          <w:szCs w:val="48"/>
        </w:rPr>
      </w:pPr>
      <w:r w:rsidRPr="00E66D89">
        <w:rPr>
          <w:color w:val="244061" w:themeColor="accent1" w:themeShade="80"/>
          <w:sz w:val="48"/>
          <w:szCs w:val="48"/>
        </w:rPr>
        <w:lastRenderedPageBreak/>
        <w:t>Core Measures</w:t>
      </w:r>
    </w:p>
    <w:p w:rsidR="00782421" w:rsidRDefault="00782421" w:rsidP="0070720B">
      <w:r>
        <w:rPr>
          <w:noProof/>
        </w:rPr>
        <w:drawing>
          <wp:inline distT="0" distB="0" distL="0" distR="0" wp14:anchorId="5E23AE91" wp14:editId="19ECDEAC">
            <wp:extent cx="6105525" cy="3200400"/>
            <wp:effectExtent l="76200" t="57150" r="0" b="1143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0720B" w:rsidRPr="007327E6" w:rsidRDefault="0070720B" w:rsidP="00E66D89">
      <w:pPr>
        <w:pStyle w:val="Heading2"/>
      </w:pPr>
      <w:r w:rsidRPr="007327E6">
        <w:t>What are the limitations?</w:t>
      </w:r>
    </w:p>
    <w:p w:rsidR="00D14902" w:rsidRDefault="00D14902" w:rsidP="00D14902">
      <w:pPr>
        <w:spacing w:line="276" w:lineRule="auto"/>
      </w:pPr>
      <w:r>
        <w:t>Linking education and wage data has numerous benefits, but there are also limitations that govern how the results should be interpreted and the system used. Primary limitations are highlighted below.</w:t>
      </w:r>
      <w:r w:rsidR="00B42F49">
        <w:rPr>
          <w:rStyle w:val="FootnoteReference"/>
        </w:rPr>
        <w:footnoteReference w:id="2"/>
      </w:r>
      <w:r>
        <w:t xml:space="preserve"> </w:t>
      </w:r>
    </w:p>
    <w:p w:rsidR="00D14902" w:rsidRDefault="00D14902" w:rsidP="00D14902">
      <w:pPr>
        <w:pStyle w:val="ListParagraph"/>
        <w:numPr>
          <w:ilvl w:val="0"/>
          <w:numId w:val="14"/>
        </w:numPr>
        <w:spacing w:line="276" w:lineRule="auto"/>
      </w:pPr>
      <w:r>
        <w:t>Outcomes data only include those that have employment recor</w:t>
      </w:r>
      <w:r w:rsidR="0056334A">
        <w:t>ds in the Maine unemployment i</w:t>
      </w:r>
      <w:r w:rsidR="0056334A">
        <w:t>n</w:t>
      </w:r>
      <w:r>
        <w:t>surance wage record data base. Graduates that are ‘not found’ are not necessarily unemployed; they may be working in another state, self-employed or employed by the federal government. Moreover, graduates that re-enrolled in education programs may not be seeking employment. Overall, 76 percent of the graduates in the cohort were accounted for in the Maine wage record system during quarters three through six post-graduation.</w:t>
      </w:r>
    </w:p>
    <w:p w:rsidR="00D14902" w:rsidRDefault="00D14902" w:rsidP="00D14902">
      <w:pPr>
        <w:pStyle w:val="ListParagraph"/>
        <w:numPr>
          <w:ilvl w:val="0"/>
          <w:numId w:val="14"/>
        </w:numPr>
        <w:spacing w:line="276" w:lineRule="auto"/>
      </w:pPr>
      <w:r>
        <w:t xml:space="preserve">The data-system measures first year outcomes, which may not be reflective of longer term results. Longer term outcomes will be developed as the data becomes available. </w:t>
      </w:r>
    </w:p>
    <w:p w:rsidR="00D14902" w:rsidRDefault="00D14902" w:rsidP="00D14902">
      <w:pPr>
        <w:pStyle w:val="ListParagraph"/>
        <w:numPr>
          <w:ilvl w:val="0"/>
          <w:numId w:val="14"/>
        </w:numPr>
        <w:spacing w:line="276" w:lineRule="auto"/>
      </w:pPr>
      <w:r>
        <w:t xml:space="preserve">Employment outcomes will vary with a number of factors, including the economic cycle, region and industry of employment. </w:t>
      </w:r>
    </w:p>
    <w:p w:rsidR="00D14902" w:rsidRDefault="00D14902" w:rsidP="00D14902">
      <w:pPr>
        <w:pStyle w:val="ListParagraph"/>
        <w:numPr>
          <w:ilvl w:val="0"/>
          <w:numId w:val="14"/>
        </w:numPr>
        <w:spacing w:line="276" w:lineRule="auto"/>
      </w:pPr>
      <w:r>
        <w:t xml:space="preserve">The system does not measure intangible factors such as personal </w:t>
      </w:r>
      <w:r w:rsidR="0056334A">
        <w:t>satisfaction with earning a cr</w:t>
      </w:r>
      <w:r w:rsidR="0056334A">
        <w:t>e</w:t>
      </w:r>
      <w:r>
        <w:t xml:space="preserve">dential and the intrinsic value of an education. </w:t>
      </w:r>
    </w:p>
    <w:p w:rsidR="00D14902" w:rsidRDefault="00D14902" w:rsidP="00D14902">
      <w:pPr>
        <w:pStyle w:val="ListParagraph"/>
        <w:numPr>
          <w:ilvl w:val="0"/>
          <w:numId w:val="2"/>
        </w:numPr>
        <w:spacing w:line="276" w:lineRule="auto"/>
      </w:pPr>
      <w:r>
        <w:t xml:space="preserve">Wages are not adjusted for inflation. </w:t>
      </w:r>
    </w:p>
    <w:p w:rsidR="0070720B" w:rsidRDefault="0070720B" w:rsidP="00D14902">
      <w:pPr>
        <w:pStyle w:val="ListParagraph"/>
        <w:numPr>
          <w:ilvl w:val="0"/>
          <w:numId w:val="2"/>
        </w:numPr>
        <w:spacing w:line="276" w:lineRule="auto"/>
      </w:pPr>
      <w:r>
        <w:t>MDOL wage records reflect aggregate quarterly wages for individuals in covered jobs.  Wage records do not indicate whether an individual is employed full or part-time, and may reflect mu</w:t>
      </w:r>
      <w:r>
        <w:t>l</w:t>
      </w:r>
      <w:r>
        <w:t xml:space="preserve">tiple jobs in a single quarter. </w:t>
      </w:r>
    </w:p>
    <w:p w:rsidR="0070720B" w:rsidRDefault="0070720B" w:rsidP="00D14902">
      <w:pPr>
        <w:pStyle w:val="ListParagraph"/>
        <w:numPr>
          <w:ilvl w:val="0"/>
          <w:numId w:val="2"/>
        </w:numPr>
        <w:spacing w:line="276" w:lineRule="auto"/>
      </w:pPr>
      <w:r>
        <w:lastRenderedPageBreak/>
        <w:t>Wage outcomes in areas of study with small numbers of completers may be affected by grad</w:t>
      </w:r>
      <w:r>
        <w:t>u</w:t>
      </w:r>
      <w:r>
        <w:t>ates with unusually high or low wages.</w:t>
      </w:r>
    </w:p>
    <w:p w:rsidR="0070720B" w:rsidRDefault="006B4235" w:rsidP="00E66D89">
      <w:pPr>
        <w:pStyle w:val="Heading2"/>
      </w:pPr>
      <w:r>
        <w:t>Highlights of first year outcomes</w:t>
      </w:r>
    </w:p>
    <w:p w:rsidR="006B4235" w:rsidRDefault="006B4235" w:rsidP="006B4235">
      <w:pPr>
        <w:spacing w:line="276" w:lineRule="auto"/>
      </w:pPr>
      <w:r w:rsidRPr="004A2111">
        <w:t xml:space="preserve">Matching student data with wage records </w:t>
      </w:r>
      <w:r>
        <w:t xml:space="preserve">helps address important, but heretofore difficult to answer questions regarding the employment outcomes of those in post-secondary education programs. </w:t>
      </w:r>
      <w:r w:rsidRPr="004A2111">
        <w:t>Do new graduates get jobs</w:t>
      </w:r>
      <w:r>
        <w:t xml:space="preserve"> in Maine</w:t>
      </w:r>
      <w:r w:rsidRPr="004A2111">
        <w:t>? Do they remain em</w:t>
      </w:r>
      <w:r>
        <w:t>ployed? What are they paid</w:t>
      </w:r>
      <w:r w:rsidRPr="004A2111">
        <w:t xml:space="preserve">? </w:t>
      </w:r>
      <w:r>
        <w:t>Answers to these que</w:t>
      </w:r>
      <w:r>
        <w:t>s</w:t>
      </w:r>
      <w:r>
        <w:t>tions shed light on the Maine economy, education programs, career options, plus more. Following are pr</w:t>
      </w:r>
      <w:r>
        <w:t>e</w:t>
      </w:r>
      <w:r>
        <w:t xml:space="preserve">liminary observations of the first year outcomes for The Classes of 2009 – 2011. </w:t>
      </w:r>
    </w:p>
    <w:p w:rsidR="00C40500" w:rsidRDefault="00C40500" w:rsidP="00C40500">
      <w:pPr>
        <w:pStyle w:val="Heading3"/>
      </w:pPr>
      <w:r>
        <w:t xml:space="preserve">Most graduates stayed in Maine and found employment </w:t>
      </w:r>
    </w:p>
    <w:p w:rsidR="002953E2" w:rsidRDefault="002953E2" w:rsidP="002953E2">
      <w:pPr>
        <w:spacing w:line="276" w:lineRule="auto"/>
      </w:pPr>
      <w:r>
        <w:t>Overall, 76 percent of the graduates were identified as having been employed in Maine during the first year after completing their degree.</w:t>
      </w:r>
      <w:r w:rsidRPr="004F7DB1">
        <w:t xml:space="preserve"> </w:t>
      </w:r>
      <w:r w:rsidR="008F1E1C">
        <w:t>As noted above, t</w:t>
      </w:r>
      <w:r w:rsidRPr="00FB591F">
        <w:t xml:space="preserve">his broad measure captures any individual that had a wage record at any point during quarters three through six post-graduation. While this does not tell us how long individuals were employed or what they earned, it does indicate that a </w:t>
      </w:r>
      <w:r>
        <w:t xml:space="preserve">relatively </w:t>
      </w:r>
      <w:r w:rsidRPr="00FB591F">
        <w:t>high proportion re</w:t>
      </w:r>
      <w:r>
        <w:t xml:space="preserve">mained in-state </w:t>
      </w:r>
      <w:r w:rsidRPr="00FB591F">
        <w:t xml:space="preserve">and successfully garnered some type of </w:t>
      </w:r>
      <w:r>
        <w:t xml:space="preserve">work </w:t>
      </w:r>
      <w:r w:rsidRPr="00FB591F">
        <w:t xml:space="preserve">subsequent to </w:t>
      </w:r>
      <w:r>
        <w:t>earning their award</w:t>
      </w:r>
      <w:r w:rsidR="00672119">
        <w:t>.</w:t>
      </w:r>
      <w:r>
        <w:t xml:space="preserve"> </w:t>
      </w:r>
      <w:r w:rsidR="002838D6">
        <w:t>Recall that</w:t>
      </w:r>
      <w:r w:rsidRPr="00FB591F">
        <w:t xml:space="preserve"> the completers that were not found in MDOL’s wage database </w:t>
      </w:r>
      <w:r>
        <w:t>(24 percent of the t</w:t>
      </w:r>
      <w:r>
        <w:t>o</w:t>
      </w:r>
      <w:r>
        <w:t xml:space="preserve">tal) </w:t>
      </w:r>
      <w:r w:rsidRPr="00FB591F">
        <w:t>were not necessarily unemployed; they may have left the state for jobs, be</w:t>
      </w:r>
      <w:r w:rsidR="001E6996">
        <w:t>en</w:t>
      </w:r>
      <w:r>
        <w:t xml:space="preserve"> self-employed, </w:t>
      </w:r>
      <w:r w:rsidRPr="00FB591F">
        <w:t>ga</w:t>
      </w:r>
      <w:r w:rsidRPr="00FB591F">
        <w:t>r</w:t>
      </w:r>
      <w:r w:rsidRPr="00FB591F">
        <w:t>nered employm</w:t>
      </w:r>
      <w:r>
        <w:t>ent with the federal government or re-enrolled in further education</w:t>
      </w:r>
      <w:r w:rsidRPr="00FB591F">
        <w:t xml:space="preserve">. </w:t>
      </w:r>
    </w:p>
    <w:p w:rsidR="000C1A70" w:rsidRPr="00463E0C" w:rsidRDefault="000C1A70" w:rsidP="000C1A70">
      <w:pPr>
        <w:spacing w:line="276" w:lineRule="auto"/>
        <w:rPr>
          <w:rStyle w:val="SubtleEmphasis"/>
          <w:i w:val="0"/>
          <w:color w:val="auto"/>
        </w:rPr>
      </w:pPr>
      <w:r>
        <w:rPr>
          <w:rStyle w:val="SubtleEmphasis"/>
          <w:i w:val="0"/>
          <w:color w:val="auto"/>
        </w:rPr>
        <w:t>C</w:t>
      </w:r>
      <w:r w:rsidRPr="00463E0C">
        <w:rPr>
          <w:rStyle w:val="SubtleEmphasis"/>
          <w:i w:val="0"/>
          <w:color w:val="auto"/>
        </w:rPr>
        <w:t>ommunity college graduates were more likely to have been employed in Maine than university co</w:t>
      </w:r>
      <w:r w:rsidRPr="00463E0C">
        <w:rPr>
          <w:rStyle w:val="SubtleEmphasis"/>
          <w:i w:val="0"/>
          <w:color w:val="auto"/>
        </w:rPr>
        <w:t>m</w:t>
      </w:r>
      <w:r w:rsidR="00CC2A8E">
        <w:rPr>
          <w:rStyle w:val="SubtleEmphasis"/>
          <w:i w:val="0"/>
          <w:color w:val="auto"/>
        </w:rPr>
        <w:t>pleters. Eighty-four</w:t>
      </w:r>
      <w:r w:rsidRPr="00463E0C">
        <w:rPr>
          <w:rStyle w:val="SubtleEmphasis"/>
          <w:i w:val="0"/>
          <w:color w:val="auto"/>
        </w:rPr>
        <w:t xml:space="preserve"> percent of those with a community college award worked in-state during their first year compared to 73 percent of university graduates. </w:t>
      </w:r>
      <w:r w:rsidR="001763CB" w:rsidRPr="00463E0C">
        <w:rPr>
          <w:rStyle w:val="SubtleEmphasis"/>
          <w:i w:val="0"/>
          <w:color w:val="auto"/>
        </w:rPr>
        <w:t xml:space="preserve">Considering that </w:t>
      </w:r>
      <w:r w:rsidR="001763CB">
        <w:rPr>
          <w:rStyle w:val="SubtleEmphasis"/>
          <w:i w:val="0"/>
          <w:color w:val="auto"/>
        </w:rPr>
        <w:t>11</w:t>
      </w:r>
      <w:r w:rsidR="001763CB" w:rsidRPr="00463E0C">
        <w:rPr>
          <w:rStyle w:val="SubtleEmphasis"/>
          <w:i w:val="0"/>
          <w:color w:val="auto"/>
        </w:rPr>
        <w:t xml:space="preserve"> </w:t>
      </w:r>
      <w:r w:rsidR="001763CB">
        <w:rPr>
          <w:rStyle w:val="SubtleEmphasis"/>
          <w:i w:val="0"/>
          <w:color w:val="auto"/>
        </w:rPr>
        <w:t xml:space="preserve">and five </w:t>
      </w:r>
      <w:r w:rsidR="001763CB" w:rsidRPr="00463E0C">
        <w:rPr>
          <w:rStyle w:val="SubtleEmphasis"/>
          <w:i w:val="0"/>
          <w:color w:val="auto"/>
        </w:rPr>
        <w:t xml:space="preserve">percent of the </w:t>
      </w:r>
      <w:r w:rsidR="001763CB">
        <w:rPr>
          <w:rStyle w:val="SubtleEmphasis"/>
          <w:i w:val="0"/>
          <w:color w:val="auto"/>
        </w:rPr>
        <w:t>UMS</w:t>
      </w:r>
      <w:r w:rsidR="001763CB" w:rsidRPr="00463E0C">
        <w:rPr>
          <w:rStyle w:val="SubtleEmphasis"/>
          <w:i w:val="0"/>
          <w:color w:val="auto"/>
        </w:rPr>
        <w:t xml:space="preserve"> students originate</w:t>
      </w:r>
      <w:r w:rsidR="001763CB">
        <w:rPr>
          <w:rStyle w:val="SubtleEmphasis"/>
          <w:i w:val="0"/>
          <w:color w:val="auto"/>
        </w:rPr>
        <w:t>d</w:t>
      </w:r>
      <w:r w:rsidR="001763CB" w:rsidRPr="00463E0C">
        <w:rPr>
          <w:rStyle w:val="SubtleEmphasis"/>
          <w:i w:val="0"/>
          <w:color w:val="auto"/>
        </w:rPr>
        <w:t xml:space="preserve"> from </w:t>
      </w:r>
      <w:r w:rsidR="001763CB">
        <w:rPr>
          <w:rStyle w:val="SubtleEmphasis"/>
          <w:i w:val="0"/>
          <w:color w:val="auto"/>
        </w:rPr>
        <w:t>other states and countries, respectively</w:t>
      </w:r>
      <w:r w:rsidR="001763CB" w:rsidRPr="00463E0C">
        <w:rPr>
          <w:rStyle w:val="SubtleEmphasis"/>
          <w:i w:val="0"/>
          <w:color w:val="auto"/>
        </w:rPr>
        <w:t xml:space="preserve">, these figures are not surprising. </w:t>
      </w:r>
    </w:p>
    <w:p w:rsidR="00954828" w:rsidRDefault="00285E96" w:rsidP="00954828">
      <w:pPr>
        <w:spacing w:line="276" w:lineRule="auto"/>
      </w:pPr>
      <w:r>
        <w:t>By credential, the p</w:t>
      </w:r>
      <w:r w:rsidR="00B17DDD">
        <w:t xml:space="preserve">ercent employed ranged from a low of 50 percent for those with doctorates to 96 percent for </w:t>
      </w:r>
      <w:r w:rsidR="00F30152">
        <w:t>graduates with</w:t>
      </w:r>
      <w:r w:rsidR="00B17DDD">
        <w:t xml:space="preserve"> post-masters certificate</w:t>
      </w:r>
      <w:r w:rsidR="00F30152">
        <w:t>s</w:t>
      </w:r>
      <w:r w:rsidR="00B17DDD">
        <w:t xml:space="preserve">. </w:t>
      </w:r>
      <w:r w:rsidR="00F836CB">
        <w:t xml:space="preserve">Results are displayed in the chart below. </w:t>
      </w:r>
      <w:r w:rsidR="00B17DDD">
        <w:t xml:space="preserve">Several factors </w:t>
      </w:r>
      <w:r w:rsidR="00805F9B">
        <w:t>shed light on</w:t>
      </w:r>
      <w:r w:rsidR="00B17DDD">
        <w:t xml:space="preserve"> the </w:t>
      </w:r>
      <w:r w:rsidR="00192EA8">
        <w:t>range in</w:t>
      </w:r>
      <w:r w:rsidR="00B17DDD">
        <w:t xml:space="preserve"> out</w:t>
      </w:r>
      <w:r w:rsidR="00954828">
        <w:t>comes.</w:t>
      </w:r>
    </w:p>
    <w:p w:rsidR="00285E96" w:rsidRPr="00285E96" w:rsidRDefault="00285E96" w:rsidP="00285E96">
      <w:pPr>
        <w:pStyle w:val="ListParagraph"/>
        <w:numPr>
          <w:ilvl w:val="0"/>
          <w:numId w:val="18"/>
        </w:numPr>
        <w:spacing w:line="276" w:lineRule="auto"/>
      </w:pPr>
      <w:r w:rsidRPr="00285E96">
        <w:t xml:space="preserve">Graduates with higher level credentials and those originating from outside Maine may </w:t>
      </w:r>
      <w:r>
        <w:t xml:space="preserve">have </w:t>
      </w:r>
      <w:r w:rsidRPr="00285E96">
        <w:t>be</w:t>
      </w:r>
      <w:r>
        <w:t>en</w:t>
      </w:r>
      <w:r w:rsidRPr="00285E96">
        <w:t xml:space="preserve"> more willing to seek employment </w:t>
      </w:r>
      <w:r w:rsidR="003472D9">
        <w:t>outside the state, yet</w:t>
      </w:r>
      <w:r w:rsidR="001763CB">
        <w:t xml:space="preserve"> this system only captures employment in Maine</w:t>
      </w:r>
      <w:r w:rsidRPr="00285E96">
        <w:t>. These factors may explain the below average employment figures for those with docto</w:t>
      </w:r>
      <w:r w:rsidRPr="00285E96">
        <w:t>r</w:t>
      </w:r>
      <w:r w:rsidRPr="00285E96">
        <w:t xml:space="preserve">ates, law and bachelor degrees.  </w:t>
      </w:r>
    </w:p>
    <w:p w:rsidR="00954828" w:rsidRDefault="00954828" w:rsidP="00954828">
      <w:pPr>
        <w:pStyle w:val="ListParagraph"/>
        <w:numPr>
          <w:ilvl w:val="0"/>
          <w:numId w:val="18"/>
        </w:numPr>
        <w:spacing w:line="276" w:lineRule="auto"/>
      </w:pPr>
      <w:r>
        <w:t>M</w:t>
      </w:r>
      <w:r w:rsidR="00805F9B">
        <w:t xml:space="preserve">any students </w:t>
      </w:r>
      <w:r w:rsidR="00152DC8">
        <w:t>earn</w:t>
      </w:r>
      <w:r w:rsidR="00805F9B">
        <w:t xml:space="preserve"> their credential</w:t>
      </w:r>
      <w:r w:rsidR="00152DC8">
        <w:t xml:space="preserve"> while remaining employed</w:t>
      </w:r>
      <w:r w:rsidR="00805F9B">
        <w:t xml:space="preserve">, which can </w:t>
      </w:r>
      <w:r w:rsidR="001763CB">
        <w:t>affect</w:t>
      </w:r>
      <w:r w:rsidR="00152DC8">
        <w:t xml:space="preserve"> post-graduation employment figures</w:t>
      </w:r>
      <w:r w:rsidR="006B4235">
        <w:t xml:space="preserve"> (if students remain in those jobs)</w:t>
      </w:r>
      <w:r w:rsidR="00152DC8">
        <w:t xml:space="preserve">. This </w:t>
      </w:r>
      <w:r w:rsidR="001763CB">
        <w:t>may be an underlying factor in</w:t>
      </w:r>
      <w:r w:rsidR="00152DC8">
        <w:t xml:space="preserve"> the </w:t>
      </w:r>
      <w:r w:rsidR="00943B75">
        <w:t>very high</w:t>
      </w:r>
      <w:r w:rsidR="00152DC8">
        <w:t xml:space="preserve"> employment</w:t>
      </w:r>
      <w:r>
        <w:t xml:space="preserve"> </w:t>
      </w:r>
      <w:r w:rsidR="00943B75">
        <w:t xml:space="preserve">ratio </w:t>
      </w:r>
      <w:r>
        <w:t>for post-masters certificates.</w:t>
      </w:r>
      <w:r w:rsidR="00943B75">
        <w:rPr>
          <w:rStyle w:val="FootnoteReference"/>
        </w:rPr>
        <w:footnoteReference w:id="3"/>
      </w:r>
      <w:r>
        <w:t xml:space="preserve"> </w:t>
      </w:r>
    </w:p>
    <w:p w:rsidR="00F4554A" w:rsidRDefault="00954828" w:rsidP="00D473D7">
      <w:pPr>
        <w:pStyle w:val="ListParagraph"/>
        <w:numPr>
          <w:ilvl w:val="0"/>
          <w:numId w:val="18"/>
        </w:numPr>
        <w:spacing w:line="276" w:lineRule="auto"/>
      </w:pPr>
      <w:r>
        <w:t>S</w:t>
      </w:r>
      <w:r w:rsidR="002838D6">
        <w:t>ome graduates</w:t>
      </w:r>
      <w:r w:rsidR="001330F8">
        <w:t xml:space="preserve"> re-m</w:t>
      </w:r>
      <w:r w:rsidR="002838D6">
        <w:t>atriculate and do not seek employment</w:t>
      </w:r>
      <w:r w:rsidR="001330F8">
        <w:t xml:space="preserve">. </w:t>
      </w:r>
      <w:r w:rsidR="00195679">
        <w:t>The a</w:t>
      </w:r>
      <w:r w:rsidR="00F4554A">
        <w:t>ssociates in arts program pr</w:t>
      </w:r>
      <w:r w:rsidR="00F4554A">
        <w:t>e</w:t>
      </w:r>
      <w:r w:rsidR="00F4554A">
        <w:t>pares students for transfer into an upper level bachelor’s program, which may explain why the ratio of graduates employed (76 percent) is below that of other associate degrees</w:t>
      </w:r>
      <w:r w:rsidR="00F836CB">
        <w:t>.</w:t>
      </w:r>
      <w:r w:rsidR="00F4554A">
        <w:t xml:space="preserve"> </w:t>
      </w:r>
    </w:p>
    <w:p w:rsidR="00D22DF8" w:rsidRDefault="00D22DF8" w:rsidP="00D22DF8">
      <w:pPr>
        <w:pStyle w:val="ListParagraph"/>
        <w:spacing w:line="276" w:lineRule="auto"/>
      </w:pPr>
    </w:p>
    <w:p w:rsidR="002953E2" w:rsidRDefault="00EA0C1E" w:rsidP="002953E2">
      <w:pPr>
        <w:spacing w:line="276" w:lineRule="auto"/>
      </w:pPr>
      <w:r>
        <w:rPr>
          <w:noProof/>
        </w:rPr>
        <w:lastRenderedPageBreak/>
        <mc:AlternateContent>
          <mc:Choice Requires="wps">
            <w:drawing>
              <wp:anchor distT="0" distB="0" distL="114300" distR="114300" simplePos="0" relativeHeight="251677696" behindDoc="0" locked="0" layoutInCell="1" allowOverlap="1" wp14:anchorId="2F2738D6" wp14:editId="0EBC471B">
                <wp:simplePos x="0" y="0"/>
                <wp:positionH relativeFrom="column">
                  <wp:posOffset>4914900</wp:posOffset>
                </wp:positionH>
                <wp:positionV relativeFrom="paragraph">
                  <wp:posOffset>2888615</wp:posOffset>
                </wp:positionV>
                <wp:extent cx="476250" cy="0"/>
                <wp:effectExtent l="38100" t="76200" r="0" b="114300"/>
                <wp:wrapNone/>
                <wp:docPr id="30" name="Straight Arrow Connector 30"/>
                <wp:cNvGraphicFramePr/>
                <a:graphic xmlns:a="http://schemas.openxmlformats.org/drawingml/2006/main">
                  <a:graphicData uri="http://schemas.microsoft.com/office/word/2010/wordprocessingShape">
                    <wps:wsp>
                      <wps:cNvCnPr/>
                      <wps:spPr>
                        <a:xfrm flipH="1">
                          <a:off x="0" y="0"/>
                          <a:ext cx="476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387pt;margin-top:227.45pt;width:37.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" strokecolor="#4579b8 [3044]">
                <v:stroke endarrow="open"/>
              </v:shape>
            </w:pict>
          </mc:Fallback>
        </mc:AlternateContent>
      </w:r>
      <w:r w:rsidR="007601C7">
        <w:rPr>
          <w:noProof/>
        </w:rPr>
        <mc:AlternateContent>
          <mc:Choice Requires="wps">
            <w:drawing>
              <wp:anchor distT="0" distB="0" distL="114300" distR="114300" simplePos="0" relativeHeight="251673600" behindDoc="0" locked="0" layoutInCell="1" allowOverlap="1" wp14:anchorId="680096B8" wp14:editId="79A30EB8">
                <wp:simplePos x="0" y="0"/>
                <wp:positionH relativeFrom="column">
                  <wp:posOffset>5486400</wp:posOffset>
                </wp:positionH>
                <wp:positionV relativeFrom="paragraph">
                  <wp:posOffset>2005330</wp:posOffset>
                </wp:positionV>
                <wp:extent cx="1200150" cy="12573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120015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AEA" w:rsidRPr="006B43D9" w:rsidRDefault="00893AEA">
                            <w:pPr>
                              <w:rPr>
                                <w:i/>
                              </w:rPr>
                            </w:pPr>
                            <w:r>
                              <w:rPr>
                                <w:i/>
                              </w:rPr>
                              <w:t xml:space="preserve">Overall, </w:t>
                            </w:r>
                            <w:r w:rsidRPr="006B43D9">
                              <w:rPr>
                                <w:i/>
                              </w:rPr>
                              <w:t>76 pe</w:t>
                            </w:r>
                            <w:r w:rsidRPr="006B43D9">
                              <w:rPr>
                                <w:i/>
                              </w:rPr>
                              <w:t>r</w:t>
                            </w:r>
                            <w:r w:rsidRPr="006B43D9">
                              <w:rPr>
                                <w:i/>
                              </w:rPr>
                              <w:t>cent of grad</w:t>
                            </w:r>
                            <w:r w:rsidRPr="006B43D9">
                              <w:rPr>
                                <w:i/>
                              </w:rPr>
                              <w:t>u</w:t>
                            </w:r>
                            <w:r w:rsidRPr="006B43D9">
                              <w:rPr>
                                <w:i/>
                              </w:rPr>
                              <w:t xml:space="preserve">ates </w:t>
                            </w:r>
                            <w:r>
                              <w:rPr>
                                <w:i/>
                              </w:rPr>
                              <w:t xml:space="preserve">in the cohort </w:t>
                            </w:r>
                            <w:r w:rsidRPr="006B43D9">
                              <w:rPr>
                                <w:i/>
                              </w:rPr>
                              <w:t>were employed in Maine during the first year after graduation.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1" type="#_x0000_t202" style="position:absolute;margin-left:6in;margin-top:157.9pt;width:94.5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" fillcolor="white [3201]" strokeweight=".5pt">
                <v:textbox>
                  <w:txbxContent>
                    <w:p w:rsidR="00893AEA" w:rsidRPr="006B43D9" w:rsidRDefault="00893AEA">
                      <w:pPr>
                        <w:rPr>
                          <w:i/>
                        </w:rPr>
                      </w:pPr>
                      <w:r>
                        <w:rPr>
                          <w:i/>
                        </w:rPr>
                        <w:t xml:space="preserve">Overall, </w:t>
                      </w:r>
                      <w:r w:rsidRPr="006B43D9">
                        <w:rPr>
                          <w:i/>
                        </w:rPr>
                        <w:t>76 pe</w:t>
                      </w:r>
                      <w:r w:rsidRPr="006B43D9">
                        <w:rPr>
                          <w:i/>
                        </w:rPr>
                        <w:t>r</w:t>
                      </w:r>
                      <w:r w:rsidRPr="006B43D9">
                        <w:rPr>
                          <w:i/>
                        </w:rPr>
                        <w:t>cent of grad</w:t>
                      </w:r>
                      <w:r w:rsidRPr="006B43D9">
                        <w:rPr>
                          <w:i/>
                        </w:rPr>
                        <w:t>u</w:t>
                      </w:r>
                      <w:r w:rsidRPr="006B43D9">
                        <w:rPr>
                          <w:i/>
                        </w:rPr>
                        <w:t xml:space="preserve">ates </w:t>
                      </w:r>
                      <w:r>
                        <w:rPr>
                          <w:i/>
                        </w:rPr>
                        <w:t xml:space="preserve">in the cohort </w:t>
                      </w:r>
                      <w:r w:rsidRPr="006B43D9">
                        <w:rPr>
                          <w:i/>
                        </w:rPr>
                        <w:t>were employed in Maine during the first year after graduation.</w:t>
                      </w:r>
                    </w:p>
                  </w:txbxContent>
                </v:textbox>
              </v:shape>
            </w:pict>
          </mc:Fallback>
        </mc:AlternateContent>
      </w:r>
      <w:r w:rsidR="002953E2">
        <w:rPr>
          <w:noProof/>
        </w:rPr>
        <w:drawing>
          <wp:inline distT="0" distB="0" distL="0" distR="0" wp14:anchorId="7F78AF09" wp14:editId="53DFF8C2">
            <wp:extent cx="5999929" cy="4352925"/>
            <wp:effectExtent l="0" t="0" r="1270" b="0"/>
            <wp:docPr id="6" name="Picture 6" descr="Showing the percent employed by major credential. Post-master's degree earners had the highest ratio of employment, at 96%. Doctorate was the lowest at 50%. " title="Wage and Employment Outcomes By Major Cre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s % with any wage.PNG"/>
                    <pic:cNvPicPr/>
                  </pic:nvPicPr>
                  <pic:blipFill>
                    <a:blip r:embed="rId21">
                      <a:extLst>
                        <a:ext uri="{28A0092B-C50C-407E-A947-70E740481C1C}">
                          <a14:useLocalDpi xmlns:a14="http://schemas.microsoft.com/office/drawing/2010/main" val="0"/>
                        </a:ext>
                      </a:extLst>
                    </a:blip>
                    <a:stretch>
                      <a:fillRect/>
                    </a:stretch>
                  </pic:blipFill>
                  <pic:spPr>
                    <a:xfrm>
                      <a:off x="0" y="0"/>
                      <a:ext cx="5999929" cy="4352925"/>
                    </a:xfrm>
                    <a:prstGeom prst="rect">
                      <a:avLst/>
                    </a:prstGeom>
                  </pic:spPr>
                </pic:pic>
              </a:graphicData>
            </a:graphic>
          </wp:inline>
        </w:drawing>
      </w:r>
    </w:p>
    <w:p w:rsidR="00413D7A" w:rsidRDefault="00413D7A" w:rsidP="00413D7A">
      <w:pPr>
        <w:pStyle w:val="FootnoteText"/>
        <w:jc w:val="center"/>
        <w:rPr>
          <w:rStyle w:val="SubtleEmphasis"/>
          <w:sz w:val="22"/>
        </w:rPr>
      </w:pPr>
      <w:r w:rsidRPr="00A768EB">
        <w:rPr>
          <w:rStyle w:val="SubtleEmphasis"/>
          <w:sz w:val="22"/>
        </w:rPr>
        <w:t>To replicate this chart on the “Colleges” tab, select ‘Graph” under the display menu and under Graph Value select, “% of completers with any wage data.”</w:t>
      </w:r>
    </w:p>
    <w:p w:rsidR="00943B75" w:rsidRPr="00943B75" w:rsidRDefault="00943B75" w:rsidP="0097373E">
      <w:pPr>
        <w:pStyle w:val="Heading3"/>
        <w:rPr>
          <w:sz w:val="2"/>
        </w:rPr>
      </w:pPr>
    </w:p>
    <w:p w:rsidR="00BF1C71" w:rsidRDefault="0097373E" w:rsidP="0097373E">
      <w:pPr>
        <w:pStyle w:val="Heading3"/>
      </w:pPr>
      <w:r>
        <w:t>Fewer than one out of two appear to be working full-time</w:t>
      </w:r>
    </w:p>
    <w:p w:rsidR="007601C7" w:rsidRDefault="007601C7" w:rsidP="007601C7">
      <w:pPr>
        <w:spacing w:line="276" w:lineRule="auto"/>
      </w:pPr>
      <w:r w:rsidRPr="005416A8">
        <w:t>While three fourths of the graduates found employment in Maine, less than half had wage records co</w:t>
      </w:r>
      <w:r w:rsidRPr="005416A8">
        <w:t>n</w:t>
      </w:r>
      <w:r w:rsidRPr="005416A8">
        <w:t>sistent wi</w:t>
      </w:r>
      <w:r>
        <w:t xml:space="preserve">th </w:t>
      </w:r>
      <w:r w:rsidR="001763CB">
        <w:t>full employment</w:t>
      </w:r>
      <w:r>
        <w:t xml:space="preserve">. Specifically, </w:t>
      </w:r>
      <w:r w:rsidR="008F1E1C">
        <w:t>46</w:t>
      </w:r>
      <w:r>
        <w:t xml:space="preserve"> percent</w:t>
      </w:r>
      <w:r w:rsidRPr="005416A8">
        <w:t xml:space="preserve"> </w:t>
      </w:r>
      <w:r>
        <w:t xml:space="preserve">had earnings </w:t>
      </w:r>
      <w:r w:rsidRPr="005416A8">
        <w:t>above a minimum wage threshold in each quarter</w:t>
      </w:r>
      <w:r>
        <w:t xml:space="preserve"> of the measurement period</w:t>
      </w:r>
      <w:r w:rsidRPr="005416A8">
        <w:t xml:space="preserve">. </w:t>
      </w:r>
      <w:r>
        <w:t xml:space="preserve">The remaining 30 percent of working graduates were </w:t>
      </w:r>
      <w:r w:rsidR="00A331BA">
        <w:t xml:space="preserve">either </w:t>
      </w:r>
      <w:r>
        <w:t>not employed in all quarters or had wages below the minimum threshold.</w:t>
      </w:r>
    </w:p>
    <w:p w:rsidR="00BC1C60" w:rsidRDefault="00BC1C60" w:rsidP="00BC1C60">
      <w:pPr>
        <w:spacing w:line="276" w:lineRule="auto"/>
      </w:pPr>
      <w:r>
        <w:t>As n</w:t>
      </w:r>
      <w:r w:rsidR="001763CB">
        <w:t xml:space="preserve">oted earlier, we’re not able </w:t>
      </w:r>
      <w:r>
        <w:t xml:space="preserve">to more specifically determine the outcomes of the 24 percent </w:t>
      </w:r>
      <w:r w:rsidR="001763CB">
        <w:t>of the c</w:t>
      </w:r>
      <w:r w:rsidR="001763CB">
        <w:t>o</w:t>
      </w:r>
      <w:r w:rsidR="001763CB">
        <w:t>hort that had</w:t>
      </w:r>
      <w:r>
        <w:t xml:space="preserve"> no wage records in Maine. </w:t>
      </w:r>
    </w:p>
    <w:p w:rsidR="00BC1C60" w:rsidRDefault="00BC1C60" w:rsidP="007601C7">
      <w:pPr>
        <w:spacing w:line="276" w:lineRule="auto"/>
      </w:pPr>
    </w:p>
    <w:p w:rsidR="00BE219A" w:rsidRDefault="00BE219A" w:rsidP="007601C7">
      <w:pPr>
        <w:spacing w:line="276" w:lineRule="auto"/>
      </w:pPr>
      <w:r>
        <w:rPr>
          <w:noProof/>
        </w:rPr>
        <w:lastRenderedPageBreak/>
        <w:drawing>
          <wp:inline distT="0" distB="0" distL="0" distR="0" wp14:anchorId="52571A7E" wp14:editId="72A042D0">
            <wp:extent cx="6219825" cy="3638550"/>
            <wp:effectExtent l="0" t="57150" r="0" b="190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C1C60" w:rsidRDefault="00BC1C60" w:rsidP="00C24F7C">
      <w:pPr>
        <w:spacing w:line="276" w:lineRule="auto"/>
      </w:pPr>
    </w:p>
    <w:p w:rsidR="00C24F7C" w:rsidRDefault="001763CB" w:rsidP="00C24F7C">
      <w:pPr>
        <w:spacing w:line="276" w:lineRule="auto"/>
      </w:pPr>
      <w:r>
        <w:t>Th</w:t>
      </w:r>
      <w:r w:rsidR="00C24F7C">
        <w:t xml:space="preserve">e ability of graduates to find employment was likely hampered by the ongoing repercussions of the Great Recession. While the Classes of 2009-2011 entered the job market during an economic recovery, hiring demand remained historically low for </w:t>
      </w:r>
      <w:r w:rsidR="004F7081">
        <w:t>years after the recession’s end</w:t>
      </w:r>
      <w:r w:rsidR="00C24F7C">
        <w:t>.</w:t>
      </w:r>
      <w:r w:rsidR="00C24F7C">
        <w:rPr>
          <w:rStyle w:val="FootnoteReference"/>
        </w:rPr>
        <w:footnoteReference w:id="4"/>
      </w:r>
      <w:r w:rsidR="00C24F7C">
        <w:t xml:space="preserve"> As more data is collected and longer-term outcomes processed, we expect to gain a better understanding of the economy’s impact on hiring demand and job retention.  </w:t>
      </w:r>
    </w:p>
    <w:p w:rsidR="00D6778B" w:rsidRPr="00D6778B" w:rsidRDefault="00D6778B" w:rsidP="003A530E">
      <w:pPr>
        <w:pStyle w:val="Normal3Paragraph"/>
        <w:rPr>
          <w:sz w:val="2"/>
        </w:rPr>
      </w:pPr>
    </w:p>
    <w:p w:rsidR="002953E2" w:rsidRDefault="0071594C" w:rsidP="00A30157">
      <w:pPr>
        <w:pStyle w:val="Heading3"/>
      </w:pPr>
      <w:r>
        <w:t xml:space="preserve">Higher credentials typically </w:t>
      </w:r>
      <w:r w:rsidR="00B42F49">
        <w:t>resulted</w:t>
      </w:r>
      <w:r>
        <w:t xml:space="preserve"> </w:t>
      </w:r>
      <w:r w:rsidR="00BC1C60">
        <w:t xml:space="preserve">in </w:t>
      </w:r>
      <w:r>
        <w:t>higher pay</w:t>
      </w:r>
    </w:p>
    <w:p w:rsidR="007601C7" w:rsidRDefault="007601C7" w:rsidP="007601C7">
      <w:pPr>
        <w:spacing w:line="276" w:lineRule="auto"/>
      </w:pPr>
      <w:r>
        <w:t xml:space="preserve">To understand what graduates earned we evaluated the group of completers that </w:t>
      </w:r>
      <w:r w:rsidRPr="008276AB">
        <w:t xml:space="preserve">had wages above the minimum threshold in every quarter throughout the </w:t>
      </w:r>
      <w:r>
        <w:t>measurement period</w:t>
      </w:r>
      <w:r w:rsidRPr="008276AB">
        <w:t xml:space="preserve">. </w:t>
      </w:r>
      <w:r>
        <w:t xml:space="preserve">By focusing on the 46 percent that met these criteria—and excluding the 30 percent that did not—we are able to better understand what those who were more fully and continuously employed earned during the first year after completing their award. </w:t>
      </w:r>
    </w:p>
    <w:p w:rsidR="007601C7" w:rsidRDefault="007601C7" w:rsidP="007601C7">
      <w:pPr>
        <w:spacing w:line="276" w:lineRule="auto"/>
      </w:pPr>
      <w:r>
        <w:t>Average First Year Wages (AFYW), displayed below, support the widely held notion that h</w:t>
      </w:r>
      <w:r w:rsidRPr="008E663D">
        <w:t xml:space="preserve">igher levels of education tend to </w:t>
      </w:r>
      <w:r>
        <w:t xml:space="preserve">be accompanied by higher remuneration. On one side of the spectrum, those who completed certificates </w:t>
      </w:r>
      <w:r w:rsidRPr="00090216">
        <w:t xml:space="preserve">had </w:t>
      </w:r>
      <w:r>
        <w:t>wages</w:t>
      </w:r>
      <w:r w:rsidRPr="00090216">
        <w:t xml:space="preserve"> </w:t>
      </w:r>
      <w:r w:rsidR="00DE3B7C">
        <w:t>in the low $</w:t>
      </w:r>
      <w:r>
        <w:t>30,000 range,</w:t>
      </w:r>
      <w:r w:rsidRPr="00090216">
        <w:t xml:space="preserve"> while </w:t>
      </w:r>
      <w:r>
        <w:t>those with a</w:t>
      </w:r>
      <w:r w:rsidRPr="00090216">
        <w:t xml:space="preserve"> doctorate </w:t>
      </w:r>
      <w:r>
        <w:t>earned a</w:t>
      </w:r>
      <w:r>
        <w:t>p</w:t>
      </w:r>
      <w:r>
        <w:t>proximately</w:t>
      </w:r>
      <w:r w:rsidRPr="00090216">
        <w:t xml:space="preserve"> twice that amount. </w:t>
      </w:r>
      <w:r w:rsidRPr="00021887">
        <w:t xml:space="preserve">In general, graduates with higher levels of education had higher first year wages. </w:t>
      </w:r>
    </w:p>
    <w:p w:rsidR="007601C7" w:rsidRPr="00090216" w:rsidRDefault="007601C7" w:rsidP="007601C7">
      <w:pPr>
        <w:spacing w:line="276" w:lineRule="auto"/>
      </w:pPr>
      <w:r>
        <w:t xml:space="preserve">Some programs stand out as exceptions to the general rule, with wages above that of the next higher credential. These programs </w:t>
      </w:r>
      <w:proofErr w:type="gramStart"/>
      <w:r>
        <w:t>(</w:t>
      </w:r>
      <w:r w:rsidRPr="00000D0C">
        <w:t>diplomas, post-associate certificates, post-baccalaureate and post-master’s</w:t>
      </w:r>
      <w:proofErr w:type="gramEnd"/>
      <w:r w:rsidRPr="00000D0C">
        <w:t xml:space="preserve"> </w:t>
      </w:r>
      <w:r>
        <w:lastRenderedPageBreak/>
        <w:t>certificates) were relatively small and had high percentages of graduates in well-paid areas. Analyzing future cohorts will help determine if these results are anomalies or normative.</w:t>
      </w:r>
    </w:p>
    <w:p w:rsidR="007601C7" w:rsidRDefault="007601C7" w:rsidP="007601C7">
      <w:pPr>
        <w:spacing w:line="276" w:lineRule="auto"/>
      </w:pPr>
      <w:r w:rsidRPr="00243190">
        <w:t xml:space="preserve">First year wages for associate and bachelor degrees were also similar. While </w:t>
      </w:r>
      <w:r>
        <w:t xml:space="preserve">this </w:t>
      </w:r>
      <w:r w:rsidRPr="00243190">
        <w:t>could reflect something about the mix of jobs available in Maine, longer term out</w:t>
      </w:r>
      <w:r>
        <w:t>comes are neces</w:t>
      </w:r>
      <w:r w:rsidRPr="00243190">
        <w:t>sary to fully understand the di</w:t>
      </w:r>
      <w:r w:rsidRPr="00243190">
        <w:t>f</w:t>
      </w:r>
      <w:r w:rsidRPr="00243190">
        <w:t>ferences between these credentials. Two and four year programs have different emphases, with the fo</w:t>
      </w:r>
      <w:r w:rsidRPr="00243190">
        <w:t>r</w:t>
      </w:r>
      <w:r w:rsidRPr="00243190">
        <w:t>mer tending to be more vocationally focused, and the latter typical</w:t>
      </w:r>
      <w:r>
        <w:t>ly in</w:t>
      </w:r>
      <w:r w:rsidRPr="00243190">
        <w:t>cluding more general education credits and affording a wider array of career options. The compa</w:t>
      </w:r>
      <w:r>
        <w:t>rative value of these degree</w:t>
      </w:r>
      <w:r w:rsidRPr="00243190">
        <w:t>s will be better understood—and measured—over longer periods than just the first year.</w:t>
      </w:r>
    </w:p>
    <w:p w:rsidR="00B62FFB" w:rsidRDefault="00B62FFB" w:rsidP="007B5E24">
      <w:pPr>
        <w:spacing w:line="276" w:lineRule="auto"/>
        <w:jc w:val="center"/>
      </w:pPr>
      <w:r>
        <w:rPr>
          <w:noProof/>
        </w:rPr>
        <w:drawing>
          <wp:inline distT="0" distB="0" distL="0" distR="0" wp14:anchorId="09302D1D" wp14:editId="183F5547">
            <wp:extent cx="5248274" cy="3038476"/>
            <wp:effectExtent l="0" t="0" r="0" b="0"/>
            <wp:docPr id="20" name="Chart 20" descr="The chart shows a positive correlation between education credential and average first year wage (AFYW). Those with certificates had wages between $30,550 and $31,571, those with bachelor degrees had AFYW of $34,837 and doctorates, $63,160. There are exceptions to the rule, as noted in the text of the report, but the general trend reflects higher AFYW for those with higher credentials. " title="Average First Year Wag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2DF8" w:rsidRDefault="00D22DF8" w:rsidP="007B5E24">
      <w:pPr>
        <w:spacing w:line="276" w:lineRule="auto"/>
        <w:jc w:val="center"/>
      </w:pPr>
    </w:p>
    <w:p w:rsidR="00DA623A" w:rsidRDefault="0071594C" w:rsidP="0071594C">
      <w:pPr>
        <w:pStyle w:val="Heading3"/>
      </w:pPr>
      <w:r>
        <w:t>Area of study detail</w:t>
      </w:r>
    </w:p>
    <w:p w:rsidR="0071594C" w:rsidRDefault="0071594C" w:rsidP="0071594C">
      <w:pPr>
        <w:spacing w:line="276" w:lineRule="auto"/>
      </w:pPr>
      <w:r>
        <w:t>MDOL’s employment outcomes dashboard makes the types of data presented above available for hu</w:t>
      </w:r>
      <w:r>
        <w:t>n</w:t>
      </w:r>
      <w:r>
        <w:t xml:space="preserve">dreds of credentials and areas of study. For example, </w:t>
      </w:r>
      <w:r w:rsidR="006B4235">
        <w:t xml:space="preserve">by manipulating the </w:t>
      </w:r>
      <w:r w:rsidR="00B206FE">
        <w:t xml:space="preserve">dashboard’s </w:t>
      </w:r>
      <w:r w:rsidR="006B4235">
        <w:t xml:space="preserve">filters and drop-down menus we learn that </w:t>
      </w:r>
      <w:r w:rsidR="00EA0C1E">
        <w:t>more than 74</w:t>
      </w:r>
      <w:r w:rsidR="00925CD9">
        <w:t>0</w:t>
      </w:r>
      <w:r>
        <w:t xml:space="preserve"> students across six campuses graduated with an associate d</w:t>
      </w:r>
      <w:r>
        <w:t>e</w:t>
      </w:r>
      <w:r>
        <w:t>gree in nursing. These students were highly employable—</w:t>
      </w:r>
      <w:r w:rsidR="00364252">
        <w:t>approximately</w:t>
      </w:r>
      <w:r w:rsidR="00925CD9">
        <w:t xml:space="preserve"> </w:t>
      </w:r>
      <w:r>
        <w:t>91percent found jobs during the first year and 78 percent had wage data consistent with full-time em</w:t>
      </w:r>
      <w:r w:rsidR="00B57E36">
        <w:t>ployment. Moreover, w</w:t>
      </w:r>
      <w:r>
        <w:t>ith first year wages of approximately $46,000, these graduates were among the highest paid for those with a two year credential. Employment outcomes were comparable across cam</w:t>
      </w:r>
      <w:r w:rsidR="00B57E36">
        <w:t xml:space="preserve">puses, as seen in the </w:t>
      </w:r>
      <w:r w:rsidR="00D12F1F">
        <w:t xml:space="preserve">screenshot </w:t>
      </w:r>
      <w:r w:rsidR="00B57E36">
        <w:t>b</w:t>
      </w:r>
      <w:r w:rsidR="00B57E36">
        <w:t>e</w:t>
      </w:r>
      <w:r w:rsidR="00B57E36">
        <w:t>low.</w:t>
      </w:r>
    </w:p>
    <w:p w:rsidR="0071594C" w:rsidRDefault="0071594C" w:rsidP="0071594C">
      <w:pPr>
        <w:spacing w:line="276" w:lineRule="auto"/>
      </w:pPr>
      <w:r>
        <w:rPr>
          <w:noProof/>
        </w:rPr>
        <w:lastRenderedPageBreak/>
        <w:drawing>
          <wp:inline distT="0" distB="0" distL="0" distR="0" wp14:anchorId="50B750EB" wp14:editId="23A83631">
            <wp:extent cx="6096000" cy="3602778"/>
            <wp:effectExtent l="0" t="0" r="0" b="0"/>
            <wp:docPr id="29" name="Picture 29" descr="Wage and employment outcomes for nurses with associate degrees are displayed. The table shows that outcomes for the nurses at the six different campuses are remarkably similar. The data in the table is summarized in the text of the report. " title="Wage and employment outcomes for nurses with associate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ing.bmp"/>
                    <pic:cNvPicPr/>
                  </pic:nvPicPr>
                  <pic:blipFill>
                    <a:blip r:embed="rId28">
                      <a:extLst>
                        <a:ext uri="{28A0092B-C50C-407E-A947-70E740481C1C}">
                          <a14:useLocalDpi xmlns:a14="http://schemas.microsoft.com/office/drawing/2010/main" val="0"/>
                        </a:ext>
                      </a:extLst>
                    </a:blip>
                    <a:stretch>
                      <a:fillRect/>
                    </a:stretch>
                  </pic:blipFill>
                  <pic:spPr>
                    <a:xfrm>
                      <a:off x="0" y="0"/>
                      <a:ext cx="6100131" cy="3605219"/>
                    </a:xfrm>
                    <a:prstGeom prst="rect">
                      <a:avLst/>
                    </a:prstGeom>
                  </pic:spPr>
                </pic:pic>
              </a:graphicData>
            </a:graphic>
          </wp:inline>
        </w:drawing>
      </w:r>
    </w:p>
    <w:p w:rsidR="00364252" w:rsidRPr="00B57E36" w:rsidRDefault="00364252" w:rsidP="00B57E36">
      <w:pPr>
        <w:pStyle w:val="FootnoteText"/>
        <w:jc w:val="center"/>
        <w:rPr>
          <w:i/>
          <w:iCs/>
          <w:color w:val="808080" w:themeColor="text1" w:themeTint="7F"/>
          <w:sz w:val="22"/>
        </w:rPr>
      </w:pPr>
      <w:r w:rsidRPr="00B57E36">
        <w:rPr>
          <w:rStyle w:val="SubtleEmphasis"/>
          <w:sz w:val="22"/>
        </w:rPr>
        <w:t>To replicate this chart</w:t>
      </w:r>
      <w:r w:rsidR="00B57E36" w:rsidRPr="00B57E36">
        <w:rPr>
          <w:rStyle w:val="SubtleEmphasis"/>
          <w:sz w:val="22"/>
        </w:rPr>
        <w:t>,</w:t>
      </w:r>
      <w:r w:rsidR="001763CB">
        <w:rPr>
          <w:rStyle w:val="SubtleEmphasis"/>
          <w:sz w:val="22"/>
        </w:rPr>
        <w:t xml:space="preserve"> on the </w:t>
      </w:r>
      <w:r w:rsidR="00B57E36" w:rsidRPr="00B57E36">
        <w:rPr>
          <w:rStyle w:val="SubtleEmphasis"/>
          <w:sz w:val="22"/>
        </w:rPr>
        <w:t>Area</w:t>
      </w:r>
      <w:r w:rsidR="001763CB">
        <w:rPr>
          <w:rStyle w:val="SubtleEmphasis"/>
          <w:sz w:val="22"/>
        </w:rPr>
        <w:t xml:space="preserve"> of Study</w:t>
      </w:r>
      <w:r w:rsidRPr="00B57E36">
        <w:rPr>
          <w:rStyle w:val="SubtleEmphasis"/>
          <w:sz w:val="22"/>
        </w:rPr>
        <w:t xml:space="preserve"> tab, select Health Professions and Related Programs under the CIP Grouping filter. Under the Area of Study filter, </w:t>
      </w:r>
      <w:r w:rsidR="00B57E36">
        <w:rPr>
          <w:rStyle w:val="SubtleEmphasis"/>
          <w:sz w:val="22"/>
        </w:rPr>
        <w:t>multi</w:t>
      </w:r>
      <w:r w:rsidR="00B57E36" w:rsidRPr="00B57E36">
        <w:rPr>
          <w:rStyle w:val="SubtleEmphasis"/>
          <w:sz w:val="22"/>
        </w:rPr>
        <w:t>-</w:t>
      </w:r>
      <w:r w:rsidRPr="00B57E36">
        <w:rPr>
          <w:rStyle w:val="SubtleEmphasis"/>
          <w:sz w:val="22"/>
        </w:rPr>
        <w:t xml:space="preserve">select Associate Degree Nursing and </w:t>
      </w:r>
      <w:r w:rsidR="00B57E36" w:rsidRPr="00B57E36">
        <w:rPr>
          <w:rStyle w:val="SubtleEmphasis"/>
          <w:sz w:val="22"/>
        </w:rPr>
        <w:t xml:space="preserve">all </w:t>
      </w:r>
      <w:r w:rsidRPr="00B57E36">
        <w:rPr>
          <w:rStyle w:val="SubtleEmphasis"/>
          <w:sz w:val="22"/>
        </w:rPr>
        <w:t xml:space="preserve">other </w:t>
      </w:r>
      <w:r w:rsidR="00B57E36" w:rsidRPr="00B57E36">
        <w:rPr>
          <w:rStyle w:val="SubtleEmphasis"/>
          <w:sz w:val="22"/>
        </w:rPr>
        <w:t>nursing pr</w:t>
      </w:r>
      <w:r w:rsidR="00B57E36" w:rsidRPr="00B57E36">
        <w:rPr>
          <w:rStyle w:val="SubtleEmphasis"/>
          <w:sz w:val="22"/>
        </w:rPr>
        <w:t>o</w:t>
      </w:r>
      <w:r w:rsidR="00B57E36" w:rsidRPr="00B57E36">
        <w:rPr>
          <w:rStyle w:val="SubtleEmphasis"/>
          <w:sz w:val="22"/>
        </w:rPr>
        <w:t>grams</w:t>
      </w:r>
      <w:r w:rsidR="001763CB">
        <w:rPr>
          <w:rStyle w:val="SubtleEmphasis"/>
          <w:sz w:val="22"/>
        </w:rPr>
        <w:t xml:space="preserve"> on the menu</w:t>
      </w:r>
      <w:r w:rsidR="00B57E36" w:rsidRPr="00B57E36">
        <w:rPr>
          <w:rStyle w:val="SubtleEmphasis"/>
          <w:sz w:val="22"/>
        </w:rPr>
        <w:t xml:space="preserve">. Under the Credential Type filter, select Associate Degree and Associate in Science. </w:t>
      </w:r>
    </w:p>
    <w:p w:rsidR="00D22DF8" w:rsidRDefault="00D22DF8" w:rsidP="0071594C">
      <w:pPr>
        <w:spacing w:line="276" w:lineRule="auto"/>
      </w:pPr>
    </w:p>
    <w:p w:rsidR="0071594C" w:rsidRDefault="006B4235" w:rsidP="0071594C">
      <w:pPr>
        <w:spacing w:line="276" w:lineRule="auto"/>
      </w:pPr>
      <w:r>
        <w:t>We can also use t</w:t>
      </w:r>
      <w:r w:rsidR="00B57E36">
        <w:t>he dashboard t</w:t>
      </w:r>
      <w:r w:rsidR="0071594C">
        <w:t>o understand the progression in outcomes associated with higher levels of educational attainment within a field of study. To extend the previous example, those graduating with a bachelor’s in nursing had, on average, ten percent higher wages than those with the associate’s degree, but lower employment ratios. Those graduating with a master’s in nursing had first year wages 30 to 45 percent higher th</w:t>
      </w:r>
      <w:r>
        <w:t>an those with bachelor degrees.</w:t>
      </w:r>
      <w:r>
        <w:rPr>
          <w:rStyle w:val="FootnoteReference"/>
        </w:rPr>
        <w:footnoteReference w:id="5"/>
      </w:r>
    </w:p>
    <w:p w:rsidR="00A13558" w:rsidRDefault="00A52926" w:rsidP="001A6688">
      <w:pPr>
        <w:spacing w:line="276" w:lineRule="auto"/>
      </w:pPr>
      <w:r>
        <w:t>Readers</w:t>
      </w:r>
      <w:r w:rsidR="001A6688">
        <w:t xml:space="preserve"> </w:t>
      </w:r>
      <w:r w:rsidR="00FB0E46">
        <w:t>will find similar</w:t>
      </w:r>
      <w:r w:rsidR="001A6688">
        <w:t xml:space="preserve"> information </w:t>
      </w:r>
      <w:r w:rsidR="006B4235">
        <w:t>for an</w:t>
      </w:r>
      <w:r w:rsidR="00B57E36">
        <w:t xml:space="preserve"> array of </w:t>
      </w:r>
      <w:r w:rsidR="00FB0E46">
        <w:t xml:space="preserve">other </w:t>
      </w:r>
      <w:r w:rsidR="00EA0C1E">
        <w:t xml:space="preserve">fields </w:t>
      </w:r>
      <w:r w:rsidR="001A6688">
        <w:t>of study</w:t>
      </w:r>
      <w:r w:rsidR="00EA0C1E">
        <w:t>, programs and schools</w:t>
      </w:r>
      <w:r w:rsidR="001A6688">
        <w:t xml:space="preserve"> </w:t>
      </w:r>
      <w:r w:rsidR="00A13558">
        <w:t xml:space="preserve">at </w:t>
      </w:r>
      <w:hyperlink r:id="rId29" w:history="1">
        <w:r w:rsidR="00A13558" w:rsidRPr="00F853ED">
          <w:rPr>
            <w:rStyle w:val="Hyperlink"/>
          </w:rPr>
          <w:t>http://www.maine.gov/labor/cwri/wdqi/</w:t>
        </w:r>
      </w:hyperlink>
    </w:p>
    <w:p w:rsidR="00D362B9" w:rsidRDefault="00ED0452" w:rsidP="001A6688">
      <w:pPr>
        <w:spacing w:line="276" w:lineRule="auto"/>
      </w:pPr>
      <w:r>
        <w:t>The matching of education and wage records provides objective and quantifiable information on the ou</w:t>
      </w:r>
      <w:r>
        <w:t>t</w:t>
      </w:r>
      <w:r>
        <w:t xml:space="preserve">comes that have resulted for groups of individuals with specific credentials. </w:t>
      </w:r>
      <w:r w:rsidR="00D362B9">
        <w:t xml:space="preserve">This type of data has broad application for a wide range of stakeholders. With further development, longer term outcomes and new </w:t>
      </w:r>
      <w:r>
        <w:t xml:space="preserve">sources of data </w:t>
      </w:r>
      <w:r w:rsidR="00D362B9">
        <w:t xml:space="preserve">will be </w:t>
      </w:r>
      <w:r>
        <w:t>added</w:t>
      </w:r>
      <w:r w:rsidR="00D362B9">
        <w:t xml:space="preserve">, and our understanding of the complex relationship between educational attainment and employment outcomes </w:t>
      </w:r>
      <w:r w:rsidR="001763CB">
        <w:t xml:space="preserve">will </w:t>
      </w:r>
      <w:r w:rsidR="00D362B9">
        <w:t xml:space="preserve">increase. </w:t>
      </w:r>
      <w:r w:rsidR="006B4235">
        <w:t>In an environment of scarce resources</w:t>
      </w:r>
      <w:r>
        <w:t>, this type of information</w:t>
      </w:r>
      <w:r w:rsidR="006B4235">
        <w:t xml:space="preserve"> may play an increasingly prominent role in career and resource planning</w:t>
      </w:r>
      <w:r>
        <w:t xml:space="preserve"> decisions</w:t>
      </w:r>
      <w:r w:rsidR="006B4235">
        <w:t xml:space="preserve">. </w:t>
      </w:r>
    </w:p>
    <w:sectPr w:rsidR="00D362B9" w:rsidSect="00012CCC">
      <w:pgSz w:w="12240" w:h="15840" w:code="1"/>
      <w:pgMar w:top="1008"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4F7" w:rsidRDefault="003C34F7" w:rsidP="0002521F">
      <w:r>
        <w:separator/>
      </w:r>
    </w:p>
  </w:endnote>
  <w:endnote w:type="continuationSeparator" w:id="0">
    <w:p w:rsidR="003C34F7" w:rsidRDefault="003C34F7" w:rsidP="0002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AEA" w:rsidRPr="00FE2148" w:rsidRDefault="00893AEA" w:rsidP="00FE2148">
    <w:pPr>
      <w:pStyle w:val="Footer"/>
      <w:pBdr>
        <w:top w:val="single" w:sz="4" w:space="1" w:color="D9D9D9" w:themeColor="background1" w:themeShade="D9"/>
      </w:pBdr>
      <w:ind w:firstLine="2880"/>
      <w:rPr>
        <w:rFonts w:ascii="Tw Cen MT" w:hAnsi="Tw Cen MT"/>
        <w:b/>
        <w:bCs/>
      </w:rPr>
    </w:pPr>
    <w:r w:rsidRPr="00FE2148">
      <w:rPr>
        <w:rFonts w:ascii="Tw Cen MT" w:hAnsi="Tw Cen MT"/>
        <w:b/>
        <w:bCs/>
        <w:noProof/>
      </w:rPr>
      <w:drawing>
        <wp:anchor distT="0" distB="0" distL="114300" distR="114300" simplePos="0" relativeHeight="251657216" behindDoc="1" locked="0" layoutInCell="1" allowOverlap="1" wp14:anchorId="1248FA94" wp14:editId="14C1AA7A">
          <wp:simplePos x="0" y="0"/>
          <wp:positionH relativeFrom="column">
            <wp:posOffset>0</wp:posOffset>
          </wp:positionH>
          <wp:positionV relativeFrom="bottomMargin">
            <wp:posOffset>20918</wp:posOffset>
          </wp:positionV>
          <wp:extent cx="621792" cy="457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ol_black [Converte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792" cy="457200"/>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b/>
        <w:bCs/>
      </w:rPr>
      <w:t xml:space="preserve">Wage &amp; Employment Outcomes </w:t>
    </w:r>
    <w:r>
      <w:rPr>
        <w:rFonts w:ascii="Tw Cen MT" w:hAnsi="Tw Cen MT"/>
        <w:b/>
        <w:bCs/>
      </w:rPr>
      <w:tab/>
    </w:r>
    <w:r w:rsidRPr="00FE2148">
      <w:rPr>
        <w:rFonts w:ascii="Tw Cen MT" w:hAnsi="Tw Cen MT"/>
        <w:b/>
        <w:bCs/>
      </w:rPr>
      <w:t xml:space="preserve">| </w:t>
    </w:r>
    <w:r w:rsidRPr="00FE2148">
      <w:rPr>
        <w:rFonts w:ascii="Tw Cen MT" w:hAnsi="Tw Cen MT"/>
        <w:color w:val="808080" w:themeColor="background1" w:themeShade="80"/>
        <w:spacing w:val="60"/>
      </w:rPr>
      <w:t>Page</w:t>
    </w:r>
    <w:r w:rsidRPr="00FE2148">
      <w:rPr>
        <w:rFonts w:ascii="Tw Cen MT" w:hAnsi="Tw Cen MT"/>
      </w:rPr>
      <w:t xml:space="preserve"> </w:t>
    </w:r>
    <w:sdt>
      <w:sdtPr>
        <w:rPr>
          <w:rFonts w:ascii="Tw Cen MT" w:hAnsi="Tw Cen MT"/>
        </w:rPr>
        <w:id w:val="611945595"/>
        <w:docPartObj>
          <w:docPartGallery w:val="Page Numbers (Bottom of Page)"/>
          <w:docPartUnique/>
        </w:docPartObj>
      </w:sdtPr>
      <w:sdtEndPr>
        <w:rPr>
          <w:color w:val="808080" w:themeColor="background1" w:themeShade="80"/>
          <w:spacing w:val="60"/>
        </w:rPr>
      </w:sdtEndPr>
      <w:sdtContent>
        <w:r w:rsidRPr="00FE2148">
          <w:rPr>
            <w:rFonts w:ascii="Tw Cen MT" w:hAnsi="Tw Cen MT"/>
          </w:rPr>
          <w:fldChar w:fldCharType="begin"/>
        </w:r>
        <w:r w:rsidRPr="00FE2148">
          <w:rPr>
            <w:rFonts w:ascii="Tw Cen MT" w:hAnsi="Tw Cen MT"/>
          </w:rPr>
          <w:instrText xml:space="preserve"> PAGE   \* MERGEFORMAT </w:instrText>
        </w:r>
        <w:r w:rsidRPr="00FE2148">
          <w:rPr>
            <w:rFonts w:ascii="Tw Cen MT" w:hAnsi="Tw Cen MT"/>
          </w:rPr>
          <w:fldChar w:fldCharType="separate"/>
        </w:r>
        <w:r w:rsidR="00271E5A" w:rsidRPr="00271E5A">
          <w:rPr>
            <w:rFonts w:ascii="Tw Cen MT" w:hAnsi="Tw Cen MT"/>
            <w:b/>
            <w:bCs/>
            <w:noProof/>
          </w:rPr>
          <w:t>1</w:t>
        </w:r>
        <w:r w:rsidRPr="00FE2148">
          <w:rPr>
            <w:rFonts w:ascii="Tw Cen MT" w:hAnsi="Tw Cen MT"/>
            <w:b/>
            <w:bCs/>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4F7" w:rsidRDefault="003C34F7" w:rsidP="0002521F">
      <w:r>
        <w:separator/>
      </w:r>
    </w:p>
  </w:footnote>
  <w:footnote w:type="continuationSeparator" w:id="0">
    <w:p w:rsidR="003C34F7" w:rsidRDefault="003C34F7" w:rsidP="0002521F">
      <w:r>
        <w:continuationSeparator/>
      </w:r>
    </w:p>
  </w:footnote>
  <w:footnote w:id="1">
    <w:p w:rsidR="002B5343" w:rsidRPr="00C07C5D" w:rsidRDefault="002B5343" w:rsidP="002B5343">
      <w:pPr>
        <w:pStyle w:val="FootnoteText"/>
        <w:rPr>
          <w:rFonts w:ascii="Tw Cen MT" w:hAnsi="Tw Cen MT"/>
        </w:rPr>
      </w:pPr>
      <w:r w:rsidRPr="00C07C5D">
        <w:rPr>
          <w:rStyle w:val="FootnoteReference"/>
          <w:rFonts w:ascii="Tw Cen MT" w:hAnsi="Tw Cen MT"/>
          <w:sz w:val="20"/>
        </w:rPr>
        <w:footnoteRef/>
      </w:r>
      <w:r w:rsidRPr="00C07C5D">
        <w:rPr>
          <w:rFonts w:ascii="Tw Cen MT" w:hAnsi="Tw Cen MT"/>
          <w:sz w:val="20"/>
        </w:rPr>
        <w:t xml:space="preserve"> </w:t>
      </w:r>
      <w:r w:rsidRPr="006C5E8E">
        <w:rPr>
          <w:rFonts w:ascii="Tw Cen MT" w:hAnsi="Tw Cen MT"/>
          <w:sz w:val="20"/>
          <w:szCs w:val="18"/>
        </w:rPr>
        <w:t>Unemployment insurance wage records do not indicate whether a person is employed full or part-time</w:t>
      </w:r>
      <w:r>
        <w:rPr>
          <w:rFonts w:ascii="Tw Cen MT" w:hAnsi="Tw Cen MT"/>
          <w:sz w:val="20"/>
          <w:szCs w:val="18"/>
        </w:rPr>
        <w:t xml:space="preserve">. </w:t>
      </w:r>
      <w:r w:rsidR="00B42F49">
        <w:rPr>
          <w:rFonts w:ascii="Tw Cen MT" w:hAnsi="Tw Cen MT"/>
          <w:sz w:val="20"/>
          <w:szCs w:val="18"/>
        </w:rPr>
        <w:t>As a result, to unde</w:t>
      </w:r>
      <w:r w:rsidR="00B42F49">
        <w:rPr>
          <w:rFonts w:ascii="Tw Cen MT" w:hAnsi="Tw Cen MT"/>
          <w:sz w:val="20"/>
          <w:szCs w:val="18"/>
        </w:rPr>
        <w:t>r</w:t>
      </w:r>
      <w:r w:rsidR="00B42F49">
        <w:rPr>
          <w:rFonts w:ascii="Tw Cen MT" w:hAnsi="Tw Cen MT"/>
          <w:sz w:val="20"/>
          <w:szCs w:val="18"/>
        </w:rPr>
        <w:t>stand</w:t>
      </w:r>
      <w:r>
        <w:rPr>
          <w:rFonts w:ascii="Tw Cen MT" w:hAnsi="Tw Cen MT"/>
          <w:sz w:val="20"/>
          <w:szCs w:val="18"/>
        </w:rPr>
        <w:t xml:space="preserve"> </w:t>
      </w:r>
      <w:r w:rsidRPr="00B42F49">
        <w:rPr>
          <w:rFonts w:ascii="Tw Cen MT" w:hAnsi="Tw Cen MT"/>
          <w:sz w:val="20"/>
          <w:szCs w:val="18"/>
        </w:rPr>
        <w:t xml:space="preserve">the extent to which graduates were more fully and continuously employed this measure was developed. To be included in the calculation, an individual must have wages above $3,120 in each quarter, which is the amount an individual </w:t>
      </w:r>
      <w:r>
        <w:rPr>
          <w:rFonts w:ascii="Tw Cen MT" w:hAnsi="Tw Cen MT"/>
          <w:sz w:val="20"/>
          <w:szCs w:val="18"/>
        </w:rPr>
        <w:t>working 32 hours per week at minimum wage would earn in a quarter.</w:t>
      </w:r>
    </w:p>
  </w:footnote>
  <w:footnote w:id="2">
    <w:p w:rsidR="00B42F49" w:rsidRPr="00B42F49" w:rsidRDefault="00B42F49">
      <w:pPr>
        <w:pStyle w:val="FootnoteText"/>
        <w:rPr>
          <w:rFonts w:ascii="Tw Cen MT" w:hAnsi="Tw Cen MT"/>
          <w:sz w:val="20"/>
        </w:rPr>
      </w:pPr>
      <w:r w:rsidRPr="00B42F49">
        <w:rPr>
          <w:rStyle w:val="FootnoteReference"/>
          <w:rFonts w:ascii="Tw Cen MT" w:hAnsi="Tw Cen MT"/>
          <w:sz w:val="20"/>
        </w:rPr>
        <w:footnoteRef/>
      </w:r>
      <w:r w:rsidRPr="00B42F49">
        <w:rPr>
          <w:rFonts w:ascii="Tw Cen MT" w:hAnsi="Tw Cen MT"/>
          <w:sz w:val="20"/>
        </w:rPr>
        <w:t xml:space="preserve"> For more information, please visit: http://www.maine.gov/labor/cwri/wdqi/index.html</w:t>
      </w:r>
    </w:p>
  </w:footnote>
  <w:footnote w:id="3">
    <w:p w:rsidR="00943B75" w:rsidRPr="00943B75" w:rsidRDefault="00943B75">
      <w:pPr>
        <w:pStyle w:val="FootnoteText"/>
        <w:rPr>
          <w:rFonts w:ascii="Tw Cen MT" w:hAnsi="Tw Cen MT"/>
        </w:rPr>
      </w:pPr>
      <w:r w:rsidRPr="00943B75">
        <w:rPr>
          <w:rStyle w:val="FootnoteReference"/>
          <w:rFonts w:ascii="Tw Cen MT" w:hAnsi="Tw Cen MT"/>
          <w:sz w:val="20"/>
        </w:rPr>
        <w:footnoteRef/>
      </w:r>
      <w:r w:rsidRPr="00943B75">
        <w:rPr>
          <w:rFonts w:ascii="Tw Cen MT" w:hAnsi="Tw Cen MT"/>
          <w:sz w:val="20"/>
        </w:rPr>
        <w:t xml:space="preserve"> Post-master certificates awarded were predominantly education related areas of study. These 30 credit hour programs are targeted at practicing educators and administrators. </w:t>
      </w:r>
    </w:p>
  </w:footnote>
  <w:footnote w:id="4">
    <w:p w:rsidR="00C24F7C" w:rsidRPr="00004282" w:rsidRDefault="00C24F7C" w:rsidP="00C24F7C">
      <w:pPr>
        <w:pStyle w:val="FootnoteText"/>
        <w:rPr>
          <w:rFonts w:ascii="Tw Cen MT" w:hAnsi="Tw Cen MT"/>
        </w:rPr>
      </w:pPr>
      <w:r w:rsidRPr="00004282">
        <w:rPr>
          <w:rStyle w:val="FootnoteReference"/>
          <w:rFonts w:ascii="Tw Cen MT" w:hAnsi="Tw Cen MT"/>
          <w:sz w:val="20"/>
        </w:rPr>
        <w:footnoteRef/>
      </w:r>
      <w:r w:rsidRPr="00004282">
        <w:rPr>
          <w:rFonts w:ascii="Tw Cen MT" w:hAnsi="Tw Cen MT"/>
          <w:sz w:val="20"/>
        </w:rPr>
        <w:t xml:space="preserve"> http://www.maine.gov/labor/cwri/recessionIndex.html</w:t>
      </w:r>
    </w:p>
  </w:footnote>
  <w:footnote w:id="5">
    <w:p w:rsidR="006B4235" w:rsidRPr="006B4235" w:rsidRDefault="006B4235">
      <w:pPr>
        <w:pStyle w:val="FootnoteText"/>
        <w:rPr>
          <w:rFonts w:ascii="Tw Cen MT" w:hAnsi="Tw Cen MT"/>
        </w:rPr>
      </w:pPr>
      <w:r w:rsidRPr="006B4235">
        <w:rPr>
          <w:rStyle w:val="FootnoteReference"/>
          <w:rFonts w:ascii="Tw Cen MT" w:hAnsi="Tw Cen MT"/>
          <w:sz w:val="20"/>
        </w:rPr>
        <w:footnoteRef/>
      </w:r>
      <w:r w:rsidRPr="006B4235">
        <w:rPr>
          <w:rFonts w:ascii="Tw Cen MT" w:hAnsi="Tw Cen MT"/>
          <w:sz w:val="20"/>
        </w:rPr>
        <w:t xml:space="preserve"> Use the Credential Type drop-down menu to get this information. Data is also available for download, which can be helpful in sorting the information.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063686"/>
    <w:lvl w:ilvl="0">
      <w:start w:val="1"/>
      <w:numFmt w:val="decimal"/>
      <w:lvlText w:val="%1."/>
      <w:lvlJc w:val="left"/>
      <w:pPr>
        <w:tabs>
          <w:tab w:val="num" w:pos="1800"/>
        </w:tabs>
        <w:ind w:left="1800" w:hanging="360"/>
      </w:pPr>
    </w:lvl>
  </w:abstractNum>
  <w:abstractNum w:abstractNumId="1">
    <w:nsid w:val="FFFFFF7D"/>
    <w:multiLevelType w:val="singleLevel"/>
    <w:tmpl w:val="F94C9828"/>
    <w:lvl w:ilvl="0">
      <w:start w:val="1"/>
      <w:numFmt w:val="decimal"/>
      <w:lvlText w:val="%1."/>
      <w:lvlJc w:val="left"/>
      <w:pPr>
        <w:tabs>
          <w:tab w:val="num" w:pos="1440"/>
        </w:tabs>
        <w:ind w:left="1440" w:hanging="360"/>
      </w:pPr>
    </w:lvl>
  </w:abstractNum>
  <w:abstractNum w:abstractNumId="2">
    <w:nsid w:val="FFFFFF7E"/>
    <w:multiLevelType w:val="singleLevel"/>
    <w:tmpl w:val="011AA296"/>
    <w:lvl w:ilvl="0">
      <w:start w:val="1"/>
      <w:numFmt w:val="decimal"/>
      <w:lvlText w:val="%1."/>
      <w:lvlJc w:val="left"/>
      <w:pPr>
        <w:tabs>
          <w:tab w:val="num" w:pos="1080"/>
        </w:tabs>
        <w:ind w:left="1080" w:hanging="360"/>
      </w:pPr>
    </w:lvl>
  </w:abstractNum>
  <w:abstractNum w:abstractNumId="3">
    <w:nsid w:val="FFFFFF7F"/>
    <w:multiLevelType w:val="singleLevel"/>
    <w:tmpl w:val="7D628280"/>
    <w:lvl w:ilvl="0">
      <w:start w:val="1"/>
      <w:numFmt w:val="decimal"/>
      <w:lvlText w:val="%1."/>
      <w:lvlJc w:val="left"/>
      <w:pPr>
        <w:tabs>
          <w:tab w:val="num" w:pos="720"/>
        </w:tabs>
        <w:ind w:left="720" w:hanging="360"/>
      </w:pPr>
    </w:lvl>
  </w:abstractNum>
  <w:abstractNum w:abstractNumId="4">
    <w:nsid w:val="FFFFFF80"/>
    <w:multiLevelType w:val="singleLevel"/>
    <w:tmpl w:val="607CE2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08025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F84739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9600B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ED83E0A"/>
    <w:lvl w:ilvl="0">
      <w:start w:val="1"/>
      <w:numFmt w:val="decimal"/>
      <w:lvlText w:val="%1."/>
      <w:lvlJc w:val="left"/>
      <w:pPr>
        <w:tabs>
          <w:tab w:val="num" w:pos="360"/>
        </w:tabs>
        <w:ind w:left="360" w:hanging="360"/>
      </w:pPr>
    </w:lvl>
  </w:abstractNum>
  <w:abstractNum w:abstractNumId="9">
    <w:nsid w:val="FFFFFF89"/>
    <w:multiLevelType w:val="singleLevel"/>
    <w:tmpl w:val="FDB23AE2"/>
    <w:lvl w:ilvl="0">
      <w:start w:val="1"/>
      <w:numFmt w:val="bullet"/>
      <w:lvlText w:val=""/>
      <w:lvlJc w:val="left"/>
      <w:pPr>
        <w:tabs>
          <w:tab w:val="num" w:pos="360"/>
        </w:tabs>
        <w:ind w:left="360" w:hanging="360"/>
      </w:pPr>
      <w:rPr>
        <w:rFonts w:ascii="Symbol" w:hAnsi="Symbol" w:hint="default"/>
      </w:rPr>
    </w:lvl>
  </w:abstractNum>
  <w:abstractNum w:abstractNumId="10">
    <w:nsid w:val="0D6F0FE6"/>
    <w:multiLevelType w:val="hybridMultilevel"/>
    <w:tmpl w:val="2B30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502320"/>
    <w:multiLevelType w:val="hybridMultilevel"/>
    <w:tmpl w:val="6F4A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C13170"/>
    <w:multiLevelType w:val="hybridMultilevel"/>
    <w:tmpl w:val="B070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3945A6"/>
    <w:multiLevelType w:val="hybridMultilevel"/>
    <w:tmpl w:val="8738D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A069A6"/>
    <w:multiLevelType w:val="hybridMultilevel"/>
    <w:tmpl w:val="8E1C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720CE3"/>
    <w:multiLevelType w:val="hybridMultilevel"/>
    <w:tmpl w:val="2FCA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7748D6"/>
    <w:multiLevelType w:val="hybridMultilevel"/>
    <w:tmpl w:val="0D8E7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CD7C17"/>
    <w:multiLevelType w:val="hybridMultilevel"/>
    <w:tmpl w:val="7FA2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F87FA0"/>
    <w:multiLevelType w:val="hybridMultilevel"/>
    <w:tmpl w:val="E556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417884"/>
    <w:multiLevelType w:val="hybridMultilevel"/>
    <w:tmpl w:val="7EA4F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CA90E03"/>
    <w:multiLevelType w:val="hybridMultilevel"/>
    <w:tmpl w:val="5214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C51DDD"/>
    <w:multiLevelType w:val="hybridMultilevel"/>
    <w:tmpl w:val="5238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F875C6"/>
    <w:multiLevelType w:val="hybridMultilevel"/>
    <w:tmpl w:val="024A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C34273"/>
    <w:multiLevelType w:val="hybridMultilevel"/>
    <w:tmpl w:val="0BC8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65223F"/>
    <w:multiLevelType w:val="hybridMultilevel"/>
    <w:tmpl w:val="030069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ACB456E"/>
    <w:multiLevelType w:val="hybridMultilevel"/>
    <w:tmpl w:val="E95AD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B2120A7"/>
    <w:multiLevelType w:val="hybridMultilevel"/>
    <w:tmpl w:val="9848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71842"/>
    <w:multiLevelType w:val="hybridMultilevel"/>
    <w:tmpl w:val="9CFA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3"/>
  </w:num>
  <w:num w:numId="4">
    <w:abstractNumId w:val="12"/>
  </w:num>
  <w:num w:numId="5">
    <w:abstractNumId w:val="25"/>
  </w:num>
  <w:num w:numId="6">
    <w:abstractNumId w:val="24"/>
  </w:num>
  <w:num w:numId="7">
    <w:abstractNumId w:val="19"/>
  </w:num>
  <w:num w:numId="8">
    <w:abstractNumId w:val="22"/>
  </w:num>
  <w:num w:numId="9">
    <w:abstractNumId w:val="14"/>
  </w:num>
  <w:num w:numId="10">
    <w:abstractNumId w:val="17"/>
  </w:num>
  <w:num w:numId="11">
    <w:abstractNumId w:val="21"/>
  </w:num>
  <w:num w:numId="12">
    <w:abstractNumId w:val="18"/>
  </w:num>
  <w:num w:numId="13">
    <w:abstractNumId w:val="16"/>
  </w:num>
  <w:num w:numId="14">
    <w:abstractNumId w:val="27"/>
  </w:num>
  <w:num w:numId="15">
    <w:abstractNumId w:val="11"/>
  </w:num>
  <w:num w:numId="16">
    <w:abstractNumId w:val="20"/>
  </w:num>
  <w:num w:numId="17">
    <w:abstractNumId w:val="10"/>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880"/>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85"/>
    <w:rsid w:val="000024E8"/>
    <w:rsid w:val="00002EC0"/>
    <w:rsid w:val="00003662"/>
    <w:rsid w:val="000036DB"/>
    <w:rsid w:val="00003BC4"/>
    <w:rsid w:val="00005FA4"/>
    <w:rsid w:val="000071D2"/>
    <w:rsid w:val="00010146"/>
    <w:rsid w:val="00010839"/>
    <w:rsid w:val="00010BFD"/>
    <w:rsid w:val="00010C17"/>
    <w:rsid w:val="00011F83"/>
    <w:rsid w:val="00012CCC"/>
    <w:rsid w:val="0001467C"/>
    <w:rsid w:val="0001470D"/>
    <w:rsid w:val="000148D6"/>
    <w:rsid w:val="00015143"/>
    <w:rsid w:val="00015BFF"/>
    <w:rsid w:val="0001640E"/>
    <w:rsid w:val="00017E44"/>
    <w:rsid w:val="000209F8"/>
    <w:rsid w:val="00021285"/>
    <w:rsid w:val="0002170A"/>
    <w:rsid w:val="00021F7B"/>
    <w:rsid w:val="000224A5"/>
    <w:rsid w:val="000226F3"/>
    <w:rsid w:val="00022B4E"/>
    <w:rsid w:val="0002521F"/>
    <w:rsid w:val="00025281"/>
    <w:rsid w:val="00026FE7"/>
    <w:rsid w:val="000303F0"/>
    <w:rsid w:val="00031148"/>
    <w:rsid w:val="000318F7"/>
    <w:rsid w:val="00032999"/>
    <w:rsid w:val="00032DE3"/>
    <w:rsid w:val="00033A75"/>
    <w:rsid w:val="00034A2B"/>
    <w:rsid w:val="00035225"/>
    <w:rsid w:val="000354AE"/>
    <w:rsid w:val="00035DE7"/>
    <w:rsid w:val="00036CAF"/>
    <w:rsid w:val="00037A0D"/>
    <w:rsid w:val="00040ABA"/>
    <w:rsid w:val="00040D55"/>
    <w:rsid w:val="0004320B"/>
    <w:rsid w:val="000443D7"/>
    <w:rsid w:val="00044F9C"/>
    <w:rsid w:val="00045302"/>
    <w:rsid w:val="00045739"/>
    <w:rsid w:val="00055C70"/>
    <w:rsid w:val="000561B6"/>
    <w:rsid w:val="00056719"/>
    <w:rsid w:val="00057780"/>
    <w:rsid w:val="00060409"/>
    <w:rsid w:val="0006046A"/>
    <w:rsid w:val="00061D84"/>
    <w:rsid w:val="00063D9C"/>
    <w:rsid w:val="00064503"/>
    <w:rsid w:val="0006456B"/>
    <w:rsid w:val="000645BC"/>
    <w:rsid w:val="00066D76"/>
    <w:rsid w:val="000678DF"/>
    <w:rsid w:val="00067BEE"/>
    <w:rsid w:val="0007068C"/>
    <w:rsid w:val="0007354D"/>
    <w:rsid w:val="00074592"/>
    <w:rsid w:val="00074965"/>
    <w:rsid w:val="0007533C"/>
    <w:rsid w:val="00076FC1"/>
    <w:rsid w:val="00081026"/>
    <w:rsid w:val="00081D61"/>
    <w:rsid w:val="00082EDC"/>
    <w:rsid w:val="000841FA"/>
    <w:rsid w:val="00084F8D"/>
    <w:rsid w:val="000853D5"/>
    <w:rsid w:val="00085707"/>
    <w:rsid w:val="000860C1"/>
    <w:rsid w:val="00087CF2"/>
    <w:rsid w:val="00087EE1"/>
    <w:rsid w:val="00090216"/>
    <w:rsid w:val="000904C6"/>
    <w:rsid w:val="000909B9"/>
    <w:rsid w:val="0009119C"/>
    <w:rsid w:val="00091838"/>
    <w:rsid w:val="00093B8A"/>
    <w:rsid w:val="00094A27"/>
    <w:rsid w:val="000951EB"/>
    <w:rsid w:val="0009663B"/>
    <w:rsid w:val="0009743B"/>
    <w:rsid w:val="000A063B"/>
    <w:rsid w:val="000A16F9"/>
    <w:rsid w:val="000A2FA7"/>
    <w:rsid w:val="000A3394"/>
    <w:rsid w:val="000A364D"/>
    <w:rsid w:val="000A4DEC"/>
    <w:rsid w:val="000A56A2"/>
    <w:rsid w:val="000A5777"/>
    <w:rsid w:val="000A5EE2"/>
    <w:rsid w:val="000A6CA7"/>
    <w:rsid w:val="000A70BC"/>
    <w:rsid w:val="000A7A2C"/>
    <w:rsid w:val="000A7C96"/>
    <w:rsid w:val="000B08A8"/>
    <w:rsid w:val="000B0FBE"/>
    <w:rsid w:val="000B1141"/>
    <w:rsid w:val="000B1C1F"/>
    <w:rsid w:val="000B21B7"/>
    <w:rsid w:val="000B2A0B"/>
    <w:rsid w:val="000B31F2"/>
    <w:rsid w:val="000B41F9"/>
    <w:rsid w:val="000B54D6"/>
    <w:rsid w:val="000B6F96"/>
    <w:rsid w:val="000B7C2D"/>
    <w:rsid w:val="000C1A70"/>
    <w:rsid w:val="000C2B9E"/>
    <w:rsid w:val="000C359C"/>
    <w:rsid w:val="000C4063"/>
    <w:rsid w:val="000C42CB"/>
    <w:rsid w:val="000C4A32"/>
    <w:rsid w:val="000C5093"/>
    <w:rsid w:val="000C58B6"/>
    <w:rsid w:val="000C6325"/>
    <w:rsid w:val="000C6CF5"/>
    <w:rsid w:val="000D1258"/>
    <w:rsid w:val="000D297E"/>
    <w:rsid w:val="000D3616"/>
    <w:rsid w:val="000D3B36"/>
    <w:rsid w:val="000D42B6"/>
    <w:rsid w:val="000D5B4F"/>
    <w:rsid w:val="000D6C18"/>
    <w:rsid w:val="000E09F6"/>
    <w:rsid w:val="000E27DA"/>
    <w:rsid w:val="000E4223"/>
    <w:rsid w:val="000E71AD"/>
    <w:rsid w:val="000F0577"/>
    <w:rsid w:val="000F05EB"/>
    <w:rsid w:val="000F0FC1"/>
    <w:rsid w:val="000F1F65"/>
    <w:rsid w:val="000F251F"/>
    <w:rsid w:val="000F3125"/>
    <w:rsid w:val="000F3B23"/>
    <w:rsid w:val="000F47BE"/>
    <w:rsid w:val="000F51DC"/>
    <w:rsid w:val="000F5C48"/>
    <w:rsid w:val="000F6C83"/>
    <w:rsid w:val="00100199"/>
    <w:rsid w:val="0010047A"/>
    <w:rsid w:val="00100DB6"/>
    <w:rsid w:val="00102478"/>
    <w:rsid w:val="0010266C"/>
    <w:rsid w:val="001034EC"/>
    <w:rsid w:val="00103578"/>
    <w:rsid w:val="001044D2"/>
    <w:rsid w:val="00104603"/>
    <w:rsid w:val="001071DF"/>
    <w:rsid w:val="00107809"/>
    <w:rsid w:val="00110CD0"/>
    <w:rsid w:val="0011232A"/>
    <w:rsid w:val="001143B1"/>
    <w:rsid w:val="0011457A"/>
    <w:rsid w:val="0011558D"/>
    <w:rsid w:val="001161A2"/>
    <w:rsid w:val="00117611"/>
    <w:rsid w:val="0011779D"/>
    <w:rsid w:val="00117E53"/>
    <w:rsid w:val="0012044C"/>
    <w:rsid w:val="001204C3"/>
    <w:rsid w:val="00121202"/>
    <w:rsid w:val="00121404"/>
    <w:rsid w:val="00122889"/>
    <w:rsid w:val="00122AC6"/>
    <w:rsid w:val="00122D94"/>
    <w:rsid w:val="00123339"/>
    <w:rsid w:val="00123355"/>
    <w:rsid w:val="00125514"/>
    <w:rsid w:val="001263A7"/>
    <w:rsid w:val="00130D69"/>
    <w:rsid w:val="00132CA8"/>
    <w:rsid w:val="001330F8"/>
    <w:rsid w:val="001337E4"/>
    <w:rsid w:val="0013478A"/>
    <w:rsid w:val="00134A11"/>
    <w:rsid w:val="001353FC"/>
    <w:rsid w:val="00137961"/>
    <w:rsid w:val="00137E6F"/>
    <w:rsid w:val="00137ECA"/>
    <w:rsid w:val="0014014C"/>
    <w:rsid w:val="00140662"/>
    <w:rsid w:val="00140B00"/>
    <w:rsid w:val="0014120D"/>
    <w:rsid w:val="0014230D"/>
    <w:rsid w:val="00142439"/>
    <w:rsid w:val="0014380A"/>
    <w:rsid w:val="00144D27"/>
    <w:rsid w:val="001450A8"/>
    <w:rsid w:val="00145B34"/>
    <w:rsid w:val="00145E8C"/>
    <w:rsid w:val="00150621"/>
    <w:rsid w:val="00150937"/>
    <w:rsid w:val="00151648"/>
    <w:rsid w:val="00151F8D"/>
    <w:rsid w:val="001527F0"/>
    <w:rsid w:val="00152DC8"/>
    <w:rsid w:val="001536D2"/>
    <w:rsid w:val="00154F98"/>
    <w:rsid w:val="001551B0"/>
    <w:rsid w:val="00155A03"/>
    <w:rsid w:val="00155C39"/>
    <w:rsid w:val="00156B61"/>
    <w:rsid w:val="00161ACD"/>
    <w:rsid w:val="00162514"/>
    <w:rsid w:val="001631D0"/>
    <w:rsid w:val="001632DB"/>
    <w:rsid w:val="00165589"/>
    <w:rsid w:val="00166346"/>
    <w:rsid w:val="0016702D"/>
    <w:rsid w:val="001671EA"/>
    <w:rsid w:val="001676D3"/>
    <w:rsid w:val="00171B20"/>
    <w:rsid w:val="00171D71"/>
    <w:rsid w:val="00171DBC"/>
    <w:rsid w:val="00173862"/>
    <w:rsid w:val="0017492B"/>
    <w:rsid w:val="00175247"/>
    <w:rsid w:val="00175AA9"/>
    <w:rsid w:val="001763CB"/>
    <w:rsid w:val="00176B2B"/>
    <w:rsid w:val="00180114"/>
    <w:rsid w:val="001805E8"/>
    <w:rsid w:val="001809CB"/>
    <w:rsid w:val="0018238B"/>
    <w:rsid w:val="00183B32"/>
    <w:rsid w:val="0018400A"/>
    <w:rsid w:val="0018472C"/>
    <w:rsid w:val="00185627"/>
    <w:rsid w:val="00185DF3"/>
    <w:rsid w:val="0018673D"/>
    <w:rsid w:val="00187B1C"/>
    <w:rsid w:val="001905B9"/>
    <w:rsid w:val="00190E44"/>
    <w:rsid w:val="00192591"/>
    <w:rsid w:val="00192EA8"/>
    <w:rsid w:val="00193C88"/>
    <w:rsid w:val="0019451F"/>
    <w:rsid w:val="00195679"/>
    <w:rsid w:val="00196439"/>
    <w:rsid w:val="00196688"/>
    <w:rsid w:val="0019749E"/>
    <w:rsid w:val="001A1BAD"/>
    <w:rsid w:val="001A20F8"/>
    <w:rsid w:val="001A30FC"/>
    <w:rsid w:val="001A3360"/>
    <w:rsid w:val="001A4625"/>
    <w:rsid w:val="001A4AAD"/>
    <w:rsid w:val="001A4BD5"/>
    <w:rsid w:val="001A4CD6"/>
    <w:rsid w:val="001A5A79"/>
    <w:rsid w:val="001A5C3F"/>
    <w:rsid w:val="001A6688"/>
    <w:rsid w:val="001A6A9E"/>
    <w:rsid w:val="001A6F81"/>
    <w:rsid w:val="001B050A"/>
    <w:rsid w:val="001B1467"/>
    <w:rsid w:val="001B274E"/>
    <w:rsid w:val="001B2F36"/>
    <w:rsid w:val="001B3246"/>
    <w:rsid w:val="001B41A5"/>
    <w:rsid w:val="001B44EF"/>
    <w:rsid w:val="001B47F4"/>
    <w:rsid w:val="001B5C0D"/>
    <w:rsid w:val="001B5ED5"/>
    <w:rsid w:val="001B70F8"/>
    <w:rsid w:val="001C155E"/>
    <w:rsid w:val="001C21D8"/>
    <w:rsid w:val="001C3DD7"/>
    <w:rsid w:val="001C476C"/>
    <w:rsid w:val="001C528D"/>
    <w:rsid w:val="001C599D"/>
    <w:rsid w:val="001C63CF"/>
    <w:rsid w:val="001D3C92"/>
    <w:rsid w:val="001D50FC"/>
    <w:rsid w:val="001D63A5"/>
    <w:rsid w:val="001D67AA"/>
    <w:rsid w:val="001D758A"/>
    <w:rsid w:val="001E1328"/>
    <w:rsid w:val="001E197B"/>
    <w:rsid w:val="001E2F47"/>
    <w:rsid w:val="001E357D"/>
    <w:rsid w:val="001E40B7"/>
    <w:rsid w:val="001E483F"/>
    <w:rsid w:val="001E4C52"/>
    <w:rsid w:val="001E51D5"/>
    <w:rsid w:val="001E5F98"/>
    <w:rsid w:val="001E6996"/>
    <w:rsid w:val="001E6BA0"/>
    <w:rsid w:val="001F0B74"/>
    <w:rsid w:val="001F0B76"/>
    <w:rsid w:val="001F1C3E"/>
    <w:rsid w:val="001F5ACF"/>
    <w:rsid w:val="001F6329"/>
    <w:rsid w:val="001F642C"/>
    <w:rsid w:val="001F654C"/>
    <w:rsid w:val="001F670C"/>
    <w:rsid w:val="002006FE"/>
    <w:rsid w:val="00201457"/>
    <w:rsid w:val="0020382A"/>
    <w:rsid w:val="00203952"/>
    <w:rsid w:val="00206E87"/>
    <w:rsid w:val="00207F34"/>
    <w:rsid w:val="00207F99"/>
    <w:rsid w:val="00211372"/>
    <w:rsid w:val="00211CE5"/>
    <w:rsid w:val="00212414"/>
    <w:rsid w:val="00212A3F"/>
    <w:rsid w:val="00213697"/>
    <w:rsid w:val="00213A15"/>
    <w:rsid w:val="002144D3"/>
    <w:rsid w:val="00217AF1"/>
    <w:rsid w:val="00221DF5"/>
    <w:rsid w:val="00223822"/>
    <w:rsid w:val="00225DE5"/>
    <w:rsid w:val="0022629E"/>
    <w:rsid w:val="002270CE"/>
    <w:rsid w:val="00230267"/>
    <w:rsid w:val="00230CC4"/>
    <w:rsid w:val="00230FF2"/>
    <w:rsid w:val="0023134C"/>
    <w:rsid w:val="002322C9"/>
    <w:rsid w:val="002323F8"/>
    <w:rsid w:val="00232553"/>
    <w:rsid w:val="00233D7F"/>
    <w:rsid w:val="002345F3"/>
    <w:rsid w:val="00241F4F"/>
    <w:rsid w:val="002427A7"/>
    <w:rsid w:val="00242808"/>
    <w:rsid w:val="00243D46"/>
    <w:rsid w:val="00245D3F"/>
    <w:rsid w:val="00246341"/>
    <w:rsid w:val="00246AC6"/>
    <w:rsid w:val="002511C0"/>
    <w:rsid w:val="002517DC"/>
    <w:rsid w:val="0025220C"/>
    <w:rsid w:val="00252A69"/>
    <w:rsid w:val="00262BCF"/>
    <w:rsid w:val="0026461A"/>
    <w:rsid w:val="00265065"/>
    <w:rsid w:val="002660BF"/>
    <w:rsid w:val="002660E9"/>
    <w:rsid w:val="00266544"/>
    <w:rsid w:val="00266ADF"/>
    <w:rsid w:val="00266E0E"/>
    <w:rsid w:val="00267CC0"/>
    <w:rsid w:val="0027052E"/>
    <w:rsid w:val="00271E5A"/>
    <w:rsid w:val="0027465F"/>
    <w:rsid w:val="00274EE1"/>
    <w:rsid w:val="002751EE"/>
    <w:rsid w:val="00275380"/>
    <w:rsid w:val="0027566B"/>
    <w:rsid w:val="00276663"/>
    <w:rsid w:val="002769B0"/>
    <w:rsid w:val="00276A18"/>
    <w:rsid w:val="00281A4E"/>
    <w:rsid w:val="00281FEE"/>
    <w:rsid w:val="00282AA7"/>
    <w:rsid w:val="0028301B"/>
    <w:rsid w:val="0028348C"/>
    <w:rsid w:val="002838D6"/>
    <w:rsid w:val="002840DB"/>
    <w:rsid w:val="00284307"/>
    <w:rsid w:val="00284B8E"/>
    <w:rsid w:val="00285AF7"/>
    <w:rsid w:val="00285D08"/>
    <w:rsid w:val="00285E96"/>
    <w:rsid w:val="00286279"/>
    <w:rsid w:val="00287AFB"/>
    <w:rsid w:val="00291E12"/>
    <w:rsid w:val="00292FA5"/>
    <w:rsid w:val="00293DFA"/>
    <w:rsid w:val="00294C38"/>
    <w:rsid w:val="002953E2"/>
    <w:rsid w:val="00295966"/>
    <w:rsid w:val="002A3E1D"/>
    <w:rsid w:val="002A4AC4"/>
    <w:rsid w:val="002A67F1"/>
    <w:rsid w:val="002B0D29"/>
    <w:rsid w:val="002B131B"/>
    <w:rsid w:val="002B17D9"/>
    <w:rsid w:val="002B18A7"/>
    <w:rsid w:val="002B2E1B"/>
    <w:rsid w:val="002B361E"/>
    <w:rsid w:val="002B40C6"/>
    <w:rsid w:val="002B46E2"/>
    <w:rsid w:val="002B4B7F"/>
    <w:rsid w:val="002B5343"/>
    <w:rsid w:val="002B5653"/>
    <w:rsid w:val="002B7EF7"/>
    <w:rsid w:val="002C1695"/>
    <w:rsid w:val="002C6D90"/>
    <w:rsid w:val="002D12C4"/>
    <w:rsid w:val="002D2B05"/>
    <w:rsid w:val="002D3461"/>
    <w:rsid w:val="002D3639"/>
    <w:rsid w:val="002D3D31"/>
    <w:rsid w:val="002D474A"/>
    <w:rsid w:val="002D493C"/>
    <w:rsid w:val="002D5252"/>
    <w:rsid w:val="002D5A90"/>
    <w:rsid w:val="002D6338"/>
    <w:rsid w:val="002D69CD"/>
    <w:rsid w:val="002D7C9F"/>
    <w:rsid w:val="002E05C3"/>
    <w:rsid w:val="002E0DCF"/>
    <w:rsid w:val="002E114C"/>
    <w:rsid w:val="002E12BA"/>
    <w:rsid w:val="002E24F8"/>
    <w:rsid w:val="002E2776"/>
    <w:rsid w:val="002E6CAE"/>
    <w:rsid w:val="002E7516"/>
    <w:rsid w:val="002E7880"/>
    <w:rsid w:val="002E7B9D"/>
    <w:rsid w:val="002F0610"/>
    <w:rsid w:val="002F062C"/>
    <w:rsid w:val="002F1803"/>
    <w:rsid w:val="002F4627"/>
    <w:rsid w:val="002F62B8"/>
    <w:rsid w:val="002F6569"/>
    <w:rsid w:val="002F74A3"/>
    <w:rsid w:val="003016DF"/>
    <w:rsid w:val="00302D7E"/>
    <w:rsid w:val="00302FFB"/>
    <w:rsid w:val="00303C78"/>
    <w:rsid w:val="00304192"/>
    <w:rsid w:val="00304CBC"/>
    <w:rsid w:val="003055E1"/>
    <w:rsid w:val="00306AA8"/>
    <w:rsid w:val="00310180"/>
    <w:rsid w:val="00313FB1"/>
    <w:rsid w:val="00314A97"/>
    <w:rsid w:val="0031565E"/>
    <w:rsid w:val="00315A00"/>
    <w:rsid w:val="0031632B"/>
    <w:rsid w:val="00317D0B"/>
    <w:rsid w:val="003224B8"/>
    <w:rsid w:val="00323043"/>
    <w:rsid w:val="003240B9"/>
    <w:rsid w:val="00324168"/>
    <w:rsid w:val="003253E8"/>
    <w:rsid w:val="003260C3"/>
    <w:rsid w:val="0032679D"/>
    <w:rsid w:val="00326A78"/>
    <w:rsid w:val="00327512"/>
    <w:rsid w:val="003303DA"/>
    <w:rsid w:val="00330C1C"/>
    <w:rsid w:val="00330CD0"/>
    <w:rsid w:val="00333802"/>
    <w:rsid w:val="00333AF3"/>
    <w:rsid w:val="00334729"/>
    <w:rsid w:val="00334A23"/>
    <w:rsid w:val="00334BB5"/>
    <w:rsid w:val="00335049"/>
    <w:rsid w:val="00335F50"/>
    <w:rsid w:val="00336C09"/>
    <w:rsid w:val="003371A9"/>
    <w:rsid w:val="00341230"/>
    <w:rsid w:val="003412D5"/>
    <w:rsid w:val="003421EE"/>
    <w:rsid w:val="00342CD3"/>
    <w:rsid w:val="0034302C"/>
    <w:rsid w:val="003434B0"/>
    <w:rsid w:val="00344490"/>
    <w:rsid w:val="003472D9"/>
    <w:rsid w:val="0034757A"/>
    <w:rsid w:val="003500D8"/>
    <w:rsid w:val="00352916"/>
    <w:rsid w:val="003559FC"/>
    <w:rsid w:val="0035601B"/>
    <w:rsid w:val="00357790"/>
    <w:rsid w:val="00357BD5"/>
    <w:rsid w:val="0036021F"/>
    <w:rsid w:val="00361701"/>
    <w:rsid w:val="0036222D"/>
    <w:rsid w:val="00362244"/>
    <w:rsid w:val="00364252"/>
    <w:rsid w:val="00364D1A"/>
    <w:rsid w:val="00364E81"/>
    <w:rsid w:val="00365820"/>
    <w:rsid w:val="0036749E"/>
    <w:rsid w:val="00371489"/>
    <w:rsid w:val="003718C9"/>
    <w:rsid w:val="0037252C"/>
    <w:rsid w:val="0037272E"/>
    <w:rsid w:val="0037335A"/>
    <w:rsid w:val="00373387"/>
    <w:rsid w:val="0037362A"/>
    <w:rsid w:val="003748EA"/>
    <w:rsid w:val="003750FC"/>
    <w:rsid w:val="00375456"/>
    <w:rsid w:val="00376788"/>
    <w:rsid w:val="003769DE"/>
    <w:rsid w:val="00377BC3"/>
    <w:rsid w:val="0038032D"/>
    <w:rsid w:val="00380A5A"/>
    <w:rsid w:val="00380EA2"/>
    <w:rsid w:val="003810B4"/>
    <w:rsid w:val="00384C4B"/>
    <w:rsid w:val="003851F2"/>
    <w:rsid w:val="00386674"/>
    <w:rsid w:val="003866FC"/>
    <w:rsid w:val="0038721A"/>
    <w:rsid w:val="00391A84"/>
    <w:rsid w:val="00393294"/>
    <w:rsid w:val="003948EF"/>
    <w:rsid w:val="0039495D"/>
    <w:rsid w:val="00394C8B"/>
    <w:rsid w:val="00397C2C"/>
    <w:rsid w:val="003A3160"/>
    <w:rsid w:val="003A41B2"/>
    <w:rsid w:val="003A530E"/>
    <w:rsid w:val="003A53B1"/>
    <w:rsid w:val="003A5DFA"/>
    <w:rsid w:val="003A69BE"/>
    <w:rsid w:val="003A6E04"/>
    <w:rsid w:val="003B19C1"/>
    <w:rsid w:val="003B1D29"/>
    <w:rsid w:val="003B28B4"/>
    <w:rsid w:val="003B4C23"/>
    <w:rsid w:val="003B6087"/>
    <w:rsid w:val="003B64F1"/>
    <w:rsid w:val="003B772B"/>
    <w:rsid w:val="003B788E"/>
    <w:rsid w:val="003C05FA"/>
    <w:rsid w:val="003C11CA"/>
    <w:rsid w:val="003C34F7"/>
    <w:rsid w:val="003C4AAB"/>
    <w:rsid w:val="003C5BCB"/>
    <w:rsid w:val="003C607B"/>
    <w:rsid w:val="003C7055"/>
    <w:rsid w:val="003C71CD"/>
    <w:rsid w:val="003C751C"/>
    <w:rsid w:val="003D09C3"/>
    <w:rsid w:val="003D24EB"/>
    <w:rsid w:val="003D3B14"/>
    <w:rsid w:val="003D4E9F"/>
    <w:rsid w:val="003D4F3E"/>
    <w:rsid w:val="003D6343"/>
    <w:rsid w:val="003E0F16"/>
    <w:rsid w:val="003E1266"/>
    <w:rsid w:val="003E465C"/>
    <w:rsid w:val="003E473C"/>
    <w:rsid w:val="003E5770"/>
    <w:rsid w:val="003E68D3"/>
    <w:rsid w:val="003E73C2"/>
    <w:rsid w:val="003F0CC3"/>
    <w:rsid w:val="003F18C9"/>
    <w:rsid w:val="003F2E32"/>
    <w:rsid w:val="00400948"/>
    <w:rsid w:val="00401422"/>
    <w:rsid w:val="00401CD8"/>
    <w:rsid w:val="0040452B"/>
    <w:rsid w:val="00404C18"/>
    <w:rsid w:val="00410027"/>
    <w:rsid w:val="00410B87"/>
    <w:rsid w:val="00411060"/>
    <w:rsid w:val="00411CB4"/>
    <w:rsid w:val="0041384A"/>
    <w:rsid w:val="00413D7A"/>
    <w:rsid w:val="00414F75"/>
    <w:rsid w:val="0041586C"/>
    <w:rsid w:val="00416547"/>
    <w:rsid w:val="00416609"/>
    <w:rsid w:val="004173FC"/>
    <w:rsid w:val="00420607"/>
    <w:rsid w:val="004222AC"/>
    <w:rsid w:val="00423028"/>
    <w:rsid w:val="00423A30"/>
    <w:rsid w:val="0042686F"/>
    <w:rsid w:val="004269DF"/>
    <w:rsid w:val="00427004"/>
    <w:rsid w:val="00427240"/>
    <w:rsid w:val="00427F1D"/>
    <w:rsid w:val="0043275C"/>
    <w:rsid w:val="0043436E"/>
    <w:rsid w:val="00434411"/>
    <w:rsid w:val="00434BE9"/>
    <w:rsid w:val="0043531D"/>
    <w:rsid w:val="00437394"/>
    <w:rsid w:val="00437AD1"/>
    <w:rsid w:val="00437D01"/>
    <w:rsid w:val="004400FE"/>
    <w:rsid w:val="00440F13"/>
    <w:rsid w:val="00443559"/>
    <w:rsid w:val="0044577F"/>
    <w:rsid w:val="00446572"/>
    <w:rsid w:val="004466D2"/>
    <w:rsid w:val="00450596"/>
    <w:rsid w:val="00450755"/>
    <w:rsid w:val="004530A1"/>
    <w:rsid w:val="00453667"/>
    <w:rsid w:val="00453F26"/>
    <w:rsid w:val="004544B6"/>
    <w:rsid w:val="00456BAC"/>
    <w:rsid w:val="00460D09"/>
    <w:rsid w:val="00460D0A"/>
    <w:rsid w:val="00461EC4"/>
    <w:rsid w:val="00462202"/>
    <w:rsid w:val="004626C6"/>
    <w:rsid w:val="00463066"/>
    <w:rsid w:val="0046341B"/>
    <w:rsid w:val="00463E0C"/>
    <w:rsid w:val="0046404D"/>
    <w:rsid w:val="0046483A"/>
    <w:rsid w:val="00464FF9"/>
    <w:rsid w:val="00466C1B"/>
    <w:rsid w:val="0046712B"/>
    <w:rsid w:val="00467DD7"/>
    <w:rsid w:val="00471D5C"/>
    <w:rsid w:val="00473194"/>
    <w:rsid w:val="00473473"/>
    <w:rsid w:val="00474A1F"/>
    <w:rsid w:val="00474D36"/>
    <w:rsid w:val="00476F83"/>
    <w:rsid w:val="0047715C"/>
    <w:rsid w:val="004771A2"/>
    <w:rsid w:val="00477D6B"/>
    <w:rsid w:val="00481C1F"/>
    <w:rsid w:val="00482910"/>
    <w:rsid w:val="004833BC"/>
    <w:rsid w:val="0048586E"/>
    <w:rsid w:val="00485949"/>
    <w:rsid w:val="004876E9"/>
    <w:rsid w:val="00487ADF"/>
    <w:rsid w:val="00487EAC"/>
    <w:rsid w:val="004901C6"/>
    <w:rsid w:val="00490BB8"/>
    <w:rsid w:val="00490D78"/>
    <w:rsid w:val="00490DC9"/>
    <w:rsid w:val="0049201A"/>
    <w:rsid w:val="00492D14"/>
    <w:rsid w:val="0049402D"/>
    <w:rsid w:val="00495A00"/>
    <w:rsid w:val="00495EAF"/>
    <w:rsid w:val="00496B99"/>
    <w:rsid w:val="004A0154"/>
    <w:rsid w:val="004A0297"/>
    <w:rsid w:val="004A4498"/>
    <w:rsid w:val="004A46AD"/>
    <w:rsid w:val="004A59A1"/>
    <w:rsid w:val="004A787C"/>
    <w:rsid w:val="004A7B62"/>
    <w:rsid w:val="004B140A"/>
    <w:rsid w:val="004B18A4"/>
    <w:rsid w:val="004B1E1F"/>
    <w:rsid w:val="004B276D"/>
    <w:rsid w:val="004B2F57"/>
    <w:rsid w:val="004B33EA"/>
    <w:rsid w:val="004B346D"/>
    <w:rsid w:val="004B3736"/>
    <w:rsid w:val="004B4B38"/>
    <w:rsid w:val="004B4D9A"/>
    <w:rsid w:val="004B5257"/>
    <w:rsid w:val="004B5CB1"/>
    <w:rsid w:val="004B5D7B"/>
    <w:rsid w:val="004B63FE"/>
    <w:rsid w:val="004B6FC9"/>
    <w:rsid w:val="004C1113"/>
    <w:rsid w:val="004C2D25"/>
    <w:rsid w:val="004C376C"/>
    <w:rsid w:val="004C7174"/>
    <w:rsid w:val="004D3123"/>
    <w:rsid w:val="004D5127"/>
    <w:rsid w:val="004D523F"/>
    <w:rsid w:val="004D59CE"/>
    <w:rsid w:val="004D6F4C"/>
    <w:rsid w:val="004E010F"/>
    <w:rsid w:val="004E17C9"/>
    <w:rsid w:val="004E46C8"/>
    <w:rsid w:val="004E5FEC"/>
    <w:rsid w:val="004E6A23"/>
    <w:rsid w:val="004F169D"/>
    <w:rsid w:val="004F20AD"/>
    <w:rsid w:val="004F3982"/>
    <w:rsid w:val="004F4027"/>
    <w:rsid w:val="004F4089"/>
    <w:rsid w:val="004F664F"/>
    <w:rsid w:val="004F67CC"/>
    <w:rsid w:val="004F7081"/>
    <w:rsid w:val="004F7DB1"/>
    <w:rsid w:val="005011C5"/>
    <w:rsid w:val="00503F29"/>
    <w:rsid w:val="00503FD0"/>
    <w:rsid w:val="005043EF"/>
    <w:rsid w:val="005051F0"/>
    <w:rsid w:val="00506F80"/>
    <w:rsid w:val="00510A82"/>
    <w:rsid w:val="0051171F"/>
    <w:rsid w:val="005133D5"/>
    <w:rsid w:val="005156C2"/>
    <w:rsid w:val="00516594"/>
    <w:rsid w:val="005171CC"/>
    <w:rsid w:val="00517484"/>
    <w:rsid w:val="00517CDA"/>
    <w:rsid w:val="00517CE6"/>
    <w:rsid w:val="00517F9A"/>
    <w:rsid w:val="005203D7"/>
    <w:rsid w:val="005204D7"/>
    <w:rsid w:val="00521359"/>
    <w:rsid w:val="00521A96"/>
    <w:rsid w:val="005240FA"/>
    <w:rsid w:val="0052490F"/>
    <w:rsid w:val="0052501E"/>
    <w:rsid w:val="00525408"/>
    <w:rsid w:val="00525BBF"/>
    <w:rsid w:val="00530AD9"/>
    <w:rsid w:val="005322FA"/>
    <w:rsid w:val="00534CB2"/>
    <w:rsid w:val="00534E61"/>
    <w:rsid w:val="005433B3"/>
    <w:rsid w:val="005445F4"/>
    <w:rsid w:val="00545309"/>
    <w:rsid w:val="00547411"/>
    <w:rsid w:val="005502D2"/>
    <w:rsid w:val="00551259"/>
    <w:rsid w:val="005517E0"/>
    <w:rsid w:val="005522EE"/>
    <w:rsid w:val="00555267"/>
    <w:rsid w:val="005565CD"/>
    <w:rsid w:val="005567D7"/>
    <w:rsid w:val="00560766"/>
    <w:rsid w:val="005614E2"/>
    <w:rsid w:val="00561D39"/>
    <w:rsid w:val="0056334A"/>
    <w:rsid w:val="00563F35"/>
    <w:rsid w:val="00564F0D"/>
    <w:rsid w:val="00565D7F"/>
    <w:rsid w:val="005673AC"/>
    <w:rsid w:val="00567FC1"/>
    <w:rsid w:val="005704D2"/>
    <w:rsid w:val="00570EEC"/>
    <w:rsid w:val="005748CE"/>
    <w:rsid w:val="00575128"/>
    <w:rsid w:val="005765FF"/>
    <w:rsid w:val="0058034D"/>
    <w:rsid w:val="00580A30"/>
    <w:rsid w:val="0058198C"/>
    <w:rsid w:val="0058281E"/>
    <w:rsid w:val="00583B1E"/>
    <w:rsid w:val="00584243"/>
    <w:rsid w:val="00584A8D"/>
    <w:rsid w:val="00586889"/>
    <w:rsid w:val="00587F38"/>
    <w:rsid w:val="00590385"/>
    <w:rsid w:val="00590AF2"/>
    <w:rsid w:val="0059126E"/>
    <w:rsid w:val="005925C5"/>
    <w:rsid w:val="0059362A"/>
    <w:rsid w:val="00593861"/>
    <w:rsid w:val="005943AC"/>
    <w:rsid w:val="00595AB4"/>
    <w:rsid w:val="00595DA6"/>
    <w:rsid w:val="005960BC"/>
    <w:rsid w:val="005962B0"/>
    <w:rsid w:val="005966BB"/>
    <w:rsid w:val="0059729E"/>
    <w:rsid w:val="00597E3A"/>
    <w:rsid w:val="00597F23"/>
    <w:rsid w:val="005A0206"/>
    <w:rsid w:val="005A020C"/>
    <w:rsid w:val="005A1357"/>
    <w:rsid w:val="005A306E"/>
    <w:rsid w:val="005A3917"/>
    <w:rsid w:val="005A477E"/>
    <w:rsid w:val="005A6FB9"/>
    <w:rsid w:val="005B0364"/>
    <w:rsid w:val="005B062E"/>
    <w:rsid w:val="005B2110"/>
    <w:rsid w:val="005B2C91"/>
    <w:rsid w:val="005B3447"/>
    <w:rsid w:val="005B423E"/>
    <w:rsid w:val="005B74FE"/>
    <w:rsid w:val="005C16C7"/>
    <w:rsid w:val="005C203A"/>
    <w:rsid w:val="005C24F4"/>
    <w:rsid w:val="005C45E6"/>
    <w:rsid w:val="005C78B7"/>
    <w:rsid w:val="005D0670"/>
    <w:rsid w:val="005D3412"/>
    <w:rsid w:val="005D4013"/>
    <w:rsid w:val="005D4430"/>
    <w:rsid w:val="005D5304"/>
    <w:rsid w:val="005D6EA5"/>
    <w:rsid w:val="005E013C"/>
    <w:rsid w:val="005E0222"/>
    <w:rsid w:val="005E1623"/>
    <w:rsid w:val="005E1E7D"/>
    <w:rsid w:val="005E2E42"/>
    <w:rsid w:val="005E507F"/>
    <w:rsid w:val="005E6D41"/>
    <w:rsid w:val="005F0BE7"/>
    <w:rsid w:val="005F0EC1"/>
    <w:rsid w:val="005F1659"/>
    <w:rsid w:val="005F2735"/>
    <w:rsid w:val="005F3B28"/>
    <w:rsid w:val="005F4426"/>
    <w:rsid w:val="005F6135"/>
    <w:rsid w:val="005F6363"/>
    <w:rsid w:val="005F729C"/>
    <w:rsid w:val="005F7948"/>
    <w:rsid w:val="005F7A98"/>
    <w:rsid w:val="00601180"/>
    <w:rsid w:val="006015FA"/>
    <w:rsid w:val="00601C81"/>
    <w:rsid w:val="006027CB"/>
    <w:rsid w:val="00602A47"/>
    <w:rsid w:val="00605F32"/>
    <w:rsid w:val="006064DA"/>
    <w:rsid w:val="00606CD1"/>
    <w:rsid w:val="006103C0"/>
    <w:rsid w:val="00611C9A"/>
    <w:rsid w:val="00611F8C"/>
    <w:rsid w:val="00612C68"/>
    <w:rsid w:val="00612DCC"/>
    <w:rsid w:val="00612F55"/>
    <w:rsid w:val="0061457B"/>
    <w:rsid w:val="006155F4"/>
    <w:rsid w:val="00615B1A"/>
    <w:rsid w:val="00615DC7"/>
    <w:rsid w:val="006217EB"/>
    <w:rsid w:val="00621943"/>
    <w:rsid w:val="0062355A"/>
    <w:rsid w:val="00623A40"/>
    <w:rsid w:val="006245C9"/>
    <w:rsid w:val="00624A87"/>
    <w:rsid w:val="0062762B"/>
    <w:rsid w:val="00632FB0"/>
    <w:rsid w:val="00635612"/>
    <w:rsid w:val="00635B08"/>
    <w:rsid w:val="006370D5"/>
    <w:rsid w:val="006375DB"/>
    <w:rsid w:val="00641F2D"/>
    <w:rsid w:val="00642283"/>
    <w:rsid w:val="00642B04"/>
    <w:rsid w:val="00643B88"/>
    <w:rsid w:val="00643D59"/>
    <w:rsid w:val="00645B80"/>
    <w:rsid w:val="00645F26"/>
    <w:rsid w:val="00647FFC"/>
    <w:rsid w:val="00651F94"/>
    <w:rsid w:val="00652305"/>
    <w:rsid w:val="00652BFF"/>
    <w:rsid w:val="00654924"/>
    <w:rsid w:val="00655079"/>
    <w:rsid w:val="00655114"/>
    <w:rsid w:val="006563D0"/>
    <w:rsid w:val="00657709"/>
    <w:rsid w:val="00657C8F"/>
    <w:rsid w:val="00657DCC"/>
    <w:rsid w:val="00661DAF"/>
    <w:rsid w:val="00663566"/>
    <w:rsid w:val="006648FD"/>
    <w:rsid w:val="0066584D"/>
    <w:rsid w:val="0066670B"/>
    <w:rsid w:val="00666F3E"/>
    <w:rsid w:val="0066749B"/>
    <w:rsid w:val="006703AD"/>
    <w:rsid w:val="006705FC"/>
    <w:rsid w:val="00670612"/>
    <w:rsid w:val="006708A5"/>
    <w:rsid w:val="00672119"/>
    <w:rsid w:val="006742B6"/>
    <w:rsid w:val="00674489"/>
    <w:rsid w:val="00674650"/>
    <w:rsid w:val="006748E8"/>
    <w:rsid w:val="00674D46"/>
    <w:rsid w:val="006754BA"/>
    <w:rsid w:val="00675A22"/>
    <w:rsid w:val="0067692C"/>
    <w:rsid w:val="00676C2F"/>
    <w:rsid w:val="0067737A"/>
    <w:rsid w:val="0067777A"/>
    <w:rsid w:val="00682CDF"/>
    <w:rsid w:val="00683BEC"/>
    <w:rsid w:val="006843FB"/>
    <w:rsid w:val="006853B4"/>
    <w:rsid w:val="00686612"/>
    <w:rsid w:val="00691386"/>
    <w:rsid w:val="006926AC"/>
    <w:rsid w:val="0069277F"/>
    <w:rsid w:val="00692AB6"/>
    <w:rsid w:val="00693067"/>
    <w:rsid w:val="006930FE"/>
    <w:rsid w:val="00693E66"/>
    <w:rsid w:val="006941A8"/>
    <w:rsid w:val="00694C5F"/>
    <w:rsid w:val="00694E61"/>
    <w:rsid w:val="006953AE"/>
    <w:rsid w:val="00695480"/>
    <w:rsid w:val="00695854"/>
    <w:rsid w:val="00695D35"/>
    <w:rsid w:val="0069627E"/>
    <w:rsid w:val="00696472"/>
    <w:rsid w:val="006A042C"/>
    <w:rsid w:val="006A1E57"/>
    <w:rsid w:val="006A270B"/>
    <w:rsid w:val="006A278B"/>
    <w:rsid w:val="006A32F5"/>
    <w:rsid w:val="006A4499"/>
    <w:rsid w:val="006A4574"/>
    <w:rsid w:val="006A4973"/>
    <w:rsid w:val="006A49C4"/>
    <w:rsid w:val="006A4B4E"/>
    <w:rsid w:val="006A6949"/>
    <w:rsid w:val="006A7176"/>
    <w:rsid w:val="006B16AE"/>
    <w:rsid w:val="006B3DCA"/>
    <w:rsid w:val="006B4235"/>
    <w:rsid w:val="006B43D9"/>
    <w:rsid w:val="006B47D6"/>
    <w:rsid w:val="006B49F1"/>
    <w:rsid w:val="006B6310"/>
    <w:rsid w:val="006C0217"/>
    <w:rsid w:val="006C0A02"/>
    <w:rsid w:val="006C0AD9"/>
    <w:rsid w:val="006C0BB4"/>
    <w:rsid w:val="006C1237"/>
    <w:rsid w:val="006C1275"/>
    <w:rsid w:val="006C249B"/>
    <w:rsid w:val="006C338D"/>
    <w:rsid w:val="006C39F7"/>
    <w:rsid w:val="006C45AF"/>
    <w:rsid w:val="006C46C1"/>
    <w:rsid w:val="006C5E8E"/>
    <w:rsid w:val="006C71A1"/>
    <w:rsid w:val="006C7335"/>
    <w:rsid w:val="006D03A3"/>
    <w:rsid w:val="006D2416"/>
    <w:rsid w:val="006D2541"/>
    <w:rsid w:val="006D2923"/>
    <w:rsid w:val="006D3120"/>
    <w:rsid w:val="006D336C"/>
    <w:rsid w:val="006D36DC"/>
    <w:rsid w:val="006D4177"/>
    <w:rsid w:val="006D514E"/>
    <w:rsid w:val="006D5827"/>
    <w:rsid w:val="006D5C2A"/>
    <w:rsid w:val="006D7703"/>
    <w:rsid w:val="006E1B97"/>
    <w:rsid w:val="006E1C7B"/>
    <w:rsid w:val="006E2E01"/>
    <w:rsid w:val="006E3400"/>
    <w:rsid w:val="006E4461"/>
    <w:rsid w:val="006E5648"/>
    <w:rsid w:val="006E5FC8"/>
    <w:rsid w:val="006E639C"/>
    <w:rsid w:val="006E74CF"/>
    <w:rsid w:val="006E76AB"/>
    <w:rsid w:val="006F16F4"/>
    <w:rsid w:val="006F2A8A"/>
    <w:rsid w:val="006F2CFE"/>
    <w:rsid w:val="006F494D"/>
    <w:rsid w:val="006F5534"/>
    <w:rsid w:val="00701EA3"/>
    <w:rsid w:val="007028C1"/>
    <w:rsid w:val="00703494"/>
    <w:rsid w:val="00704769"/>
    <w:rsid w:val="00704C88"/>
    <w:rsid w:val="007050CA"/>
    <w:rsid w:val="00705FF8"/>
    <w:rsid w:val="007060AB"/>
    <w:rsid w:val="0070636C"/>
    <w:rsid w:val="0070720B"/>
    <w:rsid w:val="007073C4"/>
    <w:rsid w:val="0071101B"/>
    <w:rsid w:val="00711368"/>
    <w:rsid w:val="00711876"/>
    <w:rsid w:val="007149FB"/>
    <w:rsid w:val="00714AFB"/>
    <w:rsid w:val="007157B9"/>
    <w:rsid w:val="0071594C"/>
    <w:rsid w:val="0071648D"/>
    <w:rsid w:val="007168E4"/>
    <w:rsid w:val="00717527"/>
    <w:rsid w:val="00717701"/>
    <w:rsid w:val="00720D77"/>
    <w:rsid w:val="0072116B"/>
    <w:rsid w:val="00721DB1"/>
    <w:rsid w:val="00722316"/>
    <w:rsid w:val="00723DA7"/>
    <w:rsid w:val="00724159"/>
    <w:rsid w:val="00724ED7"/>
    <w:rsid w:val="00725D36"/>
    <w:rsid w:val="0073515B"/>
    <w:rsid w:val="0073717C"/>
    <w:rsid w:val="00737277"/>
    <w:rsid w:val="007372AA"/>
    <w:rsid w:val="007439CF"/>
    <w:rsid w:val="00744345"/>
    <w:rsid w:val="007446AC"/>
    <w:rsid w:val="00745AFD"/>
    <w:rsid w:val="00746125"/>
    <w:rsid w:val="0074645E"/>
    <w:rsid w:val="00747B9E"/>
    <w:rsid w:val="0075085E"/>
    <w:rsid w:val="007514A4"/>
    <w:rsid w:val="00751921"/>
    <w:rsid w:val="00753F3A"/>
    <w:rsid w:val="0075468B"/>
    <w:rsid w:val="00754901"/>
    <w:rsid w:val="00755490"/>
    <w:rsid w:val="00755C19"/>
    <w:rsid w:val="00756B1E"/>
    <w:rsid w:val="00757852"/>
    <w:rsid w:val="007601C7"/>
    <w:rsid w:val="00760617"/>
    <w:rsid w:val="0076102E"/>
    <w:rsid w:val="00761175"/>
    <w:rsid w:val="007628BB"/>
    <w:rsid w:val="00762C45"/>
    <w:rsid w:val="007637D3"/>
    <w:rsid w:val="00763F01"/>
    <w:rsid w:val="00764DAA"/>
    <w:rsid w:val="007650A9"/>
    <w:rsid w:val="007651B1"/>
    <w:rsid w:val="00766359"/>
    <w:rsid w:val="00766719"/>
    <w:rsid w:val="00767B4E"/>
    <w:rsid w:val="007708AE"/>
    <w:rsid w:val="007714D4"/>
    <w:rsid w:val="0077183E"/>
    <w:rsid w:val="00771B5A"/>
    <w:rsid w:val="00772D14"/>
    <w:rsid w:val="0077633B"/>
    <w:rsid w:val="00776A2E"/>
    <w:rsid w:val="00777627"/>
    <w:rsid w:val="007776C7"/>
    <w:rsid w:val="00777E33"/>
    <w:rsid w:val="00777EF2"/>
    <w:rsid w:val="00780F05"/>
    <w:rsid w:val="0078132E"/>
    <w:rsid w:val="007818B7"/>
    <w:rsid w:val="00781EBF"/>
    <w:rsid w:val="00782421"/>
    <w:rsid w:val="00782D9A"/>
    <w:rsid w:val="0078451F"/>
    <w:rsid w:val="007862A8"/>
    <w:rsid w:val="00791F48"/>
    <w:rsid w:val="00792177"/>
    <w:rsid w:val="0079243E"/>
    <w:rsid w:val="00792FE9"/>
    <w:rsid w:val="007955C7"/>
    <w:rsid w:val="0079682B"/>
    <w:rsid w:val="00796AE0"/>
    <w:rsid w:val="007A00B5"/>
    <w:rsid w:val="007A07E0"/>
    <w:rsid w:val="007A170D"/>
    <w:rsid w:val="007A32EE"/>
    <w:rsid w:val="007A384D"/>
    <w:rsid w:val="007A60B7"/>
    <w:rsid w:val="007A7A42"/>
    <w:rsid w:val="007B188E"/>
    <w:rsid w:val="007B1FEA"/>
    <w:rsid w:val="007B2967"/>
    <w:rsid w:val="007B4807"/>
    <w:rsid w:val="007B4A10"/>
    <w:rsid w:val="007B5E24"/>
    <w:rsid w:val="007B66E9"/>
    <w:rsid w:val="007B6738"/>
    <w:rsid w:val="007B68E4"/>
    <w:rsid w:val="007B78EC"/>
    <w:rsid w:val="007C03F8"/>
    <w:rsid w:val="007C12EC"/>
    <w:rsid w:val="007C13C4"/>
    <w:rsid w:val="007C17D2"/>
    <w:rsid w:val="007C36D0"/>
    <w:rsid w:val="007C3F55"/>
    <w:rsid w:val="007C6D0D"/>
    <w:rsid w:val="007D1E09"/>
    <w:rsid w:val="007D2EBD"/>
    <w:rsid w:val="007D4699"/>
    <w:rsid w:val="007D5C1B"/>
    <w:rsid w:val="007D621B"/>
    <w:rsid w:val="007D6CAA"/>
    <w:rsid w:val="007E0F53"/>
    <w:rsid w:val="007E2E5C"/>
    <w:rsid w:val="007E637B"/>
    <w:rsid w:val="007E6C1B"/>
    <w:rsid w:val="007E79ED"/>
    <w:rsid w:val="007F13A7"/>
    <w:rsid w:val="007F2538"/>
    <w:rsid w:val="007F30B6"/>
    <w:rsid w:val="007F3FCC"/>
    <w:rsid w:val="007F4368"/>
    <w:rsid w:val="007F4489"/>
    <w:rsid w:val="007F4CAB"/>
    <w:rsid w:val="007F5F6B"/>
    <w:rsid w:val="007F5F94"/>
    <w:rsid w:val="00801344"/>
    <w:rsid w:val="00802D90"/>
    <w:rsid w:val="008053FE"/>
    <w:rsid w:val="00805866"/>
    <w:rsid w:val="00805F9B"/>
    <w:rsid w:val="008068EB"/>
    <w:rsid w:val="00806C87"/>
    <w:rsid w:val="008101D8"/>
    <w:rsid w:val="00810E5C"/>
    <w:rsid w:val="00811476"/>
    <w:rsid w:val="00813466"/>
    <w:rsid w:val="00814F7E"/>
    <w:rsid w:val="008157D5"/>
    <w:rsid w:val="008164D7"/>
    <w:rsid w:val="008172C9"/>
    <w:rsid w:val="00817F7E"/>
    <w:rsid w:val="0082222F"/>
    <w:rsid w:val="008240A2"/>
    <w:rsid w:val="0082605C"/>
    <w:rsid w:val="00826605"/>
    <w:rsid w:val="008271BE"/>
    <w:rsid w:val="008271D8"/>
    <w:rsid w:val="008279E9"/>
    <w:rsid w:val="00830E27"/>
    <w:rsid w:val="00831988"/>
    <w:rsid w:val="00833905"/>
    <w:rsid w:val="0083545D"/>
    <w:rsid w:val="00835BF3"/>
    <w:rsid w:val="00836328"/>
    <w:rsid w:val="00842732"/>
    <w:rsid w:val="00842D9E"/>
    <w:rsid w:val="00843D1C"/>
    <w:rsid w:val="00844F9F"/>
    <w:rsid w:val="00845796"/>
    <w:rsid w:val="00845AAE"/>
    <w:rsid w:val="0084651E"/>
    <w:rsid w:val="00847578"/>
    <w:rsid w:val="008501F4"/>
    <w:rsid w:val="008502CD"/>
    <w:rsid w:val="008503D7"/>
    <w:rsid w:val="008507A4"/>
    <w:rsid w:val="00852683"/>
    <w:rsid w:val="00852E51"/>
    <w:rsid w:val="0085334B"/>
    <w:rsid w:val="00854E99"/>
    <w:rsid w:val="008558F5"/>
    <w:rsid w:val="00856543"/>
    <w:rsid w:val="0085711D"/>
    <w:rsid w:val="0086018A"/>
    <w:rsid w:val="008609A7"/>
    <w:rsid w:val="008618DD"/>
    <w:rsid w:val="00861A9B"/>
    <w:rsid w:val="00862E67"/>
    <w:rsid w:val="00863978"/>
    <w:rsid w:val="008643E1"/>
    <w:rsid w:val="00864404"/>
    <w:rsid w:val="008650D5"/>
    <w:rsid w:val="00865316"/>
    <w:rsid w:val="00865F91"/>
    <w:rsid w:val="00866D57"/>
    <w:rsid w:val="00866F7A"/>
    <w:rsid w:val="008707AA"/>
    <w:rsid w:val="0087099F"/>
    <w:rsid w:val="00870C61"/>
    <w:rsid w:val="00870FDA"/>
    <w:rsid w:val="008727A7"/>
    <w:rsid w:val="00872870"/>
    <w:rsid w:val="00872A44"/>
    <w:rsid w:val="008747C3"/>
    <w:rsid w:val="00875991"/>
    <w:rsid w:val="0087610E"/>
    <w:rsid w:val="00876FC8"/>
    <w:rsid w:val="00882E5E"/>
    <w:rsid w:val="00884576"/>
    <w:rsid w:val="00884FB8"/>
    <w:rsid w:val="00885A50"/>
    <w:rsid w:val="00885AC6"/>
    <w:rsid w:val="008875CD"/>
    <w:rsid w:val="0088777D"/>
    <w:rsid w:val="00887D7C"/>
    <w:rsid w:val="00890577"/>
    <w:rsid w:val="00890D6C"/>
    <w:rsid w:val="00891305"/>
    <w:rsid w:val="00893AEA"/>
    <w:rsid w:val="00896305"/>
    <w:rsid w:val="00897799"/>
    <w:rsid w:val="008A14E6"/>
    <w:rsid w:val="008A1AE2"/>
    <w:rsid w:val="008A1B93"/>
    <w:rsid w:val="008A2FEF"/>
    <w:rsid w:val="008A3C50"/>
    <w:rsid w:val="008A5071"/>
    <w:rsid w:val="008A5233"/>
    <w:rsid w:val="008A5651"/>
    <w:rsid w:val="008A57F3"/>
    <w:rsid w:val="008A5CC1"/>
    <w:rsid w:val="008A5E5E"/>
    <w:rsid w:val="008B0956"/>
    <w:rsid w:val="008B0D6F"/>
    <w:rsid w:val="008B2FC5"/>
    <w:rsid w:val="008B527C"/>
    <w:rsid w:val="008B59D9"/>
    <w:rsid w:val="008B5B35"/>
    <w:rsid w:val="008B710F"/>
    <w:rsid w:val="008C03BE"/>
    <w:rsid w:val="008C0A40"/>
    <w:rsid w:val="008C0D33"/>
    <w:rsid w:val="008C0D58"/>
    <w:rsid w:val="008C1D71"/>
    <w:rsid w:val="008C26DA"/>
    <w:rsid w:val="008C3DC9"/>
    <w:rsid w:val="008C3E71"/>
    <w:rsid w:val="008C42AB"/>
    <w:rsid w:val="008C5097"/>
    <w:rsid w:val="008C5494"/>
    <w:rsid w:val="008C6E02"/>
    <w:rsid w:val="008D0060"/>
    <w:rsid w:val="008D0814"/>
    <w:rsid w:val="008D09FF"/>
    <w:rsid w:val="008D160D"/>
    <w:rsid w:val="008D2651"/>
    <w:rsid w:val="008D5741"/>
    <w:rsid w:val="008D6074"/>
    <w:rsid w:val="008D6075"/>
    <w:rsid w:val="008D6526"/>
    <w:rsid w:val="008D6966"/>
    <w:rsid w:val="008D6DAB"/>
    <w:rsid w:val="008D7277"/>
    <w:rsid w:val="008D7EBB"/>
    <w:rsid w:val="008E193A"/>
    <w:rsid w:val="008E212F"/>
    <w:rsid w:val="008E29E7"/>
    <w:rsid w:val="008E2ABD"/>
    <w:rsid w:val="008E474D"/>
    <w:rsid w:val="008E5463"/>
    <w:rsid w:val="008E5B2E"/>
    <w:rsid w:val="008E663D"/>
    <w:rsid w:val="008F023D"/>
    <w:rsid w:val="008F1E1C"/>
    <w:rsid w:val="008F1FEE"/>
    <w:rsid w:val="008F24D5"/>
    <w:rsid w:val="008F361F"/>
    <w:rsid w:val="008F3989"/>
    <w:rsid w:val="008F3CA2"/>
    <w:rsid w:val="008F3FAF"/>
    <w:rsid w:val="008F3FBE"/>
    <w:rsid w:val="008F4DCE"/>
    <w:rsid w:val="008F7EC2"/>
    <w:rsid w:val="008F7F25"/>
    <w:rsid w:val="00900D0A"/>
    <w:rsid w:val="009018B7"/>
    <w:rsid w:val="00902638"/>
    <w:rsid w:val="0090318A"/>
    <w:rsid w:val="00903555"/>
    <w:rsid w:val="00903738"/>
    <w:rsid w:val="00903A05"/>
    <w:rsid w:val="00904927"/>
    <w:rsid w:val="009068E2"/>
    <w:rsid w:val="00906CF6"/>
    <w:rsid w:val="00907ABD"/>
    <w:rsid w:val="00907CAF"/>
    <w:rsid w:val="00907E2B"/>
    <w:rsid w:val="00910561"/>
    <w:rsid w:val="009131F7"/>
    <w:rsid w:val="00913809"/>
    <w:rsid w:val="009156AE"/>
    <w:rsid w:val="0091604D"/>
    <w:rsid w:val="009172DE"/>
    <w:rsid w:val="00921C10"/>
    <w:rsid w:val="00922229"/>
    <w:rsid w:val="0092266A"/>
    <w:rsid w:val="00922BEE"/>
    <w:rsid w:val="00922DFD"/>
    <w:rsid w:val="00923A58"/>
    <w:rsid w:val="00924714"/>
    <w:rsid w:val="00925CD9"/>
    <w:rsid w:val="00926612"/>
    <w:rsid w:val="00927182"/>
    <w:rsid w:val="00927234"/>
    <w:rsid w:val="009306E2"/>
    <w:rsid w:val="009307B8"/>
    <w:rsid w:val="00932497"/>
    <w:rsid w:val="0093380B"/>
    <w:rsid w:val="00933E72"/>
    <w:rsid w:val="009353C1"/>
    <w:rsid w:val="00935FC9"/>
    <w:rsid w:val="0094078D"/>
    <w:rsid w:val="00942253"/>
    <w:rsid w:val="0094231D"/>
    <w:rsid w:val="009429BB"/>
    <w:rsid w:val="00943B75"/>
    <w:rsid w:val="00943BEC"/>
    <w:rsid w:val="00943C49"/>
    <w:rsid w:val="009448D9"/>
    <w:rsid w:val="00945FF8"/>
    <w:rsid w:val="00946C54"/>
    <w:rsid w:val="00947B1C"/>
    <w:rsid w:val="00950201"/>
    <w:rsid w:val="00952E19"/>
    <w:rsid w:val="00952EE3"/>
    <w:rsid w:val="00954102"/>
    <w:rsid w:val="00954599"/>
    <w:rsid w:val="00954828"/>
    <w:rsid w:val="009554B7"/>
    <w:rsid w:val="00955B33"/>
    <w:rsid w:val="009560DD"/>
    <w:rsid w:val="00963C8B"/>
    <w:rsid w:val="00963C99"/>
    <w:rsid w:val="00963CC7"/>
    <w:rsid w:val="0096436D"/>
    <w:rsid w:val="00964D4A"/>
    <w:rsid w:val="00965F7D"/>
    <w:rsid w:val="00970E13"/>
    <w:rsid w:val="009710E4"/>
    <w:rsid w:val="0097373E"/>
    <w:rsid w:val="00973D48"/>
    <w:rsid w:val="00974439"/>
    <w:rsid w:val="00974F27"/>
    <w:rsid w:val="00976A36"/>
    <w:rsid w:val="00976B71"/>
    <w:rsid w:val="00976C06"/>
    <w:rsid w:val="00977FCA"/>
    <w:rsid w:val="00980CCA"/>
    <w:rsid w:val="009830A9"/>
    <w:rsid w:val="00983C6F"/>
    <w:rsid w:val="009866C3"/>
    <w:rsid w:val="009904D0"/>
    <w:rsid w:val="009918BA"/>
    <w:rsid w:val="00991AD5"/>
    <w:rsid w:val="00993D04"/>
    <w:rsid w:val="009956EA"/>
    <w:rsid w:val="009968FB"/>
    <w:rsid w:val="009973A5"/>
    <w:rsid w:val="009973C8"/>
    <w:rsid w:val="00997C2F"/>
    <w:rsid w:val="009A003D"/>
    <w:rsid w:val="009A015D"/>
    <w:rsid w:val="009A08D9"/>
    <w:rsid w:val="009A0945"/>
    <w:rsid w:val="009A12C1"/>
    <w:rsid w:val="009A14B8"/>
    <w:rsid w:val="009A14D9"/>
    <w:rsid w:val="009A1863"/>
    <w:rsid w:val="009A1C0C"/>
    <w:rsid w:val="009A40CF"/>
    <w:rsid w:val="009A422D"/>
    <w:rsid w:val="009A5518"/>
    <w:rsid w:val="009B0389"/>
    <w:rsid w:val="009B12C4"/>
    <w:rsid w:val="009B35AE"/>
    <w:rsid w:val="009B384F"/>
    <w:rsid w:val="009B3C0B"/>
    <w:rsid w:val="009B5044"/>
    <w:rsid w:val="009B68D2"/>
    <w:rsid w:val="009B73F6"/>
    <w:rsid w:val="009B7B5E"/>
    <w:rsid w:val="009C1976"/>
    <w:rsid w:val="009C21EF"/>
    <w:rsid w:val="009C2E8A"/>
    <w:rsid w:val="009C38CC"/>
    <w:rsid w:val="009C3B92"/>
    <w:rsid w:val="009C402D"/>
    <w:rsid w:val="009C5CCB"/>
    <w:rsid w:val="009C66A0"/>
    <w:rsid w:val="009D023B"/>
    <w:rsid w:val="009D15A5"/>
    <w:rsid w:val="009D1A51"/>
    <w:rsid w:val="009D2527"/>
    <w:rsid w:val="009D2D80"/>
    <w:rsid w:val="009D55B0"/>
    <w:rsid w:val="009D65E7"/>
    <w:rsid w:val="009D6B68"/>
    <w:rsid w:val="009D773B"/>
    <w:rsid w:val="009E01D0"/>
    <w:rsid w:val="009E02F4"/>
    <w:rsid w:val="009E11A7"/>
    <w:rsid w:val="009E2630"/>
    <w:rsid w:val="009E3CA4"/>
    <w:rsid w:val="009E3F2A"/>
    <w:rsid w:val="009E4515"/>
    <w:rsid w:val="009E45E2"/>
    <w:rsid w:val="009E6FDF"/>
    <w:rsid w:val="009E70DF"/>
    <w:rsid w:val="009E7226"/>
    <w:rsid w:val="009F18C6"/>
    <w:rsid w:val="009F256E"/>
    <w:rsid w:val="009F3437"/>
    <w:rsid w:val="009F46D4"/>
    <w:rsid w:val="009F57DF"/>
    <w:rsid w:val="00A0195E"/>
    <w:rsid w:val="00A026E0"/>
    <w:rsid w:val="00A03701"/>
    <w:rsid w:val="00A03ADC"/>
    <w:rsid w:val="00A05070"/>
    <w:rsid w:val="00A05426"/>
    <w:rsid w:val="00A05F6C"/>
    <w:rsid w:val="00A073DA"/>
    <w:rsid w:val="00A10323"/>
    <w:rsid w:val="00A10823"/>
    <w:rsid w:val="00A124DB"/>
    <w:rsid w:val="00A13558"/>
    <w:rsid w:val="00A13F5F"/>
    <w:rsid w:val="00A15568"/>
    <w:rsid w:val="00A158E3"/>
    <w:rsid w:val="00A17261"/>
    <w:rsid w:val="00A20123"/>
    <w:rsid w:val="00A20653"/>
    <w:rsid w:val="00A2271E"/>
    <w:rsid w:val="00A22977"/>
    <w:rsid w:val="00A23F20"/>
    <w:rsid w:val="00A25331"/>
    <w:rsid w:val="00A30157"/>
    <w:rsid w:val="00A3135A"/>
    <w:rsid w:val="00A331BA"/>
    <w:rsid w:val="00A33B87"/>
    <w:rsid w:val="00A3430B"/>
    <w:rsid w:val="00A34FB1"/>
    <w:rsid w:val="00A3691A"/>
    <w:rsid w:val="00A41C5A"/>
    <w:rsid w:val="00A42340"/>
    <w:rsid w:val="00A425B0"/>
    <w:rsid w:val="00A447C0"/>
    <w:rsid w:val="00A44AC5"/>
    <w:rsid w:val="00A458F6"/>
    <w:rsid w:val="00A460C6"/>
    <w:rsid w:val="00A4664A"/>
    <w:rsid w:val="00A46D08"/>
    <w:rsid w:val="00A47C87"/>
    <w:rsid w:val="00A47EE2"/>
    <w:rsid w:val="00A526A9"/>
    <w:rsid w:val="00A52926"/>
    <w:rsid w:val="00A52DE2"/>
    <w:rsid w:val="00A5330D"/>
    <w:rsid w:val="00A54084"/>
    <w:rsid w:val="00A5520B"/>
    <w:rsid w:val="00A5637E"/>
    <w:rsid w:val="00A570F3"/>
    <w:rsid w:val="00A6012E"/>
    <w:rsid w:val="00A61B11"/>
    <w:rsid w:val="00A62301"/>
    <w:rsid w:val="00A635F9"/>
    <w:rsid w:val="00A64CA8"/>
    <w:rsid w:val="00A66159"/>
    <w:rsid w:val="00A664E2"/>
    <w:rsid w:val="00A701E0"/>
    <w:rsid w:val="00A703AC"/>
    <w:rsid w:val="00A70D41"/>
    <w:rsid w:val="00A7107F"/>
    <w:rsid w:val="00A71BE9"/>
    <w:rsid w:val="00A72273"/>
    <w:rsid w:val="00A72A52"/>
    <w:rsid w:val="00A760FF"/>
    <w:rsid w:val="00A7669C"/>
    <w:rsid w:val="00A768EB"/>
    <w:rsid w:val="00A77E25"/>
    <w:rsid w:val="00A81E97"/>
    <w:rsid w:val="00A82FF7"/>
    <w:rsid w:val="00A831F6"/>
    <w:rsid w:val="00A83410"/>
    <w:rsid w:val="00A84838"/>
    <w:rsid w:val="00A8619B"/>
    <w:rsid w:val="00A878E1"/>
    <w:rsid w:val="00A92A1C"/>
    <w:rsid w:val="00A92F2A"/>
    <w:rsid w:val="00A932D2"/>
    <w:rsid w:val="00A93D44"/>
    <w:rsid w:val="00A9400F"/>
    <w:rsid w:val="00A94DC0"/>
    <w:rsid w:val="00A96963"/>
    <w:rsid w:val="00A97ED0"/>
    <w:rsid w:val="00A97F26"/>
    <w:rsid w:val="00AA02F4"/>
    <w:rsid w:val="00AA1690"/>
    <w:rsid w:val="00AA2439"/>
    <w:rsid w:val="00AA28F4"/>
    <w:rsid w:val="00AA3F7F"/>
    <w:rsid w:val="00AA417F"/>
    <w:rsid w:val="00AA4646"/>
    <w:rsid w:val="00AA4A1F"/>
    <w:rsid w:val="00AA4D17"/>
    <w:rsid w:val="00AA5DA0"/>
    <w:rsid w:val="00AA6649"/>
    <w:rsid w:val="00AA7127"/>
    <w:rsid w:val="00AB02AC"/>
    <w:rsid w:val="00AB3095"/>
    <w:rsid w:val="00AB34F1"/>
    <w:rsid w:val="00AC0A3C"/>
    <w:rsid w:val="00AC0D3D"/>
    <w:rsid w:val="00AC0E46"/>
    <w:rsid w:val="00AC10DF"/>
    <w:rsid w:val="00AC1E4E"/>
    <w:rsid w:val="00AC37D3"/>
    <w:rsid w:val="00AC48E1"/>
    <w:rsid w:val="00AC7996"/>
    <w:rsid w:val="00AD064A"/>
    <w:rsid w:val="00AD25AA"/>
    <w:rsid w:val="00AD4C8D"/>
    <w:rsid w:val="00AD4E81"/>
    <w:rsid w:val="00AD63F7"/>
    <w:rsid w:val="00AD6D9A"/>
    <w:rsid w:val="00AE1021"/>
    <w:rsid w:val="00AE3242"/>
    <w:rsid w:val="00AE3495"/>
    <w:rsid w:val="00AE61D9"/>
    <w:rsid w:val="00AE6734"/>
    <w:rsid w:val="00AE737F"/>
    <w:rsid w:val="00AE75BD"/>
    <w:rsid w:val="00AF0B0E"/>
    <w:rsid w:val="00AF1332"/>
    <w:rsid w:val="00AF153D"/>
    <w:rsid w:val="00AF164E"/>
    <w:rsid w:val="00AF2234"/>
    <w:rsid w:val="00AF290A"/>
    <w:rsid w:val="00AF5BE7"/>
    <w:rsid w:val="00AF686B"/>
    <w:rsid w:val="00AF7520"/>
    <w:rsid w:val="00AF7A33"/>
    <w:rsid w:val="00B007C8"/>
    <w:rsid w:val="00B01E09"/>
    <w:rsid w:val="00B0288B"/>
    <w:rsid w:val="00B02A6D"/>
    <w:rsid w:val="00B02DBA"/>
    <w:rsid w:val="00B03A2D"/>
    <w:rsid w:val="00B0532C"/>
    <w:rsid w:val="00B063E4"/>
    <w:rsid w:val="00B07A79"/>
    <w:rsid w:val="00B114B2"/>
    <w:rsid w:val="00B11CE0"/>
    <w:rsid w:val="00B127FD"/>
    <w:rsid w:val="00B12EB5"/>
    <w:rsid w:val="00B137B0"/>
    <w:rsid w:val="00B13BA5"/>
    <w:rsid w:val="00B170E8"/>
    <w:rsid w:val="00B17DDD"/>
    <w:rsid w:val="00B20224"/>
    <w:rsid w:val="00B206FE"/>
    <w:rsid w:val="00B20B5F"/>
    <w:rsid w:val="00B221D1"/>
    <w:rsid w:val="00B2381D"/>
    <w:rsid w:val="00B23834"/>
    <w:rsid w:val="00B24AAA"/>
    <w:rsid w:val="00B27865"/>
    <w:rsid w:val="00B30098"/>
    <w:rsid w:val="00B30697"/>
    <w:rsid w:val="00B306D3"/>
    <w:rsid w:val="00B312B6"/>
    <w:rsid w:val="00B31887"/>
    <w:rsid w:val="00B31BF7"/>
    <w:rsid w:val="00B33780"/>
    <w:rsid w:val="00B34654"/>
    <w:rsid w:val="00B34809"/>
    <w:rsid w:val="00B3556C"/>
    <w:rsid w:val="00B3692B"/>
    <w:rsid w:val="00B36944"/>
    <w:rsid w:val="00B37783"/>
    <w:rsid w:val="00B40C95"/>
    <w:rsid w:val="00B4111A"/>
    <w:rsid w:val="00B41155"/>
    <w:rsid w:val="00B412AB"/>
    <w:rsid w:val="00B428EE"/>
    <w:rsid w:val="00B42F49"/>
    <w:rsid w:val="00B43641"/>
    <w:rsid w:val="00B43808"/>
    <w:rsid w:val="00B43DC5"/>
    <w:rsid w:val="00B443F6"/>
    <w:rsid w:val="00B450DC"/>
    <w:rsid w:val="00B50485"/>
    <w:rsid w:val="00B52BC6"/>
    <w:rsid w:val="00B54209"/>
    <w:rsid w:val="00B542C6"/>
    <w:rsid w:val="00B543EB"/>
    <w:rsid w:val="00B5441C"/>
    <w:rsid w:val="00B556A8"/>
    <w:rsid w:val="00B55C9B"/>
    <w:rsid w:val="00B56359"/>
    <w:rsid w:val="00B56CF1"/>
    <w:rsid w:val="00B5701D"/>
    <w:rsid w:val="00B57AEA"/>
    <w:rsid w:val="00B57E36"/>
    <w:rsid w:val="00B60111"/>
    <w:rsid w:val="00B6089D"/>
    <w:rsid w:val="00B61C9C"/>
    <w:rsid w:val="00B62451"/>
    <w:rsid w:val="00B626A6"/>
    <w:rsid w:val="00B62CB3"/>
    <w:rsid w:val="00B62FFB"/>
    <w:rsid w:val="00B63704"/>
    <w:rsid w:val="00B63B0A"/>
    <w:rsid w:val="00B642D3"/>
    <w:rsid w:val="00B6442F"/>
    <w:rsid w:val="00B64975"/>
    <w:rsid w:val="00B64C77"/>
    <w:rsid w:val="00B65633"/>
    <w:rsid w:val="00B70D86"/>
    <w:rsid w:val="00B7154A"/>
    <w:rsid w:val="00B71776"/>
    <w:rsid w:val="00B72156"/>
    <w:rsid w:val="00B76EF0"/>
    <w:rsid w:val="00B774E4"/>
    <w:rsid w:val="00B77C8A"/>
    <w:rsid w:val="00B80C04"/>
    <w:rsid w:val="00B81BCE"/>
    <w:rsid w:val="00B82255"/>
    <w:rsid w:val="00B84440"/>
    <w:rsid w:val="00B862EF"/>
    <w:rsid w:val="00B864D5"/>
    <w:rsid w:val="00B87CF6"/>
    <w:rsid w:val="00B91C40"/>
    <w:rsid w:val="00B91E1B"/>
    <w:rsid w:val="00B9314A"/>
    <w:rsid w:val="00B940DE"/>
    <w:rsid w:val="00B94644"/>
    <w:rsid w:val="00B94F6C"/>
    <w:rsid w:val="00B9551D"/>
    <w:rsid w:val="00B960CD"/>
    <w:rsid w:val="00B96343"/>
    <w:rsid w:val="00B96EBA"/>
    <w:rsid w:val="00B9735B"/>
    <w:rsid w:val="00B97FAB"/>
    <w:rsid w:val="00BA0AE9"/>
    <w:rsid w:val="00BA120C"/>
    <w:rsid w:val="00BA1E19"/>
    <w:rsid w:val="00BA2C8D"/>
    <w:rsid w:val="00BA364D"/>
    <w:rsid w:val="00BA3F31"/>
    <w:rsid w:val="00BA3F90"/>
    <w:rsid w:val="00BA4C7A"/>
    <w:rsid w:val="00BA568F"/>
    <w:rsid w:val="00BA5D03"/>
    <w:rsid w:val="00BA5EE9"/>
    <w:rsid w:val="00BA5F38"/>
    <w:rsid w:val="00BA6CDA"/>
    <w:rsid w:val="00BA6E76"/>
    <w:rsid w:val="00BA7B13"/>
    <w:rsid w:val="00BA7D58"/>
    <w:rsid w:val="00BB0B53"/>
    <w:rsid w:val="00BB0BF5"/>
    <w:rsid w:val="00BB0DF4"/>
    <w:rsid w:val="00BB2138"/>
    <w:rsid w:val="00BB358A"/>
    <w:rsid w:val="00BB4E0F"/>
    <w:rsid w:val="00BB54E3"/>
    <w:rsid w:val="00BB7D90"/>
    <w:rsid w:val="00BC023F"/>
    <w:rsid w:val="00BC0A86"/>
    <w:rsid w:val="00BC1474"/>
    <w:rsid w:val="00BC1C60"/>
    <w:rsid w:val="00BC2737"/>
    <w:rsid w:val="00BC2B17"/>
    <w:rsid w:val="00BC349E"/>
    <w:rsid w:val="00BC431D"/>
    <w:rsid w:val="00BC4D62"/>
    <w:rsid w:val="00BC5732"/>
    <w:rsid w:val="00BC5BB3"/>
    <w:rsid w:val="00BC5E62"/>
    <w:rsid w:val="00BC5F5C"/>
    <w:rsid w:val="00BC6B8E"/>
    <w:rsid w:val="00BC6E3D"/>
    <w:rsid w:val="00BC794D"/>
    <w:rsid w:val="00BD1C73"/>
    <w:rsid w:val="00BD3B75"/>
    <w:rsid w:val="00BD593B"/>
    <w:rsid w:val="00BD691E"/>
    <w:rsid w:val="00BD7E56"/>
    <w:rsid w:val="00BE0C55"/>
    <w:rsid w:val="00BE0D05"/>
    <w:rsid w:val="00BE12AE"/>
    <w:rsid w:val="00BE219A"/>
    <w:rsid w:val="00BE2268"/>
    <w:rsid w:val="00BE2C68"/>
    <w:rsid w:val="00BE2D77"/>
    <w:rsid w:val="00BE3033"/>
    <w:rsid w:val="00BE3109"/>
    <w:rsid w:val="00BE38F2"/>
    <w:rsid w:val="00BE475E"/>
    <w:rsid w:val="00BF0EE0"/>
    <w:rsid w:val="00BF1BB8"/>
    <w:rsid w:val="00BF1C71"/>
    <w:rsid w:val="00BF2FE4"/>
    <w:rsid w:val="00BF3571"/>
    <w:rsid w:val="00BF3DCD"/>
    <w:rsid w:val="00BF3F24"/>
    <w:rsid w:val="00BF74DD"/>
    <w:rsid w:val="00C01F36"/>
    <w:rsid w:val="00C03842"/>
    <w:rsid w:val="00C038DA"/>
    <w:rsid w:val="00C07C5D"/>
    <w:rsid w:val="00C11B88"/>
    <w:rsid w:val="00C1245A"/>
    <w:rsid w:val="00C12B75"/>
    <w:rsid w:val="00C12BAE"/>
    <w:rsid w:val="00C15257"/>
    <w:rsid w:val="00C15368"/>
    <w:rsid w:val="00C15374"/>
    <w:rsid w:val="00C1617E"/>
    <w:rsid w:val="00C1668A"/>
    <w:rsid w:val="00C22B68"/>
    <w:rsid w:val="00C24924"/>
    <w:rsid w:val="00C24F7C"/>
    <w:rsid w:val="00C266FF"/>
    <w:rsid w:val="00C30054"/>
    <w:rsid w:val="00C30EC4"/>
    <w:rsid w:val="00C317B7"/>
    <w:rsid w:val="00C31B5D"/>
    <w:rsid w:val="00C322A0"/>
    <w:rsid w:val="00C32F0B"/>
    <w:rsid w:val="00C33F2A"/>
    <w:rsid w:val="00C34A1E"/>
    <w:rsid w:val="00C36501"/>
    <w:rsid w:val="00C37E3D"/>
    <w:rsid w:val="00C40448"/>
    <w:rsid w:val="00C40500"/>
    <w:rsid w:val="00C41E0C"/>
    <w:rsid w:val="00C42A26"/>
    <w:rsid w:val="00C42FC3"/>
    <w:rsid w:val="00C4341E"/>
    <w:rsid w:val="00C43E62"/>
    <w:rsid w:val="00C52356"/>
    <w:rsid w:val="00C5320D"/>
    <w:rsid w:val="00C53F94"/>
    <w:rsid w:val="00C54883"/>
    <w:rsid w:val="00C54B86"/>
    <w:rsid w:val="00C560B8"/>
    <w:rsid w:val="00C5666E"/>
    <w:rsid w:val="00C56DA4"/>
    <w:rsid w:val="00C5713E"/>
    <w:rsid w:val="00C57B08"/>
    <w:rsid w:val="00C605CD"/>
    <w:rsid w:val="00C60BE9"/>
    <w:rsid w:val="00C627DA"/>
    <w:rsid w:val="00C634DF"/>
    <w:rsid w:val="00C6468B"/>
    <w:rsid w:val="00C649B3"/>
    <w:rsid w:val="00C64D5A"/>
    <w:rsid w:val="00C64EF7"/>
    <w:rsid w:val="00C6556E"/>
    <w:rsid w:val="00C65AA9"/>
    <w:rsid w:val="00C665AF"/>
    <w:rsid w:val="00C67996"/>
    <w:rsid w:val="00C67D99"/>
    <w:rsid w:val="00C7131E"/>
    <w:rsid w:val="00C72D83"/>
    <w:rsid w:val="00C730CD"/>
    <w:rsid w:val="00C73539"/>
    <w:rsid w:val="00C75EF7"/>
    <w:rsid w:val="00C7625D"/>
    <w:rsid w:val="00C77790"/>
    <w:rsid w:val="00C77D2F"/>
    <w:rsid w:val="00C80106"/>
    <w:rsid w:val="00C80283"/>
    <w:rsid w:val="00C8084D"/>
    <w:rsid w:val="00C8169A"/>
    <w:rsid w:val="00C827DE"/>
    <w:rsid w:val="00C838E9"/>
    <w:rsid w:val="00C83EDA"/>
    <w:rsid w:val="00C84208"/>
    <w:rsid w:val="00C84B36"/>
    <w:rsid w:val="00C85A79"/>
    <w:rsid w:val="00C874C0"/>
    <w:rsid w:val="00C87508"/>
    <w:rsid w:val="00C87988"/>
    <w:rsid w:val="00C87A79"/>
    <w:rsid w:val="00C87BE5"/>
    <w:rsid w:val="00C91670"/>
    <w:rsid w:val="00C9181B"/>
    <w:rsid w:val="00C91ABE"/>
    <w:rsid w:val="00C9273F"/>
    <w:rsid w:val="00C92CA9"/>
    <w:rsid w:val="00C95509"/>
    <w:rsid w:val="00C95FF2"/>
    <w:rsid w:val="00C970EA"/>
    <w:rsid w:val="00C9738A"/>
    <w:rsid w:val="00C97AF2"/>
    <w:rsid w:val="00CA04EE"/>
    <w:rsid w:val="00CA0A19"/>
    <w:rsid w:val="00CA29FA"/>
    <w:rsid w:val="00CA2C15"/>
    <w:rsid w:val="00CA5AD3"/>
    <w:rsid w:val="00CB163C"/>
    <w:rsid w:val="00CB1C18"/>
    <w:rsid w:val="00CB2B63"/>
    <w:rsid w:val="00CB3068"/>
    <w:rsid w:val="00CB44A8"/>
    <w:rsid w:val="00CB4554"/>
    <w:rsid w:val="00CB4624"/>
    <w:rsid w:val="00CB62D1"/>
    <w:rsid w:val="00CB6B96"/>
    <w:rsid w:val="00CC025E"/>
    <w:rsid w:val="00CC1166"/>
    <w:rsid w:val="00CC247C"/>
    <w:rsid w:val="00CC2A8E"/>
    <w:rsid w:val="00CC31AB"/>
    <w:rsid w:val="00CC3F62"/>
    <w:rsid w:val="00CC4629"/>
    <w:rsid w:val="00CC4AA4"/>
    <w:rsid w:val="00CC4E51"/>
    <w:rsid w:val="00CC6CA0"/>
    <w:rsid w:val="00CC78E8"/>
    <w:rsid w:val="00CD173A"/>
    <w:rsid w:val="00CD2624"/>
    <w:rsid w:val="00CD2FB6"/>
    <w:rsid w:val="00CD4815"/>
    <w:rsid w:val="00CD6DF8"/>
    <w:rsid w:val="00CD6E40"/>
    <w:rsid w:val="00CD7678"/>
    <w:rsid w:val="00CD7B4D"/>
    <w:rsid w:val="00CE0807"/>
    <w:rsid w:val="00CE2971"/>
    <w:rsid w:val="00CE2B3B"/>
    <w:rsid w:val="00CE2DF0"/>
    <w:rsid w:val="00CE318C"/>
    <w:rsid w:val="00CE3B90"/>
    <w:rsid w:val="00CE475A"/>
    <w:rsid w:val="00CE58BF"/>
    <w:rsid w:val="00CE6941"/>
    <w:rsid w:val="00CF15D7"/>
    <w:rsid w:val="00CF3F27"/>
    <w:rsid w:val="00CF4287"/>
    <w:rsid w:val="00CF5AB5"/>
    <w:rsid w:val="00CF5D60"/>
    <w:rsid w:val="00CF6132"/>
    <w:rsid w:val="00D00473"/>
    <w:rsid w:val="00D02546"/>
    <w:rsid w:val="00D03137"/>
    <w:rsid w:val="00D0395B"/>
    <w:rsid w:val="00D044E0"/>
    <w:rsid w:val="00D05CF3"/>
    <w:rsid w:val="00D0606D"/>
    <w:rsid w:val="00D0613A"/>
    <w:rsid w:val="00D06566"/>
    <w:rsid w:val="00D07272"/>
    <w:rsid w:val="00D074B4"/>
    <w:rsid w:val="00D076AA"/>
    <w:rsid w:val="00D07A5C"/>
    <w:rsid w:val="00D107B4"/>
    <w:rsid w:val="00D115B3"/>
    <w:rsid w:val="00D12F1F"/>
    <w:rsid w:val="00D137E4"/>
    <w:rsid w:val="00D14902"/>
    <w:rsid w:val="00D153DD"/>
    <w:rsid w:val="00D203A7"/>
    <w:rsid w:val="00D2080C"/>
    <w:rsid w:val="00D20A2D"/>
    <w:rsid w:val="00D20D23"/>
    <w:rsid w:val="00D22DF8"/>
    <w:rsid w:val="00D24722"/>
    <w:rsid w:val="00D24968"/>
    <w:rsid w:val="00D24AA3"/>
    <w:rsid w:val="00D251B8"/>
    <w:rsid w:val="00D25ABA"/>
    <w:rsid w:val="00D26E40"/>
    <w:rsid w:val="00D27E44"/>
    <w:rsid w:val="00D30327"/>
    <w:rsid w:val="00D314E7"/>
    <w:rsid w:val="00D3193D"/>
    <w:rsid w:val="00D32326"/>
    <w:rsid w:val="00D32AAB"/>
    <w:rsid w:val="00D34D25"/>
    <w:rsid w:val="00D35157"/>
    <w:rsid w:val="00D35D81"/>
    <w:rsid w:val="00D35F0C"/>
    <w:rsid w:val="00D362B9"/>
    <w:rsid w:val="00D36328"/>
    <w:rsid w:val="00D36ED7"/>
    <w:rsid w:val="00D42254"/>
    <w:rsid w:val="00D424F2"/>
    <w:rsid w:val="00D440CE"/>
    <w:rsid w:val="00D444B6"/>
    <w:rsid w:val="00D44C1B"/>
    <w:rsid w:val="00D459B7"/>
    <w:rsid w:val="00D459F5"/>
    <w:rsid w:val="00D45F0E"/>
    <w:rsid w:val="00D46E3C"/>
    <w:rsid w:val="00D470AB"/>
    <w:rsid w:val="00D473D7"/>
    <w:rsid w:val="00D47738"/>
    <w:rsid w:val="00D477E2"/>
    <w:rsid w:val="00D50BA8"/>
    <w:rsid w:val="00D5242B"/>
    <w:rsid w:val="00D5273F"/>
    <w:rsid w:val="00D532B3"/>
    <w:rsid w:val="00D5344D"/>
    <w:rsid w:val="00D559C6"/>
    <w:rsid w:val="00D61C2C"/>
    <w:rsid w:val="00D63264"/>
    <w:rsid w:val="00D65730"/>
    <w:rsid w:val="00D659D0"/>
    <w:rsid w:val="00D66036"/>
    <w:rsid w:val="00D66D91"/>
    <w:rsid w:val="00D66EE0"/>
    <w:rsid w:val="00D6778B"/>
    <w:rsid w:val="00D71596"/>
    <w:rsid w:val="00D7377F"/>
    <w:rsid w:val="00D73D7D"/>
    <w:rsid w:val="00D75352"/>
    <w:rsid w:val="00D75697"/>
    <w:rsid w:val="00D75C10"/>
    <w:rsid w:val="00D76686"/>
    <w:rsid w:val="00D771A7"/>
    <w:rsid w:val="00D77352"/>
    <w:rsid w:val="00D77AF0"/>
    <w:rsid w:val="00D77E31"/>
    <w:rsid w:val="00D8130C"/>
    <w:rsid w:val="00D82856"/>
    <w:rsid w:val="00D831A3"/>
    <w:rsid w:val="00D84D3F"/>
    <w:rsid w:val="00D85C4C"/>
    <w:rsid w:val="00D85CCA"/>
    <w:rsid w:val="00D865AC"/>
    <w:rsid w:val="00D86B26"/>
    <w:rsid w:val="00D86B37"/>
    <w:rsid w:val="00D9318A"/>
    <w:rsid w:val="00D94859"/>
    <w:rsid w:val="00D953F0"/>
    <w:rsid w:val="00D95BC0"/>
    <w:rsid w:val="00D96776"/>
    <w:rsid w:val="00D96D8E"/>
    <w:rsid w:val="00DA020F"/>
    <w:rsid w:val="00DA0254"/>
    <w:rsid w:val="00DA0DB2"/>
    <w:rsid w:val="00DA1E07"/>
    <w:rsid w:val="00DA1E40"/>
    <w:rsid w:val="00DA2F91"/>
    <w:rsid w:val="00DA56A7"/>
    <w:rsid w:val="00DA623A"/>
    <w:rsid w:val="00DB100C"/>
    <w:rsid w:val="00DB22B0"/>
    <w:rsid w:val="00DB755F"/>
    <w:rsid w:val="00DC04EC"/>
    <w:rsid w:val="00DC1797"/>
    <w:rsid w:val="00DC2824"/>
    <w:rsid w:val="00DC3548"/>
    <w:rsid w:val="00DC45BC"/>
    <w:rsid w:val="00DC5C7E"/>
    <w:rsid w:val="00DC6A44"/>
    <w:rsid w:val="00DD0943"/>
    <w:rsid w:val="00DD2993"/>
    <w:rsid w:val="00DD54B3"/>
    <w:rsid w:val="00DD5918"/>
    <w:rsid w:val="00DD5C11"/>
    <w:rsid w:val="00DD7034"/>
    <w:rsid w:val="00DE067B"/>
    <w:rsid w:val="00DE0B6B"/>
    <w:rsid w:val="00DE1D24"/>
    <w:rsid w:val="00DE2243"/>
    <w:rsid w:val="00DE2740"/>
    <w:rsid w:val="00DE2E82"/>
    <w:rsid w:val="00DE3B7C"/>
    <w:rsid w:val="00DE50E9"/>
    <w:rsid w:val="00DE535E"/>
    <w:rsid w:val="00DE668D"/>
    <w:rsid w:val="00DE69FE"/>
    <w:rsid w:val="00DE6B59"/>
    <w:rsid w:val="00DE7041"/>
    <w:rsid w:val="00DE7A3A"/>
    <w:rsid w:val="00DF0666"/>
    <w:rsid w:val="00DF38B2"/>
    <w:rsid w:val="00DF4026"/>
    <w:rsid w:val="00DF5B75"/>
    <w:rsid w:val="00DF5C3C"/>
    <w:rsid w:val="00DF5CDC"/>
    <w:rsid w:val="00DF6270"/>
    <w:rsid w:val="00DF710C"/>
    <w:rsid w:val="00E00908"/>
    <w:rsid w:val="00E020B5"/>
    <w:rsid w:val="00E02ED9"/>
    <w:rsid w:val="00E03EB2"/>
    <w:rsid w:val="00E04260"/>
    <w:rsid w:val="00E048AF"/>
    <w:rsid w:val="00E05299"/>
    <w:rsid w:val="00E05D01"/>
    <w:rsid w:val="00E06A15"/>
    <w:rsid w:val="00E06BF4"/>
    <w:rsid w:val="00E07399"/>
    <w:rsid w:val="00E10F22"/>
    <w:rsid w:val="00E116C7"/>
    <w:rsid w:val="00E1238C"/>
    <w:rsid w:val="00E12AA4"/>
    <w:rsid w:val="00E12F2B"/>
    <w:rsid w:val="00E1351D"/>
    <w:rsid w:val="00E1398E"/>
    <w:rsid w:val="00E1494E"/>
    <w:rsid w:val="00E150B2"/>
    <w:rsid w:val="00E16669"/>
    <w:rsid w:val="00E1790C"/>
    <w:rsid w:val="00E21A8A"/>
    <w:rsid w:val="00E21D54"/>
    <w:rsid w:val="00E22E96"/>
    <w:rsid w:val="00E22F89"/>
    <w:rsid w:val="00E243BD"/>
    <w:rsid w:val="00E24CCE"/>
    <w:rsid w:val="00E253BF"/>
    <w:rsid w:val="00E2699C"/>
    <w:rsid w:val="00E26B73"/>
    <w:rsid w:val="00E27558"/>
    <w:rsid w:val="00E2759C"/>
    <w:rsid w:val="00E33B56"/>
    <w:rsid w:val="00E34A1A"/>
    <w:rsid w:val="00E34EC5"/>
    <w:rsid w:val="00E352A7"/>
    <w:rsid w:val="00E35310"/>
    <w:rsid w:val="00E3550D"/>
    <w:rsid w:val="00E3599A"/>
    <w:rsid w:val="00E35D30"/>
    <w:rsid w:val="00E36292"/>
    <w:rsid w:val="00E37417"/>
    <w:rsid w:val="00E40943"/>
    <w:rsid w:val="00E4194B"/>
    <w:rsid w:val="00E43189"/>
    <w:rsid w:val="00E47178"/>
    <w:rsid w:val="00E47C6F"/>
    <w:rsid w:val="00E521F0"/>
    <w:rsid w:val="00E529CC"/>
    <w:rsid w:val="00E52C55"/>
    <w:rsid w:val="00E52F60"/>
    <w:rsid w:val="00E53EA4"/>
    <w:rsid w:val="00E55592"/>
    <w:rsid w:val="00E560A7"/>
    <w:rsid w:val="00E56E2D"/>
    <w:rsid w:val="00E578EA"/>
    <w:rsid w:val="00E60123"/>
    <w:rsid w:val="00E6183B"/>
    <w:rsid w:val="00E6573E"/>
    <w:rsid w:val="00E65A8C"/>
    <w:rsid w:val="00E65B65"/>
    <w:rsid w:val="00E664AE"/>
    <w:rsid w:val="00E66D89"/>
    <w:rsid w:val="00E674BB"/>
    <w:rsid w:val="00E70134"/>
    <w:rsid w:val="00E70DB2"/>
    <w:rsid w:val="00E70E22"/>
    <w:rsid w:val="00E7252D"/>
    <w:rsid w:val="00E726FD"/>
    <w:rsid w:val="00E73FAB"/>
    <w:rsid w:val="00E743FE"/>
    <w:rsid w:val="00E74FA4"/>
    <w:rsid w:val="00E75BC2"/>
    <w:rsid w:val="00E80ABC"/>
    <w:rsid w:val="00E80E59"/>
    <w:rsid w:val="00E81BFD"/>
    <w:rsid w:val="00E81D3F"/>
    <w:rsid w:val="00E8260F"/>
    <w:rsid w:val="00E82A78"/>
    <w:rsid w:val="00E8380A"/>
    <w:rsid w:val="00E839C2"/>
    <w:rsid w:val="00E84387"/>
    <w:rsid w:val="00E84748"/>
    <w:rsid w:val="00E85459"/>
    <w:rsid w:val="00E86784"/>
    <w:rsid w:val="00E8786F"/>
    <w:rsid w:val="00E878B1"/>
    <w:rsid w:val="00E879D6"/>
    <w:rsid w:val="00E87FE0"/>
    <w:rsid w:val="00E94F1A"/>
    <w:rsid w:val="00E951A2"/>
    <w:rsid w:val="00E9530E"/>
    <w:rsid w:val="00E95393"/>
    <w:rsid w:val="00E97EBC"/>
    <w:rsid w:val="00EA0C1E"/>
    <w:rsid w:val="00EA1B80"/>
    <w:rsid w:val="00EA1CEF"/>
    <w:rsid w:val="00EA22AC"/>
    <w:rsid w:val="00EA2783"/>
    <w:rsid w:val="00EA2F37"/>
    <w:rsid w:val="00EA34B8"/>
    <w:rsid w:val="00EA4AF6"/>
    <w:rsid w:val="00EA4B70"/>
    <w:rsid w:val="00EA5369"/>
    <w:rsid w:val="00EB0EA8"/>
    <w:rsid w:val="00EB26DA"/>
    <w:rsid w:val="00EB2AB4"/>
    <w:rsid w:val="00EB56A2"/>
    <w:rsid w:val="00EB6922"/>
    <w:rsid w:val="00EB6D11"/>
    <w:rsid w:val="00EB779E"/>
    <w:rsid w:val="00EC1289"/>
    <w:rsid w:val="00EC14FA"/>
    <w:rsid w:val="00EC1658"/>
    <w:rsid w:val="00EC1925"/>
    <w:rsid w:val="00EC1E7D"/>
    <w:rsid w:val="00EC2F5E"/>
    <w:rsid w:val="00EC6814"/>
    <w:rsid w:val="00EC6C49"/>
    <w:rsid w:val="00EC6F79"/>
    <w:rsid w:val="00EC7543"/>
    <w:rsid w:val="00ED0247"/>
    <w:rsid w:val="00ED02C7"/>
    <w:rsid w:val="00ED0452"/>
    <w:rsid w:val="00ED0B0B"/>
    <w:rsid w:val="00ED100A"/>
    <w:rsid w:val="00ED1621"/>
    <w:rsid w:val="00ED37DB"/>
    <w:rsid w:val="00EE44ED"/>
    <w:rsid w:val="00EE4C06"/>
    <w:rsid w:val="00EE51E6"/>
    <w:rsid w:val="00EE5680"/>
    <w:rsid w:val="00EE64C7"/>
    <w:rsid w:val="00EE661C"/>
    <w:rsid w:val="00EE682C"/>
    <w:rsid w:val="00EE6C3B"/>
    <w:rsid w:val="00EE7E1D"/>
    <w:rsid w:val="00EF041B"/>
    <w:rsid w:val="00EF1F04"/>
    <w:rsid w:val="00EF231E"/>
    <w:rsid w:val="00EF23F4"/>
    <w:rsid w:val="00EF4210"/>
    <w:rsid w:val="00EF54F3"/>
    <w:rsid w:val="00EF61A1"/>
    <w:rsid w:val="00EF714F"/>
    <w:rsid w:val="00F006AA"/>
    <w:rsid w:val="00F009B0"/>
    <w:rsid w:val="00F00F9E"/>
    <w:rsid w:val="00F01097"/>
    <w:rsid w:val="00F010EE"/>
    <w:rsid w:val="00F0265B"/>
    <w:rsid w:val="00F02B5D"/>
    <w:rsid w:val="00F02D9E"/>
    <w:rsid w:val="00F04330"/>
    <w:rsid w:val="00F0435C"/>
    <w:rsid w:val="00F0440D"/>
    <w:rsid w:val="00F048E4"/>
    <w:rsid w:val="00F074B6"/>
    <w:rsid w:val="00F07A07"/>
    <w:rsid w:val="00F11B53"/>
    <w:rsid w:val="00F11E66"/>
    <w:rsid w:val="00F11F71"/>
    <w:rsid w:val="00F12765"/>
    <w:rsid w:val="00F1288F"/>
    <w:rsid w:val="00F13CBB"/>
    <w:rsid w:val="00F14D21"/>
    <w:rsid w:val="00F15087"/>
    <w:rsid w:val="00F166FA"/>
    <w:rsid w:val="00F17D2D"/>
    <w:rsid w:val="00F20651"/>
    <w:rsid w:val="00F22397"/>
    <w:rsid w:val="00F22F39"/>
    <w:rsid w:val="00F24147"/>
    <w:rsid w:val="00F241C1"/>
    <w:rsid w:val="00F24942"/>
    <w:rsid w:val="00F255D5"/>
    <w:rsid w:val="00F25A6E"/>
    <w:rsid w:val="00F264D6"/>
    <w:rsid w:val="00F2777D"/>
    <w:rsid w:val="00F27C6E"/>
    <w:rsid w:val="00F30152"/>
    <w:rsid w:val="00F310B4"/>
    <w:rsid w:val="00F3200B"/>
    <w:rsid w:val="00F329DA"/>
    <w:rsid w:val="00F32A0D"/>
    <w:rsid w:val="00F32D52"/>
    <w:rsid w:val="00F355C9"/>
    <w:rsid w:val="00F3646E"/>
    <w:rsid w:val="00F372FD"/>
    <w:rsid w:val="00F37A7A"/>
    <w:rsid w:val="00F4014F"/>
    <w:rsid w:val="00F40436"/>
    <w:rsid w:val="00F41D99"/>
    <w:rsid w:val="00F41F23"/>
    <w:rsid w:val="00F4211E"/>
    <w:rsid w:val="00F434C7"/>
    <w:rsid w:val="00F43A14"/>
    <w:rsid w:val="00F44216"/>
    <w:rsid w:val="00F4554A"/>
    <w:rsid w:val="00F46F34"/>
    <w:rsid w:val="00F5108C"/>
    <w:rsid w:val="00F52CDA"/>
    <w:rsid w:val="00F52F90"/>
    <w:rsid w:val="00F53D8B"/>
    <w:rsid w:val="00F551AE"/>
    <w:rsid w:val="00F5650A"/>
    <w:rsid w:val="00F608A9"/>
    <w:rsid w:val="00F6153B"/>
    <w:rsid w:val="00F6389B"/>
    <w:rsid w:val="00F63A29"/>
    <w:rsid w:val="00F64B3C"/>
    <w:rsid w:val="00F65119"/>
    <w:rsid w:val="00F6543A"/>
    <w:rsid w:val="00F65616"/>
    <w:rsid w:val="00F659E5"/>
    <w:rsid w:val="00F6620C"/>
    <w:rsid w:val="00F66489"/>
    <w:rsid w:val="00F675CB"/>
    <w:rsid w:val="00F67937"/>
    <w:rsid w:val="00F71894"/>
    <w:rsid w:val="00F724DB"/>
    <w:rsid w:val="00F731FE"/>
    <w:rsid w:val="00F737BB"/>
    <w:rsid w:val="00F73A5C"/>
    <w:rsid w:val="00F73FE3"/>
    <w:rsid w:val="00F740E9"/>
    <w:rsid w:val="00F7428A"/>
    <w:rsid w:val="00F743F7"/>
    <w:rsid w:val="00F75177"/>
    <w:rsid w:val="00F80C33"/>
    <w:rsid w:val="00F81F45"/>
    <w:rsid w:val="00F81FCB"/>
    <w:rsid w:val="00F82C0E"/>
    <w:rsid w:val="00F836CB"/>
    <w:rsid w:val="00F84F3B"/>
    <w:rsid w:val="00F85C1B"/>
    <w:rsid w:val="00F8652D"/>
    <w:rsid w:val="00F86559"/>
    <w:rsid w:val="00F86E55"/>
    <w:rsid w:val="00F904DF"/>
    <w:rsid w:val="00F9199A"/>
    <w:rsid w:val="00F94065"/>
    <w:rsid w:val="00F94709"/>
    <w:rsid w:val="00F94B7B"/>
    <w:rsid w:val="00F96640"/>
    <w:rsid w:val="00F968B2"/>
    <w:rsid w:val="00F96B81"/>
    <w:rsid w:val="00F97F51"/>
    <w:rsid w:val="00FA0C8E"/>
    <w:rsid w:val="00FA1A8F"/>
    <w:rsid w:val="00FA2A28"/>
    <w:rsid w:val="00FA30BD"/>
    <w:rsid w:val="00FA3663"/>
    <w:rsid w:val="00FA4551"/>
    <w:rsid w:val="00FA4E61"/>
    <w:rsid w:val="00FA51D0"/>
    <w:rsid w:val="00FA5B76"/>
    <w:rsid w:val="00FA68E4"/>
    <w:rsid w:val="00FA6C73"/>
    <w:rsid w:val="00FB03A8"/>
    <w:rsid w:val="00FB0E46"/>
    <w:rsid w:val="00FB1726"/>
    <w:rsid w:val="00FB1E46"/>
    <w:rsid w:val="00FB25EF"/>
    <w:rsid w:val="00FB3A3D"/>
    <w:rsid w:val="00FB42FC"/>
    <w:rsid w:val="00FB536A"/>
    <w:rsid w:val="00FB587C"/>
    <w:rsid w:val="00FB5CA3"/>
    <w:rsid w:val="00FB6211"/>
    <w:rsid w:val="00FB6CB4"/>
    <w:rsid w:val="00FB7280"/>
    <w:rsid w:val="00FB7F06"/>
    <w:rsid w:val="00FC028F"/>
    <w:rsid w:val="00FC0416"/>
    <w:rsid w:val="00FC1CAC"/>
    <w:rsid w:val="00FC2418"/>
    <w:rsid w:val="00FC6760"/>
    <w:rsid w:val="00FC7281"/>
    <w:rsid w:val="00FC764B"/>
    <w:rsid w:val="00FD2796"/>
    <w:rsid w:val="00FD3E2A"/>
    <w:rsid w:val="00FD45F6"/>
    <w:rsid w:val="00FD5B47"/>
    <w:rsid w:val="00FD7400"/>
    <w:rsid w:val="00FD75CE"/>
    <w:rsid w:val="00FD7EDF"/>
    <w:rsid w:val="00FE0F36"/>
    <w:rsid w:val="00FE1CCA"/>
    <w:rsid w:val="00FE1D68"/>
    <w:rsid w:val="00FE2148"/>
    <w:rsid w:val="00FE4DFB"/>
    <w:rsid w:val="00FE586E"/>
    <w:rsid w:val="00FE61F8"/>
    <w:rsid w:val="00FE723E"/>
    <w:rsid w:val="00FE7554"/>
    <w:rsid w:val="00FF16FD"/>
    <w:rsid w:val="00FF4364"/>
    <w:rsid w:val="00FF5263"/>
    <w:rsid w:val="00FF5F01"/>
    <w:rsid w:val="00FF6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uiPriority="10" w:qFormat="1"/>
    <w:lsdException w:name="Subtitle" w:uiPriority="11"/>
    <w:lsdException w:name="Hyperlink" w:uiPriority="99"/>
    <w:lsdException w:name="Strong" w:uiPriority="22"/>
    <w:lsdException w:name="Emphasis" w:uiPriority="20"/>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12CCC"/>
    <w:pPr>
      <w:spacing w:line="240" w:lineRule="auto"/>
    </w:pPr>
    <w:rPr>
      <w:rFonts w:ascii="Tw Cen MT" w:hAnsi="Tw Cen MT" w:cs="Arial"/>
      <w:sz w:val="24"/>
      <w:szCs w:val="16"/>
    </w:rPr>
  </w:style>
  <w:style w:type="paragraph" w:styleId="Heading1">
    <w:name w:val="heading 1"/>
    <w:basedOn w:val="Normal"/>
    <w:next w:val="Normal"/>
    <w:link w:val="Heading1Char"/>
    <w:qFormat/>
    <w:rsid w:val="004B3736"/>
    <w:pPr>
      <w:spacing w:before="120" w:after="240"/>
      <w:outlineLvl w:val="0"/>
    </w:pPr>
    <w:rPr>
      <w:rFonts w:ascii="Tw Cen MT Condensed" w:hAnsi="Tw Cen MT Condensed"/>
      <w:b/>
      <w:sz w:val="60"/>
    </w:rPr>
  </w:style>
  <w:style w:type="paragraph" w:styleId="Heading2">
    <w:name w:val="heading 2"/>
    <w:basedOn w:val="Heading1"/>
    <w:next w:val="Normal"/>
    <w:link w:val="Heading2Char"/>
    <w:uiPriority w:val="9"/>
    <w:unhideWhenUsed/>
    <w:qFormat/>
    <w:rsid w:val="00012CCC"/>
    <w:pPr>
      <w:keepNext/>
      <w:keepLines/>
      <w:spacing w:before="200" w:after="60"/>
      <w:outlineLvl w:val="1"/>
    </w:pPr>
    <w:rPr>
      <w:rFonts w:eastAsiaTheme="majorEastAsia" w:cstheme="majorBidi"/>
      <w:b w:val="0"/>
      <w:bCs/>
      <w:sz w:val="40"/>
      <w:szCs w:val="26"/>
    </w:rPr>
  </w:style>
  <w:style w:type="paragraph" w:styleId="Heading3">
    <w:name w:val="heading 3"/>
    <w:basedOn w:val="Normal"/>
    <w:next w:val="Normal"/>
    <w:link w:val="Heading3Char"/>
    <w:uiPriority w:val="9"/>
    <w:unhideWhenUsed/>
    <w:qFormat/>
    <w:rsid w:val="004B3736"/>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4B3736"/>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4B3736"/>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4B3736"/>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4B3736"/>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semiHidden/>
    <w:unhideWhenUsed/>
    <w:qFormat/>
    <w:rsid w:val="00565D7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74C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3736"/>
    <w:rPr>
      <w:rFonts w:ascii="Tw Cen MT Condensed" w:hAnsi="Tw Cen MT Condensed" w:cs="Arial"/>
      <w:b/>
      <w:sz w:val="60"/>
      <w:szCs w:val="16"/>
    </w:rPr>
  </w:style>
  <w:style w:type="character" w:customStyle="1" w:styleId="Heading2Char">
    <w:name w:val="Heading 2 Char"/>
    <w:basedOn w:val="DefaultParagraphFont"/>
    <w:link w:val="Heading2"/>
    <w:uiPriority w:val="9"/>
    <w:rsid w:val="00012CCC"/>
    <w:rPr>
      <w:rFonts w:ascii="Tw Cen MT Condensed" w:eastAsiaTheme="majorEastAsia" w:hAnsi="Tw Cen MT Condensed" w:cstheme="majorBidi"/>
      <w:bCs/>
      <w:sz w:val="40"/>
      <w:szCs w:val="26"/>
    </w:rPr>
  </w:style>
  <w:style w:type="character" w:customStyle="1" w:styleId="Heading3Char">
    <w:name w:val="Heading 3 Char"/>
    <w:basedOn w:val="DefaultParagraphFont"/>
    <w:link w:val="Heading3"/>
    <w:uiPriority w:val="9"/>
    <w:rsid w:val="004B3736"/>
    <w:rPr>
      <w:rFonts w:ascii="Tw Cen MT Condensed" w:eastAsiaTheme="majorEastAsia" w:hAnsi="Tw Cen MT Condensed" w:cstheme="majorBidi"/>
      <w:b/>
      <w:bCs/>
      <w:sz w:val="32"/>
      <w:szCs w:val="16"/>
    </w:rPr>
  </w:style>
  <w:style w:type="character" w:customStyle="1" w:styleId="Heading4Char">
    <w:name w:val="Heading 4 Char"/>
    <w:basedOn w:val="DefaultParagraphFont"/>
    <w:link w:val="Heading4"/>
    <w:uiPriority w:val="9"/>
    <w:rsid w:val="004B3736"/>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4B3736"/>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4B3736"/>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4B3736"/>
    <w:rPr>
      <w:rFonts w:ascii="Tw Cen MT Condensed" w:eastAsiaTheme="majorEastAsia" w:hAnsi="Tw Cen MT Condensed" w:cstheme="majorBidi"/>
      <w:b/>
      <w:iCs/>
      <w:sz w:val="20"/>
      <w:szCs w:val="16"/>
    </w:rPr>
  </w:style>
  <w:style w:type="character" w:customStyle="1" w:styleId="Heading8Char">
    <w:name w:val="Heading 8 Char"/>
    <w:basedOn w:val="DefaultParagraphFont"/>
    <w:link w:val="Heading8"/>
    <w:uiPriority w:val="9"/>
    <w:semiHidden/>
    <w:rsid w:val="00565D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74C0"/>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rsid w:val="0002521F"/>
    <w:rPr>
      <w:rFonts w:ascii="Times New Roman" w:hAnsi="Times New Roman" w:cs="Times New Roman"/>
      <w:szCs w:val="20"/>
    </w:rPr>
  </w:style>
  <w:style w:type="character" w:customStyle="1" w:styleId="FootnoteTextChar">
    <w:name w:val="Footnote Text Char"/>
    <w:basedOn w:val="DefaultParagraphFont"/>
    <w:link w:val="FootnoteText"/>
    <w:uiPriority w:val="99"/>
    <w:rsid w:val="0002521F"/>
  </w:style>
  <w:style w:type="character" w:styleId="FootnoteReference">
    <w:name w:val="footnote reference"/>
    <w:basedOn w:val="DefaultParagraphFont"/>
    <w:uiPriority w:val="99"/>
    <w:rsid w:val="0002521F"/>
    <w:rPr>
      <w:vertAlign w:val="superscript"/>
    </w:rPr>
  </w:style>
  <w:style w:type="character" w:styleId="Strong">
    <w:name w:val="Strong"/>
    <w:basedOn w:val="DefaultParagraphFont"/>
    <w:uiPriority w:val="22"/>
    <w:rsid w:val="0002521F"/>
    <w:rPr>
      <w:b/>
      <w:bCs/>
    </w:rPr>
  </w:style>
  <w:style w:type="paragraph" w:styleId="Footer">
    <w:name w:val="footer"/>
    <w:basedOn w:val="Normal"/>
    <w:link w:val="FooterChar"/>
    <w:uiPriority w:val="99"/>
    <w:rsid w:val="0002521F"/>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02521F"/>
    <w:rPr>
      <w:sz w:val="24"/>
    </w:rPr>
  </w:style>
  <w:style w:type="paragraph" w:styleId="BodyText3">
    <w:name w:val="Body Text 3"/>
    <w:basedOn w:val="Normal"/>
    <w:link w:val="BodyText3Char"/>
    <w:rsid w:val="0002521F"/>
    <w:rPr>
      <w:rFonts w:ascii="Times New Roman" w:hAnsi="Times New Roman" w:cs="Times New Roman"/>
      <w:color w:val="FF00FF"/>
      <w:szCs w:val="20"/>
    </w:rPr>
  </w:style>
  <w:style w:type="character" w:customStyle="1" w:styleId="BodyText3Char">
    <w:name w:val="Body Text 3 Char"/>
    <w:basedOn w:val="DefaultParagraphFont"/>
    <w:link w:val="BodyText3"/>
    <w:rsid w:val="0002521F"/>
    <w:rPr>
      <w:color w:val="FF00FF"/>
      <w:sz w:val="24"/>
    </w:rPr>
  </w:style>
  <w:style w:type="paragraph" w:customStyle="1" w:styleId="StyleBodyText3Auto">
    <w:name w:val="Style Body Text 3 + Auto"/>
    <w:basedOn w:val="BodyText3"/>
    <w:link w:val="StyleBodyText3AutoChar"/>
    <w:rsid w:val="00AC0D3D"/>
    <w:rPr>
      <w:color w:val="auto"/>
      <w:sz w:val="22"/>
    </w:rPr>
  </w:style>
  <w:style w:type="character" w:customStyle="1" w:styleId="StyleBodyText3AutoChar">
    <w:name w:val="Style Body Text 3 + Auto Char"/>
    <w:basedOn w:val="BodyText3Char"/>
    <w:link w:val="StyleBodyText3Auto"/>
    <w:rsid w:val="00AC0D3D"/>
    <w:rPr>
      <w:color w:val="FF00FF"/>
      <w:sz w:val="22"/>
    </w:rPr>
  </w:style>
  <w:style w:type="paragraph" w:customStyle="1" w:styleId="body">
    <w:name w:val="body"/>
    <w:basedOn w:val="Normal"/>
    <w:link w:val="bodyChar"/>
    <w:rsid w:val="00495EAF"/>
    <w:pPr>
      <w:tabs>
        <w:tab w:val="left" w:pos="720"/>
      </w:tabs>
      <w:spacing w:line="276" w:lineRule="auto"/>
    </w:pPr>
    <w:rPr>
      <w:szCs w:val="22"/>
    </w:rPr>
  </w:style>
  <w:style w:type="character" w:customStyle="1" w:styleId="bodyChar">
    <w:name w:val="body Char"/>
    <w:basedOn w:val="StyleBodyText3AutoChar"/>
    <w:link w:val="body"/>
    <w:rsid w:val="00974F27"/>
    <w:rPr>
      <w:rFonts w:ascii="Tw Cen MT" w:hAnsi="Tw Cen MT" w:cs="Arial"/>
      <w:color w:val="FF00FF"/>
      <w:sz w:val="24"/>
    </w:rPr>
  </w:style>
  <w:style w:type="paragraph" w:styleId="BodyText">
    <w:name w:val="Body Text"/>
    <w:basedOn w:val="Normal"/>
    <w:link w:val="BodyTextChar"/>
    <w:rsid w:val="00FA4E61"/>
    <w:pPr>
      <w:spacing w:after="120"/>
    </w:pPr>
  </w:style>
  <w:style w:type="character" w:customStyle="1" w:styleId="BodyTextChar">
    <w:name w:val="Body Text Char"/>
    <w:basedOn w:val="DefaultParagraphFont"/>
    <w:link w:val="BodyText"/>
    <w:rsid w:val="00FA4E61"/>
    <w:rPr>
      <w:rFonts w:ascii="Arial" w:hAnsi="Arial" w:cs="Arial"/>
      <w:szCs w:val="16"/>
    </w:rPr>
  </w:style>
  <w:style w:type="paragraph" w:styleId="BodyText2">
    <w:name w:val="Body Text 2"/>
    <w:basedOn w:val="Normal"/>
    <w:link w:val="BodyText2Char"/>
    <w:rsid w:val="00FA4E61"/>
    <w:pPr>
      <w:spacing w:after="120" w:line="480" w:lineRule="auto"/>
    </w:pPr>
  </w:style>
  <w:style w:type="character" w:customStyle="1" w:styleId="BodyText2Char">
    <w:name w:val="Body Text 2 Char"/>
    <w:basedOn w:val="DefaultParagraphFont"/>
    <w:link w:val="BodyText2"/>
    <w:rsid w:val="00FA4E61"/>
    <w:rPr>
      <w:rFonts w:ascii="Arial" w:hAnsi="Arial" w:cs="Arial"/>
      <w:szCs w:val="16"/>
    </w:rPr>
  </w:style>
  <w:style w:type="paragraph" w:styleId="Title">
    <w:name w:val="Title"/>
    <w:basedOn w:val="Normal"/>
    <w:next w:val="Normal"/>
    <w:link w:val="TitleChar"/>
    <w:uiPriority w:val="10"/>
    <w:qFormat/>
    <w:rsid w:val="00632FB0"/>
    <w:pPr>
      <w:pBdr>
        <w:bottom w:val="single" w:sz="8" w:space="4" w:color="4F81BD" w:themeColor="accent1"/>
      </w:pBdr>
      <w:spacing w:before="1600" w:after="300"/>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FB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rsid w:val="00FA4E61"/>
    <w:rPr>
      <w:color w:val="0000FF"/>
      <w:u w:val="single"/>
    </w:rPr>
  </w:style>
  <w:style w:type="paragraph" w:styleId="Subtitle">
    <w:name w:val="Subtitle"/>
    <w:basedOn w:val="Normal"/>
    <w:link w:val="SubtitleChar"/>
    <w:uiPriority w:val="11"/>
    <w:rsid w:val="00FA4E6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A4E61"/>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565D7F"/>
    <w:pPr>
      <w:spacing w:after="120"/>
      <w:ind w:left="360"/>
    </w:pPr>
  </w:style>
  <w:style w:type="character" w:customStyle="1" w:styleId="BodyTextIndentChar">
    <w:name w:val="Body Text Indent Char"/>
    <w:basedOn w:val="DefaultParagraphFont"/>
    <w:link w:val="BodyTextIndent"/>
    <w:rsid w:val="00565D7F"/>
    <w:rPr>
      <w:rFonts w:ascii="Arial" w:hAnsi="Arial" w:cs="Arial"/>
      <w:szCs w:val="16"/>
    </w:rPr>
  </w:style>
  <w:style w:type="paragraph" w:styleId="BodyTextIndent2">
    <w:name w:val="Body Text Indent 2"/>
    <w:basedOn w:val="Normal"/>
    <w:link w:val="BodyTextIndent2Char"/>
    <w:rsid w:val="00565D7F"/>
    <w:pPr>
      <w:spacing w:after="120" w:line="480" w:lineRule="auto"/>
      <w:ind w:left="360"/>
    </w:pPr>
  </w:style>
  <w:style w:type="character" w:customStyle="1" w:styleId="BodyTextIndent2Char">
    <w:name w:val="Body Text Indent 2 Char"/>
    <w:basedOn w:val="DefaultParagraphFont"/>
    <w:link w:val="BodyTextIndent2"/>
    <w:rsid w:val="00565D7F"/>
    <w:rPr>
      <w:rFonts w:ascii="Arial" w:hAnsi="Arial" w:cs="Arial"/>
      <w:szCs w:val="16"/>
    </w:rPr>
  </w:style>
  <w:style w:type="paragraph" w:styleId="BodyTextIndent3">
    <w:name w:val="Body Text Indent 3"/>
    <w:basedOn w:val="Normal"/>
    <w:link w:val="BodyTextIndent3Char"/>
    <w:rsid w:val="00565D7F"/>
    <w:pPr>
      <w:spacing w:after="120"/>
      <w:ind w:left="360"/>
    </w:pPr>
    <w:rPr>
      <w:sz w:val="16"/>
    </w:rPr>
  </w:style>
  <w:style w:type="character" w:customStyle="1" w:styleId="BodyTextIndent3Char">
    <w:name w:val="Body Text Indent 3 Char"/>
    <w:basedOn w:val="DefaultParagraphFont"/>
    <w:link w:val="BodyTextIndent3"/>
    <w:rsid w:val="00565D7F"/>
    <w:rPr>
      <w:rFonts w:ascii="Arial" w:hAnsi="Arial" w:cs="Arial"/>
      <w:sz w:val="16"/>
      <w:szCs w:val="16"/>
    </w:rPr>
  </w:style>
  <w:style w:type="character" w:styleId="PageNumber">
    <w:name w:val="page number"/>
    <w:basedOn w:val="DefaultParagraphFont"/>
    <w:rsid w:val="00565D7F"/>
  </w:style>
  <w:style w:type="paragraph" w:styleId="BlockText">
    <w:name w:val="Block Text"/>
    <w:basedOn w:val="Normal"/>
    <w:rsid w:val="004A46AD"/>
    <w:pPr>
      <w:tabs>
        <w:tab w:val="left" w:pos="7020"/>
      </w:tabs>
      <w:ind w:left="900" w:right="900"/>
    </w:pPr>
    <w:rPr>
      <w:rFonts w:ascii="Times New Roman" w:hAnsi="Times New Roman" w:cs="Times New Roman"/>
      <w:szCs w:val="20"/>
    </w:rPr>
  </w:style>
  <w:style w:type="table" w:styleId="TableGrid">
    <w:name w:val="Table Grid"/>
    <w:basedOn w:val="TableNormal"/>
    <w:rsid w:val="007E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A4DEC"/>
    <w:rPr>
      <w:color w:val="800080"/>
      <w:u w:val="single"/>
    </w:rPr>
  </w:style>
  <w:style w:type="paragraph" w:styleId="Header">
    <w:name w:val="header"/>
    <w:basedOn w:val="Normal"/>
    <w:link w:val="HeaderChar"/>
    <w:uiPriority w:val="99"/>
    <w:rsid w:val="009A12C1"/>
    <w:pPr>
      <w:tabs>
        <w:tab w:val="center" w:pos="4320"/>
        <w:tab w:val="right" w:pos="8640"/>
      </w:tabs>
    </w:pPr>
  </w:style>
  <w:style w:type="character" w:customStyle="1" w:styleId="HeaderChar">
    <w:name w:val="Header Char"/>
    <w:basedOn w:val="DefaultParagraphFont"/>
    <w:link w:val="Header"/>
    <w:uiPriority w:val="99"/>
    <w:rsid w:val="00722316"/>
    <w:rPr>
      <w:rFonts w:ascii="Tw Cen MT" w:hAnsi="Tw Cen MT" w:cs="Arial"/>
      <w:sz w:val="24"/>
      <w:szCs w:val="16"/>
    </w:rPr>
  </w:style>
  <w:style w:type="paragraph" w:styleId="BalloonText">
    <w:name w:val="Balloon Text"/>
    <w:basedOn w:val="Normal"/>
    <w:semiHidden/>
    <w:rsid w:val="00F264D6"/>
    <w:rPr>
      <w:rFonts w:ascii="Tahoma" w:hAnsi="Tahoma" w:cs="Tahoma"/>
      <w:sz w:val="16"/>
    </w:rPr>
  </w:style>
  <w:style w:type="paragraph" w:customStyle="1" w:styleId="HeadingFive">
    <w:name w:val="Heading Five"/>
    <w:basedOn w:val="Heading4"/>
    <w:link w:val="HeadingFiveChar"/>
    <w:rsid w:val="00F44216"/>
    <w:rPr>
      <w:sz w:val="24"/>
    </w:rPr>
  </w:style>
  <w:style w:type="character" w:customStyle="1" w:styleId="HeadingFiveChar">
    <w:name w:val="Heading Five Char"/>
    <w:basedOn w:val="Heading4Char"/>
    <w:link w:val="HeadingFive"/>
    <w:rsid w:val="00F44216"/>
    <w:rPr>
      <w:rFonts w:ascii="Tw Cen MT Condensed" w:eastAsiaTheme="majorEastAsia" w:hAnsi="Tw Cen MT Condensed" w:cstheme="majorBidi"/>
      <w:b/>
      <w:bCs/>
      <w:iCs/>
      <w:sz w:val="24"/>
      <w:szCs w:val="16"/>
      <w:shd w:val="clear" w:color="auto" w:fill="BFBFBF" w:themeFill="background1" w:themeFillShade="BF"/>
    </w:rPr>
  </w:style>
  <w:style w:type="paragraph" w:customStyle="1" w:styleId="Normal3Paragraph">
    <w:name w:val="Normal 3 Paragraph"/>
    <w:basedOn w:val="Normal"/>
    <w:link w:val="Normal3ParagraphChar"/>
    <w:qFormat/>
    <w:rsid w:val="00E2699C"/>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E2699C"/>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4B3736"/>
    <w:pPr>
      <w:ind w:left="720"/>
    </w:pPr>
  </w:style>
  <w:style w:type="character" w:customStyle="1" w:styleId="Normal4ParagraphChar">
    <w:name w:val="Normal 4 Paragraph Char"/>
    <w:basedOn w:val="Normal3ParagraphChar"/>
    <w:link w:val="Normal4Paragraph"/>
    <w:rsid w:val="004B3736"/>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4B3736"/>
    <w:pPr>
      <w:ind w:left="1080"/>
    </w:pPr>
  </w:style>
  <w:style w:type="character" w:customStyle="1" w:styleId="Normal5ParagraphChar">
    <w:name w:val="Normal 5 Paragraph Char"/>
    <w:basedOn w:val="Normal4ParagraphChar"/>
    <w:link w:val="Normal5Paragraph"/>
    <w:rsid w:val="004B3736"/>
    <w:rPr>
      <w:rFonts w:ascii="Tw Cen MT" w:eastAsia="Times New Roman" w:hAnsi="Tw Cen MT" w:cs="Arial"/>
      <w:sz w:val="24"/>
      <w:szCs w:val="16"/>
    </w:rPr>
  </w:style>
  <w:style w:type="paragraph" w:customStyle="1" w:styleId="Normal6">
    <w:name w:val="Normal 6"/>
    <w:basedOn w:val="Normal5Paragraph"/>
    <w:link w:val="Normal6Char"/>
    <w:qFormat/>
    <w:rsid w:val="004B3736"/>
    <w:pPr>
      <w:ind w:left="1440"/>
    </w:pPr>
  </w:style>
  <w:style w:type="character" w:customStyle="1" w:styleId="Normal6Char">
    <w:name w:val="Normal 6 Char"/>
    <w:basedOn w:val="Normal5ParagraphChar"/>
    <w:link w:val="Normal6"/>
    <w:rsid w:val="004B3736"/>
    <w:rPr>
      <w:rFonts w:ascii="Tw Cen MT" w:eastAsia="Times New Roman" w:hAnsi="Tw Cen MT" w:cs="Arial"/>
      <w:sz w:val="24"/>
      <w:szCs w:val="16"/>
    </w:rPr>
  </w:style>
  <w:style w:type="paragraph" w:customStyle="1" w:styleId="CoverText">
    <w:name w:val="Cover Text"/>
    <w:basedOn w:val="Normal"/>
    <w:link w:val="CoverTextChar"/>
    <w:qFormat/>
    <w:rsid w:val="004B3736"/>
    <w:rPr>
      <w:rFonts w:ascii="Tw Cen MT Condensed" w:eastAsia="Times New Roman" w:hAnsi="Tw Cen MT Condensed"/>
      <w:sz w:val="48"/>
    </w:rPr>
  </w:style>
  <w:style w:type="character" w:customStyle="1" w:styleId="CoverTextChar">
    <w:name w:val="Cover Text Char"/>
    <w:basedOn w:val="DefaultParagraphFont"/>
    <w:link w:val="CoverText"/>
    <w:rsid w:val="004B3736"/>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qFormat/>
    <w:rsid w:val="004B373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1F497D" w:themeFill="text2"/>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4B3736"/>
    <w:rPr>
      <w:rFonts w:ascii="Tw Cen MT Condensed" w:eastAsia="Times New Roman" w:hAnsi="Tw Cen MT Condensed" w:cs="Arial"/>
      <w:color w:val="FFFFFF" w:themeColor="background1"/>
      <w:sz w:val="72"/>
      <w:szCs w:val="16"/>
      <w:shd w:val="clear" w:color="auto" w:fill="1F497D" w:themeFill="text2"/>
    </w:rPr>
  </w:style>
  <w:style w:type="paragraph" w:styleId="ListParagraph">
    <w:name w:val="List Paragraph"/>
    <w:basedOn w:val="Normal"/>
    <w:uiPriority w:val="34"/>
    <w:qFormat/>
    <w:rsid w:val="004B3736"/>
    <w:pPr>
      <w:ind w:left="720"/>
      <w:contextualSpacing/>
    </w:pPr>
  </w:style>
  <w:style w:type="paragraph" w:customStyle="1" w:styleId="FloatingParagraphBox">
    <w:name w:val="Floating Paragraph Box"/>
    <w:basedOn w:val="Normal"/>
    <w:link w:val="FloatingParagraphBoxChar"/>
    <w:qFormat/>
    <w:rsid w:val="0065770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57709"/>
    <w:rPr>
      <w:rFonts w:ascii="Tw Cen MT" w:hAnsi="Tw Cen MT" w:cs="Arial"/>
      <w:b/>
      <w:snapToGrid w:val="0"/>
      <w:sz w:val="24"/>
      <w:szCs w:val="24"/>
      <w:shd w:val="clear" w:color="auto" w:fill="D9D9D9" w:themeFill="background1" w:themeFillShade="D9"/>
    </w:rPr>
  </w:style>
  <w:style w:type="paragraph" w:customStyle="1" w:styleId="twocolumnheading">
    <w:name w:val="two column heading"/>
    <w:basedOn w:val="Heading4"/>
    <w:next w:val="Normal"/>
    <w:link w:val="twocolumnheadingChar"/>
    <w:qFormat/>
    <w:rsid w:val="00724159"/>
    <w:pPr>
      <w:spacing w:before="120" w:after="120"/>
      <w:ind w:left="0"/>
      <w:contextualSpacing/>
      <w:outlineLvl w:val="1"/>
    </w:pPr>
  </w:style>
  <w:style w:type="character" w:customStyle="1" w:styleId="twocolumnheadingChar">
    <w:name w:val="two column heading Char"/>
    <w:basedOn w:val="Heading4Char"/>
    <w:link w:val="twocolumnheading"/>
    <w:rsid w:val="00724159"/>
    <w:rPr>
      <w:rFonts w:ascii="Tw Cen MT Condensed" w:eastAsiaTheme="majorEastAsia" w:hAnsi="Tw Cen MT Condensed" w:cstheme="majorBidi"/>
      <w:b/>
      <w:bCs/>
      <w:iCs/>
      <w:sz w:val="28"/>
      <w:szCs w:val="16"/>
      <w:shd w:val="clear" w:color="auto" w:fill="BFBFBF" w:themeFill="background1" w:themeFillShade="BF"/>
    </w:rPr>
  </w:style>
  <w:style w:type="table" w:styleId="LightGrid">
    <w:name w:val="Light Grid"/>
    <w:basedOn w:val="TableNormal"/>
    <w:uiPriority w:val="62"/>
    <w:rsid w:val="002862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3Deffects2">
    <w:name w:val="Table 3D effects 2"/>
    <w:basedOn w:val="TableNormal"/>
    <w:rsid w:val="0087099F"/>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7099F"/>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87099F"/>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qFormat/>
    <w:rsid w:val="007708AE"/>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rsid w:val="00A72A52"/>
    <w:pPr>
      <w:tabs>
        <w:tab w:val="left" w:pos="480"/>
        <w:tab w:val="right" w:leader="dot" w:pos="9350"/>
      </w:tabs>
      <w:spacing w:after="100"/>
    </w:pPr>
    <w:rPr>
      <w:b/>
      <w:noProof/>
    </w:rPr>
  </w:style>
  <w:style w:type="paragraph" w:styleId="TOC2">
    <w:name w:val="toc 2"/>
    <w:basedOn w:val="Normal"/>
    <w:next w:val="Normal"/>
    <w:autoRedefine/>
    <w:uiPriority w:val="39"/>
    <w:rsid w:val="007708AE"/>
    <w:pPr>
      <w:spacing w:after="100"/>
      <w:ind w:left="240"/>
    </w:pPr>
  </w:style>
  <w:style w:type="paragraph" w:styleId="TOC3">
    <w:name w:val="toc 3"/>
    <w:basedOn w:val="Normal"/>
    <w:next w:val="Normal"/>
    <w:autoRedefine/>
    <w:uiPriority w:val="39"/>
    <w:rsid w:val="007708AE"/>
    <w:pPr>
      <w:spacing w:after="100"/>
      <w:ind w:left="480"/>
    </w:pPr>
  </w:style>
  <w:style w:type="paragraph" w:styleId="Quote">
    <w:name w:val="Quote"/>
    <w:basedOn w:val="Normal"/>
    <w:next w:val="Normal"/>
    <w:link w:val="QuoteChar"/>
    <w:uiPriority w:val="29"/>
    <w:qFormat/>
    <w:rsid w:val="006953AE"/>
    <w:rPr>
      <w:i/>
      <w:iCs/>
      <w:color w:val="000000" w:themeColor="text1"/>
    </w:rPr>
  </w:style>
  <w:style w:type="character" w:customStyle="1" w:styleId="QuoteChar">
    <w:name w:val="Quote Char"/>
    <w:basedOn w:val="DefaultParagraphFont"/>
    <w:link w:val="Quote"/>
    <w:uiPriority w:val="29"/>
    <w:rsid w:val="006953AE"/>
    <w:rPr>
      <w:rFonts w:ascii="Tw Cen MT" w:hAnsi="Tw Cen MT" w:cs="Arial"/>
      <w:i/>
      <w:iCs/>
      <w:color w:val="000000" w:themeColor="text1"/>
      <w:sz w:val="24"/>
      <w:szCs w:val="16"/>
    </w:rPr>
  </w:style>
  <w:style w:type="character" w:styleId="SubtleEmphasis">
    <w:name w:val="Subtle Emphasis"/>
    <w:basedOn w:val="DefaultParagraphFont"/>
    <w:uiPriority w:val="19"/>
    <w:qFormat/>
    <w:rsid w:val="00C42FC3"/>
    <w:rPr>
      <w:i/>
      <w:iCs/>
      <w:color w:val="808080" w:themeColor="text1" w:themeTint="7F"/>
    </w:rPr>
  </w:style>
  <w:style w:type="paragraph" w:customStyle="1" w:styleId="text">
    <w:name w:val="text"/>
    <w:basedOn w:val="Normal"/>
    <w:link w:val="textChar"/>
    <w:qFormat/>
    <w:rsid w:val="00FA30BD"/>
    <w:pPr>
      <w:spacing w:before="240" w:after="120" w:line="276" w:lineRule="auto"/>
      <w:jc w:val="both"/>
    </w:pPr>
    <w:rPr>
      <w:rFonts w:ascii="TimesNewRomanPS" w:eastAsia="Times New Roman" w:hAnsi="TimesNewRomanPS" w:cs="Times New Roman"/>
      <w:szCs w:val="24"/>
    </w:rPr>
  </w:style>
  <w:style w:type="character" w:customStyle="1" w:styleId="textChar">
    <w:name w:val="text Char"/>
    <w:basedOn w:val="DefaultParagraphFont"/>
    <w:link w:val="text"/>
    <w:rsid w:val="00FA30BD"/>
    <w:rPr>
      <w:rFonts w:ascii="TimesNewRomanPS" w:eastAsia="Times New Roman" w:hAnsi="TimesNewRomanPS" w:cs="Times New Roman"/>
      <w:sz w:val="24"/>
      <w:szCs w:val="24"/>
    </w:rPr>
  </w:style>
  <w:style w:type="paragraph" w:customStyle="1" w:styleId="heading">
    <w:name w:val="heading"/>
    <w:basedOn w:val="text"/>
    <w:link w:val="headingChar"/>
    <w:qFormat/>
    <w:rsid w:val="00F6620C"/>
    <w:pPr>
      <w:spacing w:before="199" w:after="0"/>
      <w:outlineLvl w:val="1"/>
    </w:pPr>
    <w:rPr>
      <w:rFonts w:ascii="Arial" w:hAnsi="Arial" w:cs="Arial"/>
      <w:b/>
    </w:rPr>
  </w:style>
  <w:style w:type="character" w:customStyle="1" w:styleId="headingChar">
    <w:name w:val="heading Char"/>
    <w:basedOn w:val="textChar"/>
    <w:link w:val="heading"/>
    <w:rsid w:val="00F6620C"/>
    <w:rPr>
      <w:rFonts w:ascii="Arial" w:eastAsia="Times New Roman" w:hAnsi="Arial" w:cs="Arial"/>
      <w:b/>
      <w:sz w:val="24"/>
      <w:szCs w:val="24"/>
    </w:rPr>
  </w:style>
  <w:style w:type="paragraph" w:styleId="TOC4">
    <w:name w:val="toc 4"/>
    <w:basedOn w:val="Normal"/>
    <w:next w:val="Normal"/>
    <w:autoRedefine/>
    <w:uiPriority w:val="39"/>
    <w:unhideWhenUsed/>
    <w:rsid w:val="002E05C3"/>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E05C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E05C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05C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E05C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E05C3"/>
    <w:pPr>
      <w:spacing w:after="100" w:line="276" w:lineRule="auto"/>
      <w:ind w:left="1760"/>
    </w:pPr>
    <w:rPr>
      <w:rFonts w:asciiTheme="minorHAnsi" w:eastAsiaTheme="minorEastAsia" w:hAnsiTheme="minorHAnsi" w:cstheme="minorBidi"/>
      <w:sz w:val="22"/>
      <w:szCs w:val="22"/>
    </w:rPr>
  </w:style>
  <w:style w:type="paragraph" w:styleId="NoSpacing">
    <w:name w:val="No Spacing"/>
    <w:uiPriority w:val="1"/>
    <w:qFormat/>
    <w:rsid w:val="0070720B"/>
    <w:pPr>
      <w:spacing w:after="0" w:line="240" w:lineRule="auto"/>
    </w:pPr>
    <w:rPr>
      <w:rFonts w:eastAsiaTheme="minorEastAsia"/>
    </w:rPr>
  </w:style>
  <w:style w:type="character" w:customStyle="1" w:styleId="apple-converted-space">
    <w:name w:val="apple-converted-space"/>
    <w:basedOn w:val="DefaultParagraphFont"/>
    <w:rsid w:val="004634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uiPriority="10" w:qFormat="1"/>
    <w:lsdException w:name="Subtitle" w:uiPriority="11"/>
    <w:lsdException w:name="Hyperlink" w:uiPriority="99"/>
    <w:lsdException w:name="Strong" w:uiPriority="22"/>
    <w:lsdException w:name="Emphasis" w:uiPriority="20"/>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12CCC"/>
    <w:pPr>
      <w:spacing w:line="240" w:lineRule="auto"/>
    </w:pPr>
    <w:rPr>
      <w:rFonts w:ascii="Tw Cen MT" w:hAnsi="Tw Cen MT" w:cs="Arial"/>
      <w:sz w:val="24"/>
      <w:szCs w:val="16"/>
    </w:rPr>
  </w:style>
  <w:style w:type="paragraph" w:styleId="Heading1">
    <w:name w:val="heading 1"/>
    <w:basedOn w:val="Normal"/>
    <w:next w:val="Normal"/>
    <w:link w:val="Heading1Char"/>
    <w:qFormat/>
    <w:rsid w:val="004B3736"/>
    <w:pPr>
      <w:spacing w:before="120" w:after="240"/>
      <w:outlineLvl w:val="0"/>
    </w:pPr>
    <w:rPr>
      <w:rFonts w:ascii="Tw Cen MT Condensed" w:hAnsi="Tw Cen MT Condensed"/>
      <w:b/>
      <w:sz w:val="60"/>
    </w:rPr>
  </w:style>
  <w:style w:type="paragraph" w:styleId="Heading2">
    <w:name w:val="heading 2"/>
    <w:basedOn w:val="Heading1"/>
    <w:next w:val="Normal"/>
    <w:link w:val="Heading2Char"/>
    <w:uiPriority w:val="9"/>
    <w:unhideWhenUsed/>
    <w:qFormat/>
    <w:rsid w:val="00012CCC"/>
    <w:pPr>
      <w:keepNext/>
      <w:keepLines/>
      <w:spacing w:before="200" w:after="60"/>
      <w:outlineLvl w:val="1"/>
    </w:pPr>
    <w:rPr>
      <w:rFonts w:eastAsiaTheme="majorEastAsia" w:cstheme="majorBidi"/>
      <w:b w:val="0"/>
      <w:bCs/>
      <w:sz w:val="40"/>
      <w:szCs w:val="26"/>
    </w:rPr>
  </w:style>
  <w:style w:type="paragraph" w:styleId="Heading3">
    <w:name w:val="heading 3"/>
    <w:basedOn w:val="Normal"/>
    <w:next w:val="Normal"/>
    <w:link w:val="Heading3Char"/>
    <w:uiPriority w:val="9"/>
    <w:unhideWhenUsed/>
    <w:qFormat/>
    <w:rsid w:val="004B3736"/>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4B3736"/>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4B3736"/>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4B3736"/>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4B3736"/>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semiHidden/>
    <w:unhideWhenUsed/>
    <w:qFormat/>
    <w:rsid w:val="00565D7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74C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3736"/>
    <w:rPr>
      <w:rFonts w:ascii="Tw Cen MT Condensed" w:hAnsi="Tw Cen MT Condensed" w:cs="Arial"/>
      <w:b/>
      <w:sz w:val="60"/>
      <w:szCs w:val="16"/>
    </w:rPr>
  </w:style>
  <w:style w:type="character" w:customStyle="1" w:styleId="Heading2Char">
    <w:name w:val="Heading 2 Char"/>
    <w:basedOn w:val="DefaultParagraphFont"/>
    <w:link w:val="Heading2"/>
    <w:uiPriority w:val="9"/>
    <w:rsid w:val="00012CCC"/>
    <w:rPr>
      <w:rFonts w:ascii="Tw Cen MT Condensed" w:eastAsiaTheme="majorEastAsia" w:hAnsi="Tw Cen MT Condensed" w:cstheme="majorBidi"/>
      <w:bCs/>
      <w:sz w:val="40"/>
      <w:szCs w:val="26"/>
    </w:rPr>
  </w:style>
  <w:style w:type="character" w:customStyle="1" w:styleId="Heading3Char">
    <w:name w:val="Heading 3 Char"/>
    <w:basedOn w:val="DefaultParagraphFont"/>
    <w:link w:val="Heading3"/>
    <w:uiPriority w:val="9"/>
    <w:rsid w:val="004B3736"/>
    <w:rPr>
      <w:rFonts w:ascii="Tw Cen MT Condensed" w:eastAsiaTheme="majorEastAsia" w:hAnsi="Tw Cen MT Condensed" w:cstheme="majorBidi"/>
      <w:b/>
      <w:bCs/>
      <w:sz w:val="32"/>
      <w:szCs w:val="16"/>
    </w:rPr>
  </w:style>
  <w:style w:type="character" w:customStyle="1" w:styleId="Heading4Char">
    <w:name w:val="Heading 4 Char"/>
    <w:basedOn w:val="DefaultParagraphFont"/>
    <w:link w:val="Heading4"/>
    <w:uiPriority w:val="9"/>
    <w:rsid w:val="004B3736"/>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4B3736"/>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4B3736"/>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4B3736"/>
    <w:rPr>
      <w:rFonts w:ascii="Tw Cen MT Condensed" w:eastAsiaTheme="majorEastAsia" w:hAnsi="Tw Cen MT Condensed" w:cstheme="majorBidi"/>
      <w:b/>
      <w:iCs/>
      <w:sz w:val="20"/>
      <w:szCs w:val="16"/>
    </w:rPr>
  </w:style>
  <w:style w:type="character" w:customStyle="1" w:styleId="Heading8Char">
    <w:name w:val="Heading 8 Char"/>
    <w:basedOn w:val="DefaultParagraphFont"/>
    <w:link w:val="Heading8"/>
    <w:uiPriority w:val="9"/>
    <w:semiHidden/>
    <w:rsid w:val="00565D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74C0"/>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rsid w:val="0002521F"/>
    <w:rPr>
      <w:rFonts w:ascii="Times New Roman" w:hAnsi="Times New Roman" w:cs="Times New Roman"/>
      <w:szCs w:val="20"/>
    </w:rPr>
  </w:style>
  <w:style w:type="character" w:customStyle="1" w:styleId="FootnoteTextChar">
    <w:name w:val="Footnote Text Char"/>
    <w:basedOn w:val="DefaultParagraphFont"/>
    <w:link w:val="FootnoteText"/>
    <w:uiPriority w:val="99"/>
    <w:rsid w:val="0002521F"/>
  </w:style>
  <w:style w:type="character" w:styleId="FootnoteReference">
    <w:name w:val="footnote reference"/>
    <w:basedOn w:val="DefaultParagraphFont"/>
    <w:uiPriority w:val="99"/>
    <w:rsid w:val="0002521F"/>
    <w:rPr>
      <w:vertAlign w:val="superscript"/>
    </w:rPr>
  </w:style>
  <w:style w:type="character" w:styleId="Strong">
    <w:name w:val="Strong"/>
    <w:basedOn w:val="DefaultParagraphFont"/>
    <w:uiPriority w:val="22"/>
    <w:rsid w:val="0002521F"/>
    <w:rPr>
      <w:b/>
      <w:bCs/>
    </w:rPr>
  </w:style>
  <w:style w:type="paragraph" w:styleId="Footer">
    <w:name w:val="footer"/>
    <w:basedOn w:val="Normal"/>
    <w:link w:val="FooterChar"/>
    <w:uiPriority w:val="99"/>
    <w:rsid w:val="0002521F"/>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02521F"/>
    <w:rPr>
      <w:sz w:val="24"/>
    </w:rPr>
  </w:style>
  <w:style w:type="paragraph" w:styleId="BodyText3">
    <w:name w:val="Body Text 3"/>
    <w:basedOn w:val="Normal"/>
    <w:link w:val="BodyText3Char"/>
    <w:rsid w:val="0002521F"/>
    <w:rPr>
      <w:rFonts w:ascii="Times New Roman" w:hAnsi="Times New Roman" w:cs="Times New Roman"/>
      <w:color w:val="FF00FF"/>
      <w:szCs w:val="20"/>
    </w:rPr>
  </w:style>
  <w:style w:type="character" w:customStyle="1" w:styleId="BodyText3Char">
    <w:name w:val="Body Text 3 Char"/>
    <w:basedOn w:val="DefaultParagraphFont"/>
    <w:link w:val="BodyText3"/>
    <w:rsid w:val="0002521F"/>
    <w:rPr>
      <w:color w:val="FF00FF"/>
      <w:sz w:val="24"/>
    </w:rPr>
  </w:style>
  <w:style w:type="paragraph" w:customStyle="1" w:styleId="StyleBodyText3Auto">
    <w:name w:val="Style Body Text 3 + Auto"/>
    <w:basedOn w:val="BodyText3"/>
    <w:link w:val="StyleBodyText3AutoChar"/>
    <w:rsid w:val="00AC0D3D"/>
    <w:rPr>
      <w:color w:val="auto"/>
      <w:sz w:val="22"/>
    </w:rPr>
  </w:style>
  <w:style w:type="character" w:customStyle="1" w:styleId="StyleBodyText3AutoChar">
    <w:name w:val="Style Body Text 3 + Auto Char"/>
    <w:basedOn w:val="BodyText3Char"/>
    <w:link w:val="StyleBodyText3Auto"/>
    <w:rsid w:val="00AC0D3D"/>
    <w:rPr>
      <w:color w:val="FF00FF"/>
      <w:sz w:val="22"/>
    </w:rPr>
  </w:style>
  <w:style w:type="paragraph" w:customStyle="1" w:styleId="body">
    <w:name w:val="body"/>
    <w:basedOn w:val="Normal"/>
    <w:link w:val="bodyChar"/>
    <w:rsid w:val="00495EAF"/>
    <w:pPr>
      <w:tabs>
        <w:tab w:val="left" w:pos="720"/>
      </w:tabs>
      <w:spacing w:line="276" w:lineRule="auto"/>
    </w:pPr>
    <w:rPr>
      <w:szCs w:val="22"/>
    </w:rPr>
  </w:style>
  <w:style w:type="character" w:customStyle="1" w:styleId="bodyChar">
    <w:name w:val="body Char"/>
    <w:basedOn w:val="StyleBodyText3AutoChar"/>
    <w:link w:val="body"/>
    <w:rsid w:val="00974F27"/>
    <w:rPr>
      <w:rFonts w:ascii="Tw Cen MT" w:hAnsi="Tw Cen MT" w:cs="Arial"/>
      <w:color w:val="FF00FF"/>
      <w:sz w:val="24"/>
    </w:rPr>
  </w:style>
  <w:style w:type="paragraph" w:styleId="BodyText">
    <w:name w:val="Body Text"/>
    <w:basedOn w:val="Normal"/>
    <w:link w:val="BodyTextChar"/>
    <w:rsid w:val="00FA4E61"/>
    <w:pPr>
      <w:spacing w:after="120"/>
    </w:pPr>
  </w:style>
  <w:style w:type="character" w:customStyle="1" w:styleId="BodyTextChar">
    <w:name w:val="Body Text Char"/>
    <w:basedOn w:val="DefaultParagraphFont"/>
    <w:link w:val="BodyText"/>
    <w:rsid w:val="00FA4E61"/>
    <w:rPr>
      <w:rFonts w:ascii="Arial" w:hAnsi="Arial" w:cs="Arial"/>
      <w:szCs w:val="16"/>
    </w:rPr>
  </w:style>
  <w:style w:type="paragraph" w:styleId="BodyText2">
    <w:name w:val="Body Text 2"/>
    <w:basedOn w:val="Normal"/>
    <w:link w:val="BodyText2Char"/>
    <w:rsid w:val="00FA4E61"/>
    <w:pPr>
      <w:spacing w:after="120" w:line="480" w:lineRule="auto"/>
    </w:pPr>
  </w:style>
  <w:style w:type="character" w:customStyle="1" w:styleId="BodyText2Char">
    <w:name w:val="Body Text 2 Char"/>
    <w:basedOn w:val="DefaultParagraphFont"/>
    <w:link w:val="BodyText2"/>
    <w:rsid w:val="00FA4E61"/>
    <w:rPr>
      <w:rFonts w:ascii="Arial" w:hAnsi="Arial" w:cs="Arial"/>
      <w:szCs w:val="16"/>
    </w:rPr>
  </w:style>
  <w:style w:type="paragraph" w:styleId="Title">
    <w:name w:val="Title"/>
    <w:basedOn w:val="Normal"/>
    <w:next w:val="Normal"/>
    <w:link w:val="TitleChar"/>
    <w:uiPriority w:val="10"/>
    <w:qFormat/>
    <w:rsid w:val="00632FB0"/>
    <w:pPr>
      <w:pBdr>
        <w:bottom w:val="single" w:sz="8" w:space="4" w:color="4F81BD" w:themeColor="accent1"/>
      </w:pBdr>
      <w:spacing w:before="1600" w:after="300"/>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FB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rsid w:val="00FA4E61"/>
    <w:rPr>
      <w:color w:val="0000FF"/>
      <w:u w:val="single"/>
    </w:rPr>
  </w:style>
  <w:style w:type="paragraph" w:styleId="Subtitle">
    <w:name w:val="Subtitle"/>
    <w:basedOn w:val="Normal"/>
    <w:link w:val="SubtitleChar"/>
    <w:uiPriority w:val="11"/>
    <w:rsid w:val="00FA4E6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A4E61"/>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565D7F"/>
    <w:pPr>
      <w:spacing w:after="120"/>
      <w:ind w:left="360"/>
    </w:pPr>
  </w:style>
  <w:style w:type="character" w:customStyle="1" w:styleId="BodyTextIndentChar">
    <w:name w:val="Body Text Indent Char"/>
    <w:basedOn w:val="DefaultParagraphFont"/>
    <w:link w:val="BodyTextIndent"/>
    <w:rsid w:val="00565D7F"/>
    <w:rPr>
      <w:rFonts w:ascii="Arial" w:hAnsi="Arial" w:cs="Arial"/>
      <w:szCs w:val="16"/>
    </w:rPr>
  </w:style>
  <w:style w:type="paragraph" w:styleId="BodyTextIndent2">
    <w:name w:val="Body Text Indent 2"/>
    <w:basedOn w:val="Normal"/>
    <w:link w:val="BodyTextIndent2Char"/>
    <w:rsid w:val="00565D7F"/>
    <w:pPr>
      <w:spacing w:after="120" w:line="480" w:lineRule="auto"/>
      <w:ind w:left="360"/>
    </w:pPr>
  </w:style>
  <w:style w:type="character" w:customStyle="1" w:styleId="BodyTextIndent2Char">
    <w:name w:val="Body Text Indent 2 Char"/>
    <w:basedOn w:val="DefaultParagraphFont"/>
    <w:link w:val="BodyTextIndent2"/>
    <w:rsid w:val="00565D7F"/>
    <w:rPr>
      <w:rFonts w:ascii="Arial" w:hAnsi="Arial" w:cs="Arial"/>
      <w:szCs w:val="16"/>
    </w:rPr>
  </w:style>
  <w:style w:type="paragraph" w:styleId="BodyTextIndent3">
    <w:name w:val="Body Text Indent 3"/>
    <w:basedOn w:val="Normal"/>
    <w:link w:val="BodyTextIndent3Char"/>
    <w:rsid w:val="00565D7F"/>
    <w:pPr>
      <w:spacing w:after="120"/>
      <w:ind w:left="360"/>
    </w:pPr>
    <w:rPr>
      <w:sz w:val="16"/>
    </w:rPr>
  </w:style>
  <w:style w:type="character" w:customStyle="1" w:styleId="BodyTextIndent3Char">
    <w:name w:val="Body Text Indent 3 Char"/>
    <w:basedOn w:val="DefaultParagraphFont"/>
    <w:link w:val="BodyTextIndent3"/>
    <w:rsid w:val="00565D7F"/>
    <w:rPr>
      <w:rFonts w:ascii="Arial" w:hAnsi="Arial" w:cs="Arial"/>
      <w:sz w:val="16"/>
      <w:szCs w:val="16"/>
    </w:rPr>
  </w:style>
  <w:style w:type="character" w:styleId="PageNumber">
    <w:name w:val="page number"/>
    <w:basedOn w:val="DefaultParagraphFont"/>
    <w:rsid w:val="00565D7F"/>
  </w:style>
  <w:style w:type="paragraph" w:styleId="BlockText">
    <w:name w:val="Block Text"/>
    <w:basedOn w:val="Normal"/>
    <w:rsid w:val="004A46AD"/>
    <w:pPr>
      <w:tabs>
        <w:tab w:val="left" w:pos="7020"/>
      </w:tabs>
      <w:ind w:left="900" w:right="900"/>
    </w:pPr>
    <w:rPr>
      <w:rFonts w:ascii="Times New Roman" w:hAnsi="Times New Roman" w:cs="Times New Roman"/>
      <w:szCs w:val="20"/>
    </w:rPr>
  </w:style>
  <w:style w:type="table" w:styleId="TableGrid">
    <w:name w:val="Table Grid"/>
    <w:basedOn w:val="TableNormal"/>
    <w:rsid w:val="007E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A4DEC"/>
    <w:rPr>
      <w:color w:val="800080"/>
      <w:u w:val="single"/>
    </w:rPr>
  </w:style>
  <w:style w:type="paragraph" w:styleId="Header">
    <w:name w:val="header"/>
    <w:basedOn w:val="Normal"/>
    <w:link w:val="HeaderChar"/>
    <w:uiPriority w:val="99"/>
    <w:rsid w:val="009A12C1"/>
    <w:pPr>
      <w:tabs>
        <w:tab w:val="center" w:pos="4320"/>
        <w:tab w:val="right" w:pos="8640"/>
      </w:tabs>
    </w:pPr>
  </w:style>
  <w:style w:type="character" w:customStyle="1" w:styleId="HeaderChar">
    <w:name w:val="Header Char"/>
    <w:basedOn w:val="DefaultParagraphFont"/>
    <w:link w:val="Header"/>
    <w:uiPriority w:val="99"/>
    <w:rsid w:val="00722316"/>
    <w:rPr>
      <w:rFonts w:ascii="Tw Cen MT" w:hAnsi="Tw Cen MT" w:cs="Arial"/>
      <w:sz w:val="24"/>
      <w:szCs w:val="16"/>
    </w:rPr>
  </w:style>
  <w:style w:type="paragraph" w:styleId="BalloonText">
    <w:name w:val="Balloon Text"/>
    <w:basedOn w:val="Normal"/>
    <w:semiHidden/>
    <w:rsid w:val="00F264D6"/>
    <w:rPr>
      <w:rFonts w:ascii="Tahoma" w:hAnsi="Tahoma" w:cs="Tahoma"/>
      <w:sz w:val="16"/>
    </w:rPr>
  </w:style>
  <w:style w:type="paragraph" w:customStyle="1" w:styleId="HeadingFive">
    <w:name w:val="Heading Five"/>
    <w:basedOn w:val="Heading4"/>
    <w:link w:val="HeadingFiveChar"/>
    <w:rsid w:val="00F44216"/>
    <w:rPr>
      <w:sz w:val="24"/>
    </w:rPr>
  </w:style>
  <w:style w:type="character" w:customStyle="1" w:styleId="HeadingFiveChar">
    <w:name w:val="Heading Five Char"/>
    <w:basedOn w:val="Heading4Char"/>
    <w:link w:val="HeadingFive"/>
    <w:rsid w:val="00F44216"/>
    <w:rPr>
      <w:rFonts w:ascii="Tw Cen MT Condensed" w:eastAsiaTheme="majorEastAsia" w:hAnsi="Tw Cen MT Condensed" w:cstheme="majorBidi"/>
      <w:b/>
      <w:bCs/>
      <w:iCs/>
      <w:sz w:val="24"/>
      <w:szCs w:val="16"/>
      <w:shd w:val="clear" w:color="auto" w:fill="BFBFBF" w:themeFill="background1" w:themeFillShade="BF"/>
    </w:rPr>
  </w:style>
  <w:style w:type="paragraph" w:customStyle="1" w:styleId="Normal3Paragraph">
    <w:name w:val="Normal 3 Paragraph"/>
    <w:basedOn w:val="Normal"/>
    <w:link w:val="Normal3ParagraphChar"/>
    <w:qFormat/>
    <w:rsid w:val="00E2699C"/>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E2699C"/>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4B3736"/>
    <w:pPr>
      <w:ind w:left="720"/>
    </w:pPr>
  </w:style>
  <w:style w:type="character" w:customStyle="1" w:styleId="Normal4ParagraphChar">
    <w:name w:val="Normal 4 Paragraph Char"/>
    <w:basedOn w:val="Normal3ParagraphChar"/>
    <w:link w:val="Normal4Paragraph"/>
    <w:rsid w:val="004B3736"/>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4B3736"/>
    <w:pPr>
      <w:ind w:left="1080"/>
    </w:pPr>
  </w:style>
  <w:style w:type="character" w:customStyle="1" w:styleId="Normal5ParagraphChar">
    <w:name w:val="Normal 5 Paragraph Char"/>
    <w:basedOn w:val="Normal4ParagraphChar"/>
    <w:link w:val="Normal5Paragraph"/>
    <w:rsid w:val="004B3736"/>
    <w:rPr>
      <w:rFonts w:ascii="Tw Cen MT" w:eastAsia="Times New Roman" w:hAnsi="Tw Cen MT" w:cs="Arial"/>
      <w:sz w:val="24"/>
      <w:szCs w:val="16"/>
    </w:rPr>
  </w:style>
  <w:style w:type="paragraph" w:customStyle="1" w:styleId="Normal6">
    <w:name w:val="Normal 6"/>
    <w:basedOn w:val="Normal5Paragraph"/>
    <w:link w:val="Normal6Char"/>
    <w:qFormat/>
    <w:rsid w:val="004B3736"/>
    <w:pPr>
      <w:ind w:left="1440"/>
    </w:pPr>
  </w:style>
  <w:style w:type="character" w:customStyle="1" w:styleId="Normal6Char">
    <w:name w:val="Normal 6 Char"/>
    <w:basedOn w:val="Normal5ParagraphChar"/>
    <w:link w:val="Normal6"/>
    <w:rsid w:val="004B3736"/>
    <w:rPr>
      <w:rFonts w:ascii="Tw Cen MT" w:eastAsia="Times New Roman" w:hAnsi="Tw Cen MT" w:cs="Arial"/>
      <w:sz w:val="24"/>
      <w:szCs w:val="16"/>
    </w:rPr>
  </w:style>
  <w:style w:type="paragraph" w:customStyle="1" w:styleId="CoverText">
    <w:name w:val="Cover Text"/>
    <w:basedOn w:val="Normal"/>
    <w:link w:val="CoverTextChar"/>
    <w:qFormat/>
    <w:rsid w:val="004B3736"/>
    <w:rPr>
      <w:rFonts w:ascii="Tw Cen MT Condensed" w:eastAsia="Times New Roman" w:hAnsi="Tw Cen MT Condensed"/>
      <w:sz w:val="48"/>
    </w:rPr>
  </w:style>
  <w:style w:type="character" w:customStyle="1" w:styleId="CoverTextChar">
    <w:name w:val="Cover Text Char"/>
    <w:basedOn w:val="DefaultParagraphFont"/>
    <w:link w:val="CoverText"/>
    <w:rsid w:val="004B3736"/>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qFormat/>
    <w:rsid w:val="004B373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1F497D" w:themeFill="text2"/>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4B3736"/>
    <w:rPr>
      <w:rFonts w:ascii="Tw Cen MT Condensed" w:eastAsia="Times New Roman" w:hAnsi="Tw Cen MT Condensed" w:cs="Arial"/>
      <w:color w:val="FFFFFF" w:themeColor="background1"/>
      <w:sz w:val="72"/>
      <w:szCs w:val="16"/>
      <w:shd w:val="clear" w:color="auto" w:fill="1F497D" w:themeFill="text2"/>
    </w:rPr>
  </w:style>
  <w:style w:type="paragraph" w:styleId="ListParagraph">
    <w:name w:val="List Paragraph"/>
    <w:basedOn w:val="Normal"/>
    <w:uiPriority w:val="34"/>
    <w:qFormat/>
    <w:rsid w:val="004B3736"/>
    <w:pPr>
      <w:ind w:left="720"/>
      <w:contextualSpacing/>
    </w:pPr>
  </w:style>
  <w:style w:type="paragraph" w:customStyle="1" w:styleId="FloatingParagraphBox">
    <w:name w:val="Floating Paragraph Box"/>
    <w:basedOn w:val="Normal"/>
    <w:link w:val="FloatingParagraphBoxChar"/>
    <w:qFormat/>
    <w:rsid w:val="0065770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57709"/>
    <w:rPr>
      <w:rFonts w:ascii="Tw Cen MT" w:hAnsi="Tw Cen MT" w:cs="Arial"/>
      <w:b/>
      <w:snapToGrid w:val="0"/>
      <w:sz w:val="24"/>
      <w:szCs w:val="24"/>
      <w:shd w:val="clear" w:color="auto" w:fill="D9D9D9" w:themeFill="background1" w:themeFillShade="D9"/>
    </w:rPr>
  </w:style>
  <w:style w:type="paragraph" w:customStyle="1" w:styleId="twocolumnheading">
    <w:name w:val="two column heading"/>
    <w:basedOn w:val="Heading4"/>
    <w:next w:val="Normal"/>
    <w:link w:val="twocolumnheadingChar"/>
    <w:qFormat/>
    <w:rsid w:val="00724159"/>
    <w:pPr>
      <w:spacing w:before="120" w:after="120"/>
      <w:ind w:left="0"/>
      <w:contextualSpacing/>
      <w:outlineLvl w:val="1"/>
    </w:pPr>
  </w:style>
  <w:style w:type="character" w:customStyle="1" w:styleId="twocolumnheadingChar">
    <w:name w:val="two column heading Char"/>
    <w:basedOn w:val="Heading4Char"/>
    <w:link w:val="twocolumnheading"/>
    <w:rsid w:val="00724159"/>
    <w:rPr>
      <w:rFonts w:ascii="Tw Cen MT Condensed" w:eastAsiaTheme="majorEastAsia" w:hAnsi="Tw Cen MT Condensed" w:cstheme="majorBidi"/>
      <w:b/>
      <w:bCs/>
      <w:iCs/>
      <w:sz w:val="28"/>
      <w:szCs w:val="16"/>
      <w:shd w:val="clear" w:color="auto" w:fill="BFBFBF" w:themeFill="background1" w:themeFillShade="BF"/>
    </w:rPr>
  </w:style>
  <w:style w:type="table" w:styleId="LightGrid">
    <w:name w:val="Light Grid"/>
    <w:basedOn w:val="TableNormal"/>
    <w:uiPriority w:val="62"/>
    <w:rsid w:val="002862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3Deffects2">
    <w:name w:val="Table 3D effects 2"/>
    <w:basedOn w:val="TableNormal"/>
    <w:rsid w:val="0087099F"/>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7099F"/>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87099F"/>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qFormat/>
    <w:rsid w:val="007708AE"/>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rsid w:val="00A72A52"/>
    <w:pPr>
      <w:tabs>
        <w:tab w:val="left" w:pos="480"/>
        <w:tab w:val="right" w:leader="dot" w:pos="9350"/>
      </w:tabs>
      <w:spacing w:after="100"/>
    </w:pPr>
    <w:rPr>
      <w:b/>
      <w:noProof/>
    </w:rPr>
  </w:style>
  <w:style w:type="paragraph" w:styleId="TOC2">
    <w:name w:val="toc 2"/>
    <w:basedOn w:val="Normal"/>
    <w:next w:val="Normal"/>
    <w:autoRedefine/>
    <w:uiPriority w:val="39"/>
    <w:rsid w:val="007708AE"/>
    <w:pPr>
      <w:spacing w:after="100"/>
      <w:ind w:left="240"/>
    </w:pPr>
  </w:style>
  <w:style w:type="paragraph" w:styleId="TOC3">
    <w:name w:val="toc 3"/>
    <w:basedOn w:val="Normal"/>
    <w:next w:val="Normal"/>
    <w:autoRedefine/>
    <w:uiPriority w:val="39"/>
    <w:rsid w:val="007708AE"/>
    <w:pPr>
      <w:spacing w:after="100"/>
      <w:ind w:left="480"/>
    </w:pPr>
  </w:style>
  <w:style w:type="paragraph" w:styleId="Quote">
    <w:name w:val="Quote"/>
    <w:basedOn w:val="Normal"/>
    <w:next w:val="Normal"/>
    <w:link w:val="QuoteChar"/>
    <w:uiPriority w:val="29"/>
    <w:qFormat/>
    <w:rsid w:val="006953AE"/>
    <w:rPr>
      <w:i/>
      <w:iCs/>
      <w:color w:val="000000" w:themeColor="text1"/>
    </w:rPr>
  </w:style>
  <w:style w:type="character" w:customStyle="1" w:styleId="QuoteChar">
    <w:name w:val="Quote Char"/>
    <w:basedOn w:val="DefaultParagraphFont"/>
    <w:link w:val="Quote"/>
    <w:uiPriority w:val="29"/>
    <w:rsid w:val="006953AE"/>
    <w:rPr>
      <w:rFonts w:ascii="Tw Cen MT" w:hAnsi="Tw Cen MT" w:cs="Arial"/>
      <w:i/>
      <w:iCs/>
      <w:color w:val="000000" w:themeColor="text1"/>
      <w:sz w:val="24"/>
      <w:szCs w:val="16"/>
    </w:rPr>
  </w:style>
  <w:style w:type="character" w:styleId="SubtleEmphasis">
    <w:name w:val="Subtle Emphasis"/>
    <w:basedOn w:val="DefaultParagraphFont"/>
    <w:uiPriority w:val="19"/>
    <w:qFormat/>
    <w:rsid w:val="00C42FC3"/>
    <w:rPr>
      <w:i/>
      <w:iCs/>
      <w:color w:val="808080" w:themeColor="text1" w:themeTint="7F"/>
    </w:rPr>
  </w:style>
  <w:style w:type="paragraph" w:customStyle="1" w:styleId="text">
    <w:name w:val="text"/>
    <w:basedOn w:val="Normal"/>
    <w:link w:val="textChar"/>
    <w:qFormat/>
    <w:rsid w:val="00FA30BD"/>
    <w:pPr>
      <w:spacing w:before="240" w:after="120" w:line="276" w:lineRule="auto"/>
      <w:jc w:val="both"/>
    </w:pPr>
    <w:rPr>
      <w:rFonts w:ascii="TimesNewRomanPS" w:eastAsia="Times New Roman" w:hAnsi="TimesNewRomanPS" w:cs="Times New Roman"/>
      <w:szCs w:val="24"/>
    </w:rPr>
  </w:style>
  <w:style w:type="character" w:customStyle="1" w:styleId="textChar">
    <w:name w:val="text Char"/>
    <w:basedOn w:val="DefaultParagraphFont"/>
    <w:link w:val="text"/>
    <w:rsid w:val="00FA30BD"/>
    <w:rPr>
      <w:rFonts w:ascii="TimesNewRomanPS" w:eastAsia="Times New Roman" w:hAnsi="TimesNewRomanPS" w:cs="Times New Roman"/>
      <w:sz w:val="24"/>
      <w:szCs w:val="24"/>
    </w:rPr>
  </w:style>
  <w:style w:type="paragraph" w:customStyle="1" w:styleId="heading">
    <w:name w:val="heading"/>
    <w:basedOn w:val="text"/>
    <w:link w:val="headingChar"/>
    <w:qFormat/>
    <w:rsid w:val="00F6620C"/>
    <w:pPr>
      <w:spacing w:before="199" w:after="0"/>
      <w:outlineLvl w:val="1"/>
    </w:pPr>
    <w:rPr>
      <w:rFonts w:ascii="Arial" w:hAnsi="Arial" w:cs="Arial"/>
      <w:b/>
    </w:rPr>
  </w:style>
  <w:style w:type="character" w:customStyle="1" w:styleId="headingChar">
    <w:name w:val="heading Char"/>
    <w:basedOn w:val="textChar"/>
    <w:link w:val="heading"/>
    <w:rsid w:val="00F6620C"/>
    <w:rPr>
      <w:rFonts w:ascii="Arial" w:eastAsia="Times New Roman" w:hAnsi="Arial" w:cs="Arial"/>
      <w:b/>
      <w:sz w:val="24"/>
      <w:szCs w:val="24"/>
    </w:rPr>
  </w:style>
  <w:style w:type="paragraph" w:styleId="TOC4">
    <w:name w:val="toc 4"/>
    <w:basedOn w:val="Normal"/>
    <w:next w:val="Normal"/>
    <w:autoRedefine/>
    <w:uiPriority w:val="39"/>
    <w:unhideWhenUsed/>
    <w:rsid w:val="002E05C3"/>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E05C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E05C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05C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E05C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E05C3"/>
    <w:pPr>
      <w:spacing w:after="100" w:line="276" w:lineRule="auto"/>
      <w:ind w:left="1760"/>
    </w:pPr>
    <w:rPr>
      <w:rFonts w:asciiTheme="minorHAnsi" w:eastAsiaTheme="minorEastAsia" w:hAnsiTheme="minorHAnsi" w:cstheme="minorBidi"/>
      <w:sz w:val="22"/>
      <w:szCs w:val="22"/>
    </w:rPr>
  </w:style>
  <w:style w:type="paragraph" w:styleId="NoSpacing">
    <w:name w:val="No Spacing"/>
    <w:uiPriority w:val="1"/>
    <w:qFormat/>
    <w:rsid w:val="0070720B"/>
    <w:pPr>
      <w:spacing w:after="0" w:line="240" w:lineRule="auto"/>
    </w:pPr>
    <w:rPr>
      <w:rFonts w:eastAsiaTheme="minorEastAsia"/>
    </w:rPr>
  </w:style>
  <w:style w:type="character" w:customStyle="1" w:styleId="apple-converted-space">
    <w:name w:val="apple-converted-space"/>
    <w:basedOn w:val="DefaultParagraphFont"/>
    <w:rsid w:val="00463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297">
      <w:bodyDiv w:val="1"/>
      <w:marLeft w:val="0"/>
      <w:marRight w:val="0"/>
      <w:marTop w:val="0"/>
      <w:marBottom w:val="0"/>
      <w:divBdr>
        <w:top w:val="none" w:sz="0" w:space="0" w:color="auto"/>
        <w:left w:val="none" w:sz="0" w:space="0" w:color="auto"/>
        <w:bottom w:val="none" w:sz="0" w:space="0" w:color="auto"/>
        <w:right w:val="none" w:sz="0" w:space="0" w:color="auto"/>
      </w:divBdr>
    </w:div>
    <w:div w:id="5832747">
      <w:bodyDiv w:val="1"/>
      <w:marLeft w:val="0"/>
      <w:marRight w:val="0"/>
      <w:marTop w:val="0"/>
      <w:marBottom w:val="0"/>
      <w:divBdr>
        <w:top w:val="none" w:sz="0" w:space="0" w:color="auto"/>
        <w:left w:val="none" w:sz="0" w:space="0" w:color="auto"/>
        <w:bottom w:val="none" w:sz="0" w:space="0" w:color="auto"/>
        <w:right w:val="none" w:sz="0" w:space="0" w:color="auto"/>
      </w:divBdr>
      <w:divsChild>
        <w:div w:id="468059987">
          <w:marLeft w:val="0"/>
          <w:marRight w:val="0"/>
          <w:marTop w:val="0"/>
          <w:marBottom w:val="0"/>
          <w:divBdr>
            <w:top w:val="none" w:sz="0" w:space="0" w:color="auto"/>
            <w:left w:val="none" w:sz="0" w:space="0" w:color="auto"/>
            <w:bottom w:val="none" w:sz="0" w:space="0" w:color="auto"/>
            <w:right w:val="none" w:sz="0" w:space="0" w:color="auto"/>
          </w:divBdr>
          <w:divsChild>
            <w:div w:id="367031345">
              <w:marLeft w:val="0"/>
              <w:marRight w:val="0"/>
              <w:marTop w:val="0"/>
              <w:marBottom w:val="0"/>
              <w:divBdr>
                <w:top w:val="none" w:sz="0" w:space="0" w:color="auto"/>
                <w:left w:val="single" w:sz="6" w:space="0" w:color="E2E2E2"/>
                <w:bottom w:val="none" w:sz="0" w:space="0" w:color="auto"/>
                <w:right w:val="single" w:sz="6" w:space="0" w:color="E2E2E2"/>
              </w:divBdr>
              <w:divsChild>
                <w:div w:id="1897669201">
                  <w:marLeft w:val="0"/>
                  <w:marRight w:val="0"/>
                  <w:marTop w:val="0"/>
                  <w:marBottom w:val="0"/>
                  <w:divBdr>
                    <w:top w:val="none" w:sz="0" w:space="0" w:color="auto"/>
                    <w:left w:val="none" w:sz="0" w:space="0" w:color="auto"/>
                    <w:bottom w:val="none" w:sz="0" w:space="0" w:color="auto"/>
                    <w:right w:val="none" w:sz="0" w:space="0" w:color="auto"/>
                  </w:divBdr>
                  <w:divsChild>
                    <w:div w:id="1484589483">
                      <w:marLeft w:val="0"/>
                      <w:marRight w:val="0"/>
                      <w:marTop w:val="0"/>
                      <w:marBottom w:val="0"/>
                      <w:divBdr>
                        <w:top w:val="none" w:sz="0" w:space="0" w:color="auto"/>
                        <w:left w:val="none" w:sz="0" w:space="0" w:color="auto"/>
                        <w:bottom w:val="none" w:sz="0" w:space="0" w:color="auto"/>
                        <w:right w:val="none" w:sz="0" w:space="0" w:color="auto"/>
                      </w:divBdr>
                      <w:divsChild>
                        <w:div w:id="534345362">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single" w:sz="2" w:space="6" w:color="CCCCCC"/>
                                <w:left w:val="single" w:sz="6" w:space="6" w:color="CCCCCC"/>
                                <w:bottom w:val="single" w:sz="6" w:space="6" w:color="CCCCCC"/>
                                <w:right w:val="single" w:sz="6" w:space="6" w:color="CCCCCC"/>
                              </w:divBdr>
                              <w:divsChild>
                                <w:div w:id="1816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9187">
      <w:bodyDiv w:val="1"/>
      <w:marLeft w:val="0"/>
      <w:marRight w:val="0"/>
      <w:marTop w:val="0"/>
      <w:marBottom w:val="0"/>
      <w:divBdr>
        <w:top w:val="none" w:sz="0" w:space="0" w:color="auto"/>
        <w:left w:val="none" w:sz="0" w:space="0" w:color="auto"/>
        <w:bottom w:val="none" w:sz="0" w:space="0" w:color="auto"/>
        <w:right w:val="none" w:sz="0" w:space="0" w:color="auto"/>
      </w:divBdr>
    </w:div>
    <w:div w:id="50731673">
      <w:bodyDiv w:val="1"/>
      <w:marLeft w:val="0"/>
      <w:marRight w:val="0"/>
      <w:marTop w:val="0"/>
      <w:marBottom w:val="0"/>
      <w:divBdr>
        <w:top w:val="none" w:sz="0" w:space="0" w:color="auto"/>
        <w:left w:val="none" w:sz="0" w:space="0" w:color="auto"/>
        <w:bottom w:val="none" w:sz="0" w:space="0" w:color="auto"/>
        <w:right w:val="none" w:sz="0" w:space="0" w:color="auto"/>
      </w:divBdr>
      <w:divsChild>
        <w:div w:id="1079323851">
          <w:marLeft w:val="0"/>
          <w:marRight w:val="0"/>
          <w:marTop w:val="0"/>
          <w:marBottom w:val="0"/>
          <w:divBdr>
            <w:top w:val="none" w:sz="0" w:space="0" w:color="auto"/>
            <w:left w:val="none" w:sz="0" w:space="0" w:color="auto"/>
            <w:bottom w:val="none" w:sz="0" w:space="0" w:color="auto"/>
            <w:right w:val="none" w:sz="0" w:space="0" w:color="auto"/>
          </w:divBdr>
          <w:divsChild>
            <w:div w:id="625936186">
              <w:marLeft w:val="0"/>
              <w:marRight w:val="0"/>
              <w:marTop w:val="0"/>
              <w:marBottom w:val="0"/>
              <w:divBdr>
                <w:top w:val="none" w:sz="0" w:space="0" w:color="auto"/>
                <w:left w:val="none" w:sz="0" w:space="0" w:color="auto"/>
                <w:bottom w:val="none" w:sz="0" w:space="0" w:color="auto"/>
                <w:right w:val="none" w:sz="0" w:space="0" w:color="auto"/>
              </w:divBdr>
              <w:divsChild>
                <w:div w:id="832338320">
                  <w:marLeft w:val="0"/>
                  <w:marRight w:val="0"/>
                  <w:marTop w:val="0"/>
                  <w:marBottom w:val="0"/>
                  <w:divBdr>
                    <w:top w:val="none" w:sz="0" w:space="0" w:color="auto"/>
                    <w:left w:val="none" w:sz="0" w:space="0" w:color="auto"/>
                    <w:bottom w:val="none" w:sz="0" w:space="0" w:color="auto"/>
                    <w:right w:val="none" w:sz="0" w:space="0" w:color="auto"/>
                  </w:divBdr>
                  <w:divsChild>
                    <w:div w:id="405806850">
                      <w:marLeft w:val="0"/>
                      <w:marRight w:val="0"/>
                      <w:marTop w:val="0"/>
                      <w:marBottom w:val="0"/>
                      <w:divBdr>
                        <w:top w:val="none" w:sz="0" w:space="0" w:color="auto"/>
                        <w:left w:val="none" w:sz="0" w:space="0" w:color="auto"/>
                        <w:bottom w:val="none" w:sz="0" w:space="0" w:color="auto"/>
                        <w:right w:val="none" w:sz="0" w:space="0" w:color="auto"/>
                      </w:divBdr>
                      <w:divsChild>
                        <w:div w:id="1090009096">
                          <w:marLeft w:val="0"/>
                          <w:marRight w:val="0"/>
                          <w:marTop w:val="0"/>
                          <w:marBottom w:val="0"/>
                          <w:divBdr>
                            <w:top w:val="none" w:sz="0" w:space="0" w:color="auto"/>
                            <w:left w:val="none" w:sz="0" w:space="0" w:color="auto"/>
                            <w:bottom w:val="none" w:sz="0" w:space="0" w:color="auto"/>
                            <w:right w:val="none" w:sz="0" w:space="0" w:color="auto"/>
                          </w:divBdr>
                          <w:divsChild>
                            <w:div w:id="1534613662">
                              <w:marLeft w:val="0"/>
                              <w:marRight w:val="0"/>
                              <w:marTop w:val="0"/>
                              <w:marBottom w:val="0"/>
                              <w:divBdr>
                                <w:top w:val="none" w:sz="0" w:space="0" w:color="auto"/>
                                <w:left w:val="none" w:sz="0" w:space="0" w:color="auto"/>
                                <w:bottom w:val="none" w:sz="0" w:space="0" w:color="auto"/>
                                <w:right w:val="none" w:sz="0" w:space="0" w:color="auto"/>
                              </w:divBdr>
                              <w:divsChild>
                                <w:div w:id="251208232">
                                  <w:marLeft w:val="0"/>
                                  <w:marRight w:val="0"/>
                                  <w:marTop w:val="0"/>
                                  <w:marBottom w:val="0"/>
                                  <w:divBdr>
                                    <w:top w:val="none" w:sz="0" w:space="0" w:color="auto"/>
                                    <w:left w:val="none" w:sz="0" w:space="0" w:color="auto"/>
                                    <w:bottom w:val="none" w:sz="0" w:space="0" w:color="auto"/>
                                    <w:right w:val="none" w:sz="0" w:space="0" w:color="auto"/>
                                  </w:divBdr>
                                  <w:divsChild>
                                    <w:div w:id="543643254">
                                      <w:marLeft w:val="0"/>
                                      <w:marRight w:val="0"/>
                                      <w:marTop w:val="0"/>
                                      <w:marBottom w:val="0"/>
                                      <w:divBdr>
                                        <w:top w:val="none" w:sz="0" w:space="0" w:color="auto"/>
                                        <w:left w:val="none" w:sz="0" w:space="0" w:color="auto"/>
                                        <w:bottom w:val="none" w:sz="0" w:space="0" w:color="auto"/>
                                        <w:right w:val="none" w:sz="0" w:space="0" w:color="auto"/>
                                      </w:divBdr>
                                      <w:divsChild>
                                        <w:div w:id="228196866">
                                          <w:marLeft w:val="0"/>
                                          <w:marRight w:val="0"/>
                                          <w:marTop w:val="0"/>
                                          <w:marBottom w:val="0"/>
                                          <w:divBdr>
                                            <w:top w:val="single" w:sz="12" w:space="0" w:color="FFFFFF"/>
                                            <w:left w:val="single" w:sz="2" w:space="0" w:color="FFFFFF"/>
                                            <w:bottom w:val="single" w:sz="2" w:space="0" w:color="FFFFFF"/>
                                            <w:right w:val="single" w:sz="12" w:space="0" w:color="FFFFFF"/>
                                          </w:divBdr>
                                          <w:divsChild>
                                            <w:div w:id="1356346919">
                                              <w:marLeft w:val="0"/>
                                              <w:marRight w:val="0"/>
                                              <w:marTop w:val="450"/>
                                              <w:marBottom w:val="0"/>
                                              <w:divBdr>
                                                <w:top w:val="none" w:sz="0" w:space="0" w:color="auto"/>
                                                <w:left w:val="none" w:sz="0" w:space="0" w:color="auto"/>
                                                <w:bottom w:val="none" w:sz="0" w:space="0" w:color="auto"/>
                                                <w:right w:val="none" w:sz="0" w:space="0" w:color="auto"/>
                                              </w:divBdr>
                                              <w:divsChild>
                                                <w:div w:id="1980959366">
                                                  <w:marLeft w:val="0"/>
                                                  <w:marRight w:val="0"/>
                                                  <w:marTop w:val="0"/>
                                                  <w:marBottom w:val="0"/>
                                                  <w:divBdr>
                                                    <w:top w:val="none" w:sz="0" w:space="0" w:color="auto"/>
                                                    <w:left w:val="none" w:sz="0" w:space="0" w:color="auto"/>
                                                    <w:bottom w:val="none" w:sz="0" w:space="0" w:color="auto"/>
                                                    <w:right w:val="none" w:sz="0" w:space="0" w:color="auto"/>
                                                  </w:divBdr>
                                                  <w:divsChild>
                                                    <w:div w:id="1622303354">
                                                      <w:marLeft w:val="0"/>
                                                      <w:marRight w:val="0"/>
                                                      <w:marTop w:val="0"/>
                                                      <w:marBottom w:val="0"/>
                                                      <w:divBdr>
                                                        <w:top w:val="none" w:sz="0" w:space="0" w:color="auto"/>
                                                        <w:left w:val="none" w:sz="0" w:space="0" w:color="auto"/>
                                                        <w:bottom w:val="none" w:sz="0" w:space="0" w:color="auto"/>
                                                        <w:right w:val="none" w:sz="0" w:space="0" w:color="auto"/>
                                                      </w:divBdr>
                                                      <w:divsChild>
                                                        <w:div w:id="1097334830">
                                                          <w:marLeft w:val="0"/>
                                                          <w:marRight w:val="0"/>
                                                          <w:marTop w:val="0"/>
                                                          <w:marBottom w:val="0"/>
                                                          <w:divBdr>
                                                            <w:top w:val="none" w:sz="0" w:space="0" w:color="auto"/>
                                                            <w:left w:val="none" w:sz="0" w:space="0" w:color="auto"/>
                                                            <w:bottom w:val="none" w:sz="0" w:space="0" w:color="auto"/>
                                                            <w:right w:val="none" w:sz="0" w:space="0" w:color="auto"/>
                                                          </w:divBdr>
                                                          <w:divsChild>
                                                            <w:div w:id="426116328">
                                                              <w:marLeft w:val="0"/>
                                                              <w:marRight w:val="0"/>
                                                              <w:marTop w:val="0"/>
                                                              <w:marBottom w:val="0"/>
                                                              <w:divBdr>
                                                                <w:top w:val="none" w:sz="0" w:space="0" w:color="auto"/>
                                                                <w:left w:val="none" w:sz="0" w:space="0" w:color="auto"/>
                                                                <w:bottom w:val="none" w:sz="0" w:space="0" w:color="auto"/>
                                                                <w:right w:val="none" w:sz="0" w:space="0" w:color="auto"/>
                                                              </w:divBdr>
                                                              <w:divsChild>
                                                                <w:div w:id="353192058">
                                                                  <w:marLeft w:val="0"/>
                                                                  <w:marRight w:val="0"/>
                                                                  <w:marTop w:val="0"/>
                                                                  <w:marBottom w:val="0"/>
                                                                  <w:divBdr>
                                                                    <w:top w:val="none" w:sz="0" w:space="0" w:color="auto"/>
                                                                    <w:left w:val="none" w:sz="0" w:space="0" w:color="auto"/>
                                                                    <w:bottom w:val="none" w:sz="0" w:space="0" w:color="auto"/>
                                                                    <w:right w:val="none" w:sz="0" w:space="0" w:color="auto"/>
                                                                  </w:divBdr>
                                                                  <w:divsChild>
                                                                    <w:div w:id="1293438618">
                                                                      <w:marLeft w:val="0"/>
                                                                      <w:marRight w:val="0"/>
                                                                      <w:marTop w:val="0"/>
                                                                      <w:marBottom w:val="0"/>
                                                                      <w:divBdr>
                                                                        <w:top w:val="none" w:sz="0" w:space="0" w:color="auto"/>
                                                                        <w:left w:val="none" w:sz="0" w:space="0" w:color="auto"/>
                                                                        <w:bottom w:val="none" w:sz="0" w:space="0" w:color="auto"/>
                                                                        <w:right w:val="none" w:sz="0" w:space="0" w:color="auto"/>
                                                                      </w:divBdr>
                                                                      <w:divsChild>
                                                                        <w:div w:id="1691107478">
                                                                          <w:marLeft w:val="0"/>
                                                                          <w:marRight w:val="0"/>
                                                                          <w:marTop w:val="0"/>
                                                                          <w:marBottom w:val="0"/>
                                                                          <w:divBdr>
                                                                            <w:top w:val="none" w:sz="0" w:space="0" w:color="auto"/>
                                                                            <w:left w:val="none" w:sz="0" w:space="0" w:color="auto"/>
                                                                            <w:bottom w:val="none" w:sz="0" w:space="0" w:color="auto"/>
                                                                            <w:right w:val="none" w:sz="0" w:space="0" w:color="auto"/>
                                                                          </w:divBdr>
                                                                          <w:divsChild>
                                                                            <w:div w:id="18088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63641">
      <w:bodyDiv w:val="1"/>
      <w:marLeft w:val="0"/>
      <w:marRight w:val="0"/>
      <w:marTop w:val="0"/>
      <w:marBottom w:val="0"/>
      <w:divBdr>
        <w:top w:val="none" w:sz="0" w:space="0" w:color="auto"/>
        <w:left w:val="none" w:sz="0" w:space="0" w:color="auto"/>
        <w:bottom w:val="none" w:sz="0" w:space="0" w:color="auto"/>
        <w:right w:val="none" w:sz="0" w:space="0" w:color="auto"/>
      </w:divBdr>
    </w:div>
    <w:div w:id="149564470">
      <w:bodyDiv w:val="1"/>
      <w:marLeft w:val="0"/>
      <w:marRight w:val="0"/>
      <w:marTop w:val="0"/>
      <w:marBottom w:val="0"/>
      <w:divBdr>
        <w:top w:val="none" w:sz="0" w:space="0" w:color="auto"/>
        <w:left w:val="none" w:sz="0" w:space="0" w:color="auto"/>
        <w:bottom w:val="none" w:sz="0" w:space="0" w:color="auto"/>
        <w:right w:val="none" w:sz="0" w:space="0" w:color="auto"/>
      </w:divBdr>
    </w:div>
    <w:div w:id="280579991">
      <w:bodyDiv w:val="1"/>
      <w:marLeft w:val="0"/>
      <w:marRight w:val="0"/>
      <w:marTop w:val="0"/>
      <w:marBottom w:val="0"/>
      <w:divBdr>
        <w:top w:val="none" w:sz="0" w:space="0" w:color="auto"/>
        <w:left w:val="none" w:sz="0" w:space="0" w:color="auto"/>
        <w:bottom w:val="none" w:sz="0" w:space="0" w:color="auto"/>
        <w:right w:val="none" w:sz="0" w:space="0" w:color="auto"/>
      </w:divBdr>
    </w:div>
    <w:div w:id="374279511">
      <w:bodyDiv w:val="1"/>
      <w:marLeft w:val="0"/>
      <w:marRight w:val="0"/>
      <w:marTop w:val="0"/>
      <w:marBottom w:val="0"/>
      <w:divBdr>
        <w:top w:val="none" w:sz="0" w:space="0" w:color="auto"/>
        <w:left w:val="none" w:sz="0" w:space="0" w:color="auto"/>
        <w:bottom w:val="none" w:sz="0" w:space="0" w:color="auto"/>
        <w:right w:val="none" w:sz="0" w:space="0" w:color="auto"/>
      </w:divBdr>
    </w:div>
    <w:div w:id="387342474">
      <w:bodyDiv w:val="1"/>
      <w:marLeft w:val="0"/>
      <w:marRight w:val="0"/>
      <w:marTop w:val="0"/>
      <w:marBottom w:val="0"/>
      <w:divBdr>
        <w:top w:val="none" w:sz="0" w:space="0" w:color="auto"/>
        <w:left w:val="none" w:sz="0" w:space="0" w:color="auto"/>
        <w:bottom w:val="none" w:sz="0" w:space="0" w:color="auto"/>
        <w:right w:val="none" w:sz="0" w:space="0" w:color="auto"/>
      </w:divBdr>
    </w:div>
    <w:div w:id="425923440">
      <w:bodyDiv w:val="1"/>
      <w:marLeft w:val="0"/>
      <w:marRight w:val="0"/>
      <w:marTop w:val="0"/>
      <w:marBottom w:val="0"/>
      <w:divBdr>
        <w:top w:val="none" w:sz="0" w:space="0" w:color="auto"/>
        <w:left w:val="none" w:sz="0" w:space="0" w:color="auto"/>
        <w:bottom w:val="none" w:sz="0" w:space="0" w:color="auto"/>
        <w:right w:val="none" w:sz="0" w:space="0" w:color="auto"/>
      </w:divBdr>
      <w:divsChild>
        <w:div w:id="1551384861">
          <w:marLeft w:val="0"/>
          <w:marRight w:val="0"/>
          <w:marTop w:val="0"/>
          <w:marBottom w:val="0"/>
          <w:divBdr>
            <w:top w:val="none" w:sz="0" w:space="0" w:color="auto"/>
            <w:left w:val="none" w:sz="0" w:space="0" w:color="auto"/>
            <w:bottom w:val="none" w:sz="0" w:space="0" w:color="auto"/>
            <w:right w:val="none" w:sz="0" w:space="0" w:color="auto"/>
          </w:divBdr>
          <w:divsChild>
            <w:div w:id="1293242813">
              <w:marLeft w:val="0"/>
              <w:marRight w:val="0"/>
              <w:marTop w:val="0"/>
              <w:marBottom w:val="0"/>
              <w:divBdr>
                <w:top w:val="none" w:sz="0" w:space="0" w:color="auto"/>
                <w:left w:val="single" w:sz="6" w:space="0" w:color="E2E2E2"/>
                <w:bottom w:val="none" w:sz="0" w:space="0" w:color="auto"/>
                <w:right w:val="single" w:sz="6" w:space="0" w:color="E2E2E2"/>
              </w:divBdr>
              <w:divsChild>
                <w:div w:id="1876651565">
                  <w:marLeft w:val="0"/>
                  <w:marRight w:val="0"/>
                  <w:marTop w:val="0"/>
                  <w:marBottom w:val="0"/>
                  <w:divBdr>
                    <w:top w:val="none" w:sz="0" w:space="0" w:color="auto"/>
                    <w:left w:val="none" w:sz="0" w:space="0" w:color="auto"/>
                    <w:bottom w:val="none" w:sz="0" w:space="0" w:color="auto"/>
                    <w:right w:val="none" w:sz="0" w:space="0" w:color="auto"/>
                  </w:divBdr>
                  <w:divsChild>
                    <w:div w:id="10853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12563">
      <w:bodyDiv w:val="1"/>
      <w:marLeft w:val="0"/>
      <w:marRight w:val="0"/>
      <w:marTop w:val="0"/>
      <w:marBottom w:val="0"/>
      <w:divBdr>
        <w:top w:val="none" w:sz="0" w:space="0" w:color="auto"/>
        <w:left w:val="none" w:sz="0" w:space="0" w:color="auto"/>
        <w:bottom w:val="none" w:sz="0" w:space="0" w:color="auto"/>
        <w:right w:val="none" w:sz="0" w:space="0" w:color="auto"/>
      </w:divBdr>
    </w:div>
    <w:div w:id="475680592">
      <w:bodyDiv w:val="1"/>
      <w:marLeft w:val="0"/>
      <w:marRight w:val="0"/>
      <w:marTop w:val="0"/>
      <w:marBottom w:val="0"/>
      <w:divBdr>
        <w:top w:val="none" w:sz="0" w:space="0" w:color="auto"/>
        <w:left w:val="none" w:sz="0" w:space="0" w:color="auto"/>
        <w:bottom w:val="none" w:sz="0" w:space="0" w:color="auto"/>
        <w:right w:val="none" w:sz="0" w:space="0" w:color="auto"/>
      </w:divBdr>
    </w:div>
    <w:div w:id="506986755">
      <w:bodyDiv w:val="1"/>
      <w:marLeft w:val="0"/>
      <w:marRight w:val="0"/>
      <w:marTop w:val="0"/>
      <w:marBottom w:val="0"/>
      <w:divBdr>
        <w:top w:val="none" w:sz="0" w:space="0" w:color="auto"/>
        <w:left w:val="none" w:sz="0" w:space="0" w:color="auto"/>
        <w:bottom w:val="none" w:sz="0" w:space="0" w:color="auto"/>
        <w:right w:val="none" w:sz="0" w:space="0" w:color="auto"/>
      </w:divBdr>
    </w:div>
    <w:div w:id="530920737">
      <w:bodyDiv w:val="1"/>
      <w:marLeft w:val="0"/>
      <w:marRight w:val="0"/>
      <w:marTop w:val="0"/>
      <w:marBottom w:val="0"/>
      <w:divBdr>
        <w:top w:val="none" w:sz="0" w:space="0" w:color="auto"/>
        <w:left w:val="none" w:sz="0" w:space="0" w:color="auto"/>
        <w:bottom w:val="none" w:sz="0" w:space="0" w:color="auto"/>
        <w:right w:val="none" w:sz="0" w:space="0" w:color="auto"/>
      </w:divBdr>
    </w:div>
    <w:div w:id="535851488">
      <w:bodyDiv w:val="1"/>
      <w:marLeft w:val="0"/>
      <w:marRight w:val="0"/>
      <w:marTop w:val="0"/>
      <w:marBottom w:val="0"/>
      <w:divBdr>
        <w:top w:val="none" w:sz="0" w:space="0" w:color="auto"/>
        <w:left w:val="none" w:sz="0" w:space="0" w:color="auto"/>
        <w:bottom w:val="none" w:sz="0" w:space="0" w:color="auto"/>
        <w:right w:val="none" w:sz="0" w:space="0" w:color="auto"/>
      </w:divBdr>
    </w:div>
    <w:div w:id="581647439">
      <w:bodyDiv w:val="1"/>
      <w:marLeft w:val="0"/>
      <w:marRight w:val="0"/>
      <w:marTop w:val="0"/>
      <w:marBottom w:val="0"/>
      <w:divBdr>
        <w:top w:val="none" w:sz="0" w:space="0" w:color="auto"/>
        <w:left w:val="none" w:sz="0" w:space="0" w:color="auto"/>
        <w:bottom w:val="none" w:sz="0" w:space="0" w:color="auto"/>
        <w:right w:val="none" w:sz="0" w:space="0" w:color="auto"/>
      </w:divBdr>
    </w:div>
    <w:div w:id="683435981">
      <w:bodyDiv w:val="1"/>
      <w:marLeft w:val="0"/>
      <w:marRight w:val="0"/>
      <w:marTop w:val="0"/>
      <w:marBottom w:val="0"/>
      <w:divBdr>
        <w:top w:val="none" w:sz="0" w:space="0" w:color="auto"/>
        <w:left w:val="none" w:sz="0" w:space="0" w:color="auto"/>
        <w:bottom w:val="none" w:sz="0" w:space="0" w:color="auto"/>
        <w:right w:val="none" w:sz="0" w:space="0" w:color="auto"/>
      </w:divBdr>
    </w:div>
    <w:div w:id="782312465">
      <w:bodyDiv w:val="1"/>
      <w:marLeft w:val="0"/>
      <w:marRight w:val="0"/>
      <w:marTop w:val="0"/>
      <w:marBottom w:val="0"/>
      <w:divBdr>
        <w:top w:val="none" w:sz="0" w:space="0" w:color="auto"/>
        <w:left w:val="none" w:sz="0" w:space="0" w:color="auto"/>
        <w:bottom w:val="none" w:sz="0" w:space="0" w:color="auto"/>
        <w:right w:val="none" w:sz="0" w:space="0" w:color="auto"/>
      </w:divBdr>
    </w:div>
    <w:div w:id="813374495">
      <w:bodyDiv w:val="1"/>
      <w:marLeft w:val="0"/>
      <w:marRight w:val="0"/>
      <w:marTop w:val="0"/>
      <w:marBottom w:val="0"/>
      <w:divBdr>
        <w:top w:val="none" w:sz="0" w:space="0" w:color="auto"/>
        <w:left w:val="none" w:sz="0" w:space="0" w:color="auto"/>
        <w:bottom w:val="none" w:sz="0" w:space="0" w:color="auto"/>
        <w:right w:val="none" w:sz="0" w:space="0" w:color="auto"/>
      </w:divBdr>
      <w:divsChild>
        <w:div w:id="986864641">
          <w:marLeft w:val="0"/>
          <w:marRight w:val="0"/>
          <w:marTop w:val="0"/>
          <w:marBottom w:val="0"/>
          <w:divBdr>
            <w:top w:val="none" w:sz="0" w:space="0" w:color="auto"/>
            <w:left w:val="none" w:sz="0" w:space="0" w:color="auto"/>
            <w:bottom w:val="none" w:sz="0" w:space="0" w:color="auto"/>
            <w:right w:val="none" w:sz="0" w:space="0" w:color="auto"/>
          </w:divBdr>
          <w:divsChild>
            <w:div w:id="326136194">
              <w:marLeft w:val="0"/>
              <w:marRight w:val="0"/>
              <w:marTop w:val="0"/>
              <w:marBottom w:val="0"/>
              <w:divBdr>
                <w:top w:val="none" w:sz="0" w:space="0" w:color="auto"/>
                <w:left w:val="single" w:sz="6" w:space="0" w:color="E2E2E2"/>
                <w:bottom w:val="none" w:sz="0" w:space="0" w:color="auto"/>
                <w:right w:val="single" w:sz="6" w:space="0" w:color="E2E2E2"/>
              </w:divBdr>
              <w:divsChild>
                <w:div w:id="2071147207">
                  <w:marLeft w:val="0"/>
                  <w:marRight w:val="0"/>
                  <w:marTop w:val="0"/>
                  <w:marBottom w:val="0"/>
                  <w:divBdr>
                    <w:top w:val="none" w:sz="0" w:space="0" w:color="auto"/>
                    <w:left w:val="none" w:sz="0" w:space="0" w:color="auto"/>
                    <w:bottom w:val="none" w:sz="0" w:space="0" w:color="auto"/>
                    <w:right w:val="none" w:sz="0" w:space="0" w:color="auto"/>
                  </w:divBdr>
                  <w:divsChild>
                    <w:div w:id="14870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899288">
      <w:bodyDiv w:val="1"/>
      <w:marLeft w:val="0"/>
      <w:marRight w:val="0"/>
      <w:marTop w:val="0"/>
      <w:marBottom w:val="0"/>
      <w:divBdr>
        <w:top w:val="none" w:sz="0" w:space="0" w:color="auto"/>
        <w:left w:val="none" w:sz="0" w:space="0" w:color="auto"/>
        <w:bottom w:val="none" w:sz="0" w:space="0" w:color="auto"/>
        <w:right w:val="none" w:sz="0" w:space="0" w:color="auto"/>
      </w:divBdr>
      <w:divsChild>
        <w:div w:id="255677167">
          <w:marLeft w:val="0"/>
          <w:marRight w:val="0"/>
          <w:marTop w:val="0"/>
          <w:marBottom w:val="0"/>
          <w:divBdr>
            <w:top w:val="none" w:sz="0" w:space="0" w:color="auto"/>
            <w:left w:val="none" w:sz="0" w:space="0" w:color="auto"/>
            <w:bottom w:val="none" w:sz="0" w:space="0" w:color="auto"/>
            <w:right w:val="none" w:sz="0" w:space="0" w:color="auto"/>
          </w:divBdr>
          <w:divsChild>
            <w:div w:id="739331491">
              <w:marLeft w:val="0"/>
              <w:marRight w:val="0"/>
              <w:marTop w:val="0"/>
              <w:marBottom w:val="0"/>
              <w:divBdr>
                <w:top w:val="none" w:sz="0" w:space="0" w:color="auto"/>
                <w:left w:val="single" w:sz="6" w:space="0" w:color="E2E2E2"/>
                <w:bottom w:val="none" w:sz="0" w:space="0" w:color="auto"/>
                <w:right w:val="single" w:sz="6" w:space="0" w:color="E2E2E2"/>
              </w:divBdr>
              <w:divsChild>
                <w:div w:id="1705671556">
                  <w:marLeft w:val="0"/>
                  <w:marRight w:val="0"/>
                  <w:marTop w:val="0"/>
                  <w:marBottom w:val="0"/>
                  <w:divBdr>
                    <w:top w:val="none" w:sz="0" w:space="0" w:color="auto"/>
                    <w:left w:val="none" w:sz="0" w:space="0" w:color="auto"/>
                    <w:bottom w:val="none" w:sz="0" w:space="0" w:color="auto"/>
                    <w:right w:val="none" w:sz="0" w:space="0" w:color="auto"/>
                  </w:divBdr>
                  <w:divsChild>
                    <w:div w:id="8414461">
                      <w:marLeft w:val="0"/>
                      <w:marRight w:val="0"/>
                      <w:marTop w:val="0"/>
                      <w:marBottom w:val="0"/>
                      <w:divBdr>
                        <w:top w:val="none" w:sz="0" w:space="0" w:color="auto"/>
                        <w:left w:val="none" w:sz="0" w:space="0" w:color="auto"/>
                        <w:bottom w:val="none" w:sz="0" w:space="0" w:color="auto"/>
                        <w:right w:val="none" w:sz="0" w:space="0" w:color="auto"/>
                      </w:divBdr>
                      <w:divsChild>
                        <w:div w:id="1075931043">
                          <w:marLeft w:val="0"/>
                          <w:marRight w:val="0"/>
                          <w:marTop w:val="0"/>
                          <w:marBottom w:val="0"/>
                          <w:divBdr>
                            <w:top w:val="none" w:sz="0" w:space="0" w:color="auto"/>
                            <w:left w:val="none" w:sz="0" w:space="0" w:color="auto"/>
                            <w:bottom w:val="none" w:sz="0" w:space="0" w:color="auto"/>
                            <w:right w:val="none" w:sz="0" w:space="0" w:color="auto"/>
                          </w:divBdr>
                          <w:divsChild>
                            <w:div w:id="1560365329">
                              <w:marLeft w:val="0"/>
                              <w:marRight w:val="0"/>
                              <w:marTop w:val="0"/>
                              <w:marBottom w:val="0"/>
                              <w:divBdr>
                                <w:top w:val="single" w:sz="2" w:space="6" w:color="CCCCCC"/>
                                <w:left w:val="single" w:sz="6" w:space="6" w:color="CCCCCC"/>
                                <w:bottom w:val="single" w:sz="6" w:space="6" w:color="CCCCCC"/>
                                <w:right w:val="single" w:sz="6" w:space="6" w:color="CCCCCC"/>
                              </w:divBdr>
                              <w:divsChild>
                                <w:div w:id="16164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732672">
      <w:bodyDiv w:val="1"/>
      <w:marLeft w:val="0"/>
      <w:marRight w:val="0"/>
      <w:marTop w:val="0"/>
      <w:marBottom w:val="0"/>
      <w:divBdr>
        <w:top w:val="none" w:sz="0" w:space="0" w:color="auto"/>
        <w:left w:val="none" w:sz="0" w:space="0" w:color="auto"/>
        <w:bottom w:val="none" w:sz="0" w:space="0" w:color="auto"/>
        <w:right w:val="none" w:sz="0" w:space="0" w:color="auto"/>
      </w:divBdr>
    </w:div>
    <w:div w:id="836190271">
      <w:bodyDiv w:val="1"/>
      <w:marLeft w:val="0"/>
      <w:marRight w:val="0"/>
      <w:marTop w:val="0"/>
      <w:marBottom w:val="0"/>
      <w:divBdr>
        <w:top w:val="none" w:sz="0" w:space="0" w:color="auto"/>
        <w:left w:val="none" w:sz="0" w:space="0" w:color="auto"/>
        <w:bottom w:val="none" w:sz="0" w:space="0" w:color="auto"/>
        <w:right w:val="none" w:sz="0" w:space="0" w:color="auto"/>
      </w:divBdr>
    </w:div>
    <w:div w:id="981426377">
      <w:bodyDiv w:val="1"/>
      <w:marLeft w:val="0"/>
      <w:marRight w:val="0"/>
      <w:marTop w:val="0"/>
      <w:marBottom w:val="0"/>
      <w:divBdr>
        <w:top w:val="none" w:sz="0" w:space="0" w:color="auto"/>
        <w:left w:val="none" w:sz="0" w:space="0" w:color="auto"/>
        <w:bottom w:val="none" w:sz="0" w:space="0" w:color="auto"/>
        <w:right w:val="none" w:sz="0" w:space="0" w:color="auto"/>
      </w:divBdr>
    </w:div>
    <w:div w:id="994718740">
      <w:bodyDiv w:val="1"/>
      <w:marLeft w:val="0"/>
      <w:marRight w:val="0"/>
      <w:marTop w:val="0"/>
      <w:marBottom w:val="0"/>
      <w:divBdr>
        <w:top w:val="none" w:sz="0" w:space="0" w:color="auto"/>
        <w:left w:val="none" w:sz="0" w:space="0" w:color="auto"/>
        <w:bottom w:val="none" w:sz="0" w:space="0" w:color="auto"/>
        <w:right w:val="none" w:sz="0" w:space="0" w:color="auto"/>
      </w:divBdr>
    </w:div>
    <w:div w:id="1036078645">
      <w:bodyDiv w:val="1"/>
      <w:marLeft w:val="0"/>
      <w:marRight w:val="0"/>
      <w:marTop w:val="0"/>
      <w:marBottom w:val="0"/>
      <w:divBdr>
        <w:top w:val="none" w:sz="0" w:space="0" w:color="auto"/>
        <w:left w:val="none" w:sz="0" w:space="0" w:color="auto"/>
        <w:bottom w:val="none" w:sz="0" w:space="0" w:color="auto"/>
        <w:right w:val="none" w:sz="0" w:space="0" w:color="auto"/>
      </w:divBdr>
      <w:divsChild>
        <w:div w:id="1766611152">
          <w:marLeft w:val="0"/>
          <w:marRight w:val="0"/>
          <w:marTop w:val="0"/>
          <w:marBottom w:val="0"/>
          <w:divBdr>
            <w:top w:val="none" w:sz="0" w:space="0" w:color="auto"/>
            <w:left w:val="none" w:sz="0" w:space="0" w:color="auto"/>
            <w:bottom w:val="none" w:sz="0" w:space="0" w:color="auto"/>
            <w:right w:val="none" w:sz="0" w:space="0" w:color="auto"/>
          </w:divBdr>
          <w:divsChild>
            <w:div w:id="1015107249">
              <w:marLeft w:val="0"/>
              <w:marRight w:val="0"/>
              <w:marTop w:val="0"/>
              <w:marBottom w:val="0"/>
              <w:divBdr>
                <w:top w:val="none" w:sz="0" w:space="0" w:color="auto"/>
                <w:left w:val="single" w:sz="6" w:space="0" w:color="E2E2E2"/>
                <w:bottom w:val="none" w:sz="0" w:space="0" w:color="auto"/>
                <w:right w:val="single" w:sz="6" w:space="0" w:color="E2E2E2"/>
              </w:divBdr>
              <w:divsChild>
                <w:div w:id="712340246">
                  <w:marLeft w:val="0"/>
                  <w:marRight w:val="0"/>
                  <w:marTop w:val="0"/>
                  <w:marBottom w:val="0"/>
                  <w:divBdr>
                    <w:top w:val="none" w:sz="0" w:space="0" w:color="auto"/>
                    <w:left w:val="none" w:sz="0" w:space="0" w:color="auto"/>
                    <w:bottom w:val="none" w:sz="0" w:space="0" w:color="auto"/>
                    <w:right w:val="none" w:sz="0" w:space="0" w:color="auto"/>
                  </w:divBdr>
                  <w:divsChild>
                    <w:div w:id="1917127378">
                      <w:marLeft w:val="0"/>
                      <w:marRight w:val="0"/>
                      <w:marTop w:val="0"/>
                      <w:marBottom w:val="0"/>
                      <w:divBdr>
                        <w:top w:val="none" w:sz="0" w:space="0" w:color="auto"/>
                        <w:left w:val="none" w:sz="0" w:space="0" w:color="auto"/>
                        <w:bottom w:val="none" w:sz="0" w:space="0" w:color="auto"/>
                        <w:right w:val="none" w:sz="0" w:space="0" w:color="auto"/>
                      </w:divBdr>
                      <w:divsChild>
                        <w:div w:id="490022807">
                          <w:marLeft w:val="0"/>
                          <w:marRight w:val="0"/>
                          <w:marTop w:val="0"/>
                          <w:marBottom w:val="0"/>
                          <w:divBdr>
                            <w:top w:val="none" w:sz="0" w:space="0" w:color="auto"/>
                            <w:left w:val="none" w:sz="0" w:space="0" w:color="auto"/>
                            <w:bottom w:val="none" w:sz="0" w:space="0" w:color="auto"/>
                            <w:right w:val="none" w:sz="0" w:space="0" w:color="auto"/>
                          </w:divBdr>
                          <w:divsChild>
                            <w:div w:id="130559183">
                              <w:marLeft w:val="0"/>
                              <w:marRight w:val="0"/>
                              <w:marTop w:val="0"/>
                              <w:marBottom w:val="0"/>
                              <w:divBdr>
                                <w:top w:val="single" w:sz="2" w:space="6" w:color="CCCCCC"/>
                                <w:left w:val="single" w:sz="6" w:space="6" w:color="CCCCCC"/>
                                <w:bottom w:val="single" w:sz="6" w:space="6" w:color="CCCCCC"/>
                                <w:right w:val="single" w:sz="6" w:space="6" w:color="CCCCCC"/>
                              </w:divBdr>
                              <w:divsChild>
                                <w:div w:id="21270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90390">
      <w:bodyDiv w:val="1"/>
      <w:marLeft w:val="0"/>
      <w:marRight w:val="0"/>
      <w:marTop w:val="0"/>
      <w:marBottom w:val="0"/>
      <w:divBdr>
        <w:top w:val="none" w:sz="0" w:space="0" w:color="auto"/>
        <w:left w:val="none" w:sz="0" w:space="0" w:color="auto"/>
        <w:bottom w:val="none" w:sz="0" w:space="0" w:color="auto"/>
        <w:right w:val="none" w:sz="0" w:space="0" w:color="auto"/>
      </w:divBdr>
    </w:div>
    <w:div w:id="1180513235">
      <w:bodyDiv w:val="1"/>
      <w:marLeft w:val="0"/>
      <w:marRight w:val="0"/>
      <w:marTop w:val="0"/>
      <w:marBottom w:val="0"/>
      <w:divBdr>
        <w:top w:val="none" w:sz="0" w:space="0" w:color="auto"/>
        <w:left w:val="none" w:sz="0" w:space="0" w:color="auto"/>
        <w:bottom w:val="none" w:sz="0" w:space="0" w:color="auto"/>
        <w:right w:val="none" w:sz="0" w:space="0" w:color="auto"/>
      </w:divBdr>
    </w:div>
    <w:div w:id="1200892921">
      <w:bodyDiv w:val="1"/>
      <w:marLeft w:val="0"/>
      <w:marRight w:val="0"/>
      <w:marTop w:val="0"/>
      <w:marBottom w:val="0"/>
      <w:divBdr>
        <w:top w:val="none" w:sz="0" w:space="0" w:color="auto"/>
        <w:left w:val="none" w:sz="0" w:space="0" w:color="auto"/>
        <w:bottom w:val="none" w:sz="0" w:space="0" w:color="auto"/>
        <w:right w:val="none" w:sz="0" w:space="0" w:color="auto"/>
      </w:divBdr>
    </w:div>
    <w:div w:id="1284580061">
      <w:bodyDiv w:val="1"/>
      <w:marLeft w:val="0"/>
      <w:marRight w:val="0"/>
      <w:marTop w:val="0"/>
      <w:marBottom w:val="0"/>
      <w:divBdr>
        <w:top w:val="none" w:sz="0" w:space="0" w:color="auto"/>
        <w:left w:val="none" w:sz="0" w:space="0" w:color="auto"/>
        <w:bottom w:val="none" w:sz="0" w:space="0" w:color="auto"/>
        <w:right w:val="none" w:sz="0" w:space="0" w:color="auto"/>
      </w:divBdr>
    </w:div>
    <w:div w:id="1285308397">
      <w:bodyDiv w:val="1"/>
      <w:marLeft w:val="0"/>
      <w:marRight w:val="0"/>
      <w:marTop w:val="0"/>
      <w:marBottom w:val="0"/>
      <w:divBdr>
        <w:top w:val="none" w:sz="0" w:space="0" w:color="auto"/>
        <w:left w:val="none" w:sz="0" w:space="0" w:color="auto"/>
        <w:bottom w:val="none" w:sz="0" w:space="0" w:color="auto"/>
        <w:right w:val="none" w:sz="0" w:space="0" w:color="auto"/>
      </w:divBdr>
      <w:divsChild>
        <w:div w:id="1732076303">
          <w:marLeft w:val="0"/>
          <w:marRight w:val="0"/>
          <w:marTop w:val="0"/>
          <w:marBottom w:val="0"/>
          <w:divBdr>
            <w:top w:val="none" w:sz="0" w:space="0" w:color="auto"/>
            <w:left w:val="none" w:sz="0" w:space="0" w:color="auto"/>
            <w:bottom w:val="none" w:sz="0" w:space="0" w:color="auto"/>
            <w:right w:val="none" w:sz="0" w:space="0" w:color="auto"/>
          </w:divBdr>
          <w:divsChild>
            <w:div w:id="933511048">
              <w:marLeft w:val="0"/>
              <w:marRight w:val="0"/>
              <w:marTop w:val="0"/>
              <w:marBottom w:val="0"/>
              <w:divBdr>
                <w:top w:val="none" w:sz="0" w:space="0" w:color="auto"/>
                <w:left w:val="none" w:sz="0" w:space="0" w:color="auto"/>
                <w:bottom w:val="none" w:sz="0" w:space="0" w:color="auto"/>
                <w:right w:val="none" w:sz="0" w:space="0" w:color="auto"/>
              </w:divBdr>
              <w:divsChild>
                <w:div w:id="4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1219">
      <w:bodyDiv w:val="1"/>
      <w:marLeft w:val="0"/>
      <w:marRight w:val="0"/>
      <w:marTop w:val="0"/>
      <w:marBottom w:val="0"/>
      <w:divBdr>
        <w:top w:val="none" w:sz="0" w:space="0" w:color="auto"/>
        <w:left w:val="none" w:sz="0" w:space="0" w:color="auto"/>
        <w:bottom w:val="none" w:sz="0" w:space="0" w:color="auto"/>
        <w:right w:val="none" w:sz="0" w:space="0" w:color="auto"/>
      </w:divBdr>
      <w:divsChild>
        <w:div w:id="1729112132">
          <w:marLeft w:val="0"/>
          <w:marRight w:val="0"/>
          <w:marTop w:val="0"/>
          <w:marBottom w:val="0"/>
          <w:divBdr>
            <w:top w:val="none" w:sz="0" w:space="0" w:color="auto"/>
            <w:left w:val="none" w:sz="0" w:space="0" w:color="auto"/>
            <w:bottom w:val="none" w:sz="0" w:space="0" w:color="auto"/>
            <w:right w:val="none" w:sz="0" w:space="0" w:color="auto"/>
          </w:divBdr>
          <w:divsChild>
            <w:div w:id="1279144012">
              <w:marLeft w:val="0"/>
              <w:marRight w:val="0"/>
              <w:marTop w:val="0"/>
              <w:marBottom w:val="0"/>
              <w:divBdr>
                <w:top w:val="none" w:sz="0" w:space="0" w:color="auto"/>
                <w:left w:val="single" w:sz="6" w:space="0" w:color="E2E2E2"/>
                <w:bottom w:val="none" w:sz="0" w:space="0" w:color="auto"/>
                <w:right w:val="single" w:sz="6" w:space="0" w:color="E2E2E2"/>
              </w:divBdr>
              <w:divsChild>
                <w:div w:id="25719444">
                  <w:marLeft w:val="0"/>
                  <w:marRight w:val="0"/>
                  <w:marTop w:val="0"/>
                  <w:marBottom w:val="0"/>
                  <w:divBdr>
                    <w:top w:val="none" w:sz="0" w:space="0" w:color="auto"/>
                    <w:left w:val="none" w:sz="0" w:space="0" w:color="auto"/>
                    <w:bottom w:val="none" w:sz="0" w:space="0" w:color="auto"/>
                    <w:right w:val="none" w:sz="0" w:space="0" w:color="auto"/>
                  </w:divBdr>
                  <w:divsChild>
                    <w:div w:id="1124277467">
                      <w:marLeft w:val="0"/>
                      <w:marRight w:val="0"/>
                      <w:marTop w:val="0"/>
                      <w:marBottom w:val="0"/>
                      <w:divBdr>
                        <w:top w:val="none" w:sz="0" w:space="0" w:color="auto"/>
                        <w:left w:val="none" w:sz="0" w:space="0" w:color="auto"/>
                        <w:bottom w:val="none" w:sz="0" w:space="0" w:color="auto"/>
                        <w:right w:val="none" w:sz="0" w:space="0" w:color="auto"/>
                      </w:divBdr>
                      <w:divsChild>
                        <w:div w:id="1630472955">
                          <w:marLeft w:val="0"/>
                          <w:marRight w:val="0"/>
                          <w:marTop w:val="0"/>
                          <w:marBottom w:val="0"/>
                          <w:divBdr>
                            <w:top w:val="none" w:sz="0" w:space="0" w:color="auto"/>
                            <w:left w:val="none" w:sz="0" w:space="0" w:color="auto"/>
                            <w:bottom w:val="none" w:sz="0" w:space="0" w:color="auto"/>
                            <w:right w:val="none" w:sz="0" w:space="0" w:color="auto"/>
                          </w:divBdr>
                          <w:divsChild>
                            <w:div w:id="2089305055">
                              <w:marLeft w:val="0"/>
                              <w:marRight w:val="0"/>
                              <w:marTop w:val="0"/>
                              <w:marBottom w:val="0"/>
                              <w:divBdr>
                                <w:top w:val="single" w:sz="2" w:space="6" w:color="CCCCCC"/>
                                <w:left w:val="single" w:sz="6" w:space="6" w:color="CCCCCC"/>
                                <w:bottom w:val="single" w:sz="6" w:space="6" w:color="CCCCCC"/>
                                <w:right w:val="single" w:sz="6" w:space="6" w:color="CCCCCC"/>
                              </w:divBdr>
                              <w:divsChild>
                                <w:div w:id="14620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828584">
      <w:bodyDiv w:val="1"/>
      <w:marLeft w:val="0"/>
      <w:marRight w:val="0"/>
      <w:marTop w:val="0"/>
      <w:marBottom w:val="0"/>
      <w:divBdr>
        <w:top w:val="none" w:sz="0" w:space="0" w:color="auto"/>
        <w:left w:val="none" w:sz="0" w:space="0" w:color="auto"/>
        <w:bottom w:val="none" w:sz="0" w:space="0" w:color="auto"/>
        <w:right w:val="none" w:sz="0" w:space="0" w:color="auto"/>
      </w:divBdr>
    </w:div>
    <w:div w:id="1443576744">
      <w:bodyDiv w:val="1"/>
      <w:marLeft w:val="0"/>
      <w:marRight w:val="0"/>
      <w:marTop w:val="0"/>
      <w:marBottom w:val="0"/>
      <w:divBdr>
        <w:top w:val="none" w:sz="0" w:space="0" w:color="auto"/>
        <w:left w:val="none" w:sz="0" w:space="0" w:color="auto"/>
        <w:bottom w:val="none" w:sz="0" w:space="0" w:color="auto"/>
        <w:right w:val="none" w:sz="0" w:space="0" w:color="auto"/>
      </w:divBdr>
    </w:div>
    <w:div w:id="1511875189">
      <w:bodyDiv w:val="1"/>
      <w:marLeft w:val="0"/>
      <w:marRight w:val="0"/>
      <w:marTop w:val="0"/>
      <w:marBottom w:val="0"/>
      <w:divBdr>
        <w:top w:val="none" w:sz="0" w:space="0" w:color="auto"/>
        <w:left w:val="none" w:sz="0" w:space="0" w:color="auto"/>
        <w:bottom w:val="none" w:sz="0" w:space="0" w:color="auto"/>
        <w:right w:val="none" w:sz="0" w:space="0" w:color="auto"/>
      </w:divBdr>
    </w:div>
    <w:div w:id="1523202951">
      <w:bodyDiv w:val="1"/>
      <w:marLeft w:val="0"/>
      <w:marRight w:val="0"/>
      <w:marTop w:val="0"/>
      <w:marBottom w:val="0"/>
      <w:divBdr>
        <w:top w:val="none" w:sz="0" w:space="0" w:color="auto"/>
        <w:left w:val="none" w:sz="0" w:space="0" w:color="auto"/>
        <w:bottom w:val="none" w:sz="0" w:space="0" w:color="auto"/>
        <w:right w:val="none" w:sz="0" w:space="0" w:color="auto"/>
      </w:divBdr>
    </w:div>
    <w:div w:id="1605113592">
      <w:bodyDiv w:val="1"/>
      <w:marLeft w:val="0"/>
      <w:marRight w:val="0"/>
      <w:marTop w:val="0"/>
      <w:marBottom w:val="0"/>
      <w:divBdr>
        <w:top w:val="none" w:sz="0" w:space="0" w:color="auto"/>
        <w:left w:val="none" w:sz="0" w:space="0" w:color="auto"/>
        <w:bottom w:val="none" w:sz="0" w:space="0" w:color="auto"/>
        <w:right w:val="none" w:sz="0" w:space="0" w:color="auto"/>
      </w:divBdr>
    </w:div>
    <w:div w:id="1624460076">
      <w:bodyDiv w:val="1"/>
      <w:marLeft w:val="0"/>
      <w:marRight w:val="0"/>
      <w:marTop w:val="0"/>
      <w:marBottom w:val="0"/>
      <w:divBdr>
        <w:top w:val="none" w:sz="0" w:space="0" w:color="auto"/>
        <w:left w:val="none" w:sz="0" w:space="0" w:color="auto"/>
        <w:bottom w:val="none" w:sz="0" w:space="0" w:color="auto"/>
        <w:right w:val="none" w:sz="0" w:space="0" w:color="auto"/>
      </w:divBdr>
    </w:div>
    <w:div w:id="1625234863">
      <w:bodyDiv w:val="1"/>
      <w:marLeft w:val="0"/>
      <w:marRight w:val="0"/>
      <w:marTop w:val="0"/>
      <w:marBottom w:val="0"/>
      <w:divBdr>
        <w:top w:val="none" w:sz="0" w:space="0" w:color="auto"/>
        <w:left w:val="none" w:sz="0" w:space="0" w:color="auto"/>
        <w:bottom w:val="none" w:sz="0" w:space="0" w:color="auto"/>
        <w:right w:val="none" w:sz="0" w:space="0" w:color="auto"/>
      </w:divBdr>
    </w:div>
    <w:div w:id="1720665081">
      <w:bodyDiv w:val="1"/>
      <w:marLeft w:val="0"/>
      <w:marRight w:val="0"/>
      <w:marTop w:val="0"/>
      <w:marBottom w:val="0"/>
      <w:divBdr>
        <w:top w:val="none" w:sz="0" w:space="0" w:color="auto"/>
        <w:left w:val="none" w:sz="0" w:space="0" w:color="auto"/>
        <w:bottom w:val="none" w:sz="0" w:space="0" w:color="auto"/>
        <w:right w:val="none" w:sz="0" w:space="0" w:color="auto"/>
      </w:divBdr>
    </w:div>
    <w:div w:id="1762486093">
      <w:bodyDiv w:val="1"/>
      <w:marLeft w:val="0"/>
      <w:marRight w:val="0"/>
      <w:marTop w:val="0"/>
      <w:marBottom w:val="0"/>
      <w:divBdr>
        <w:top w:val="none" w:sz="0" w:space="0" w:color="auto"/>
        <w:left w:val="none" w:sz="0" w:space="0" w:color="auto"/>
        <w:bottom w:val="none" w:sz="0" w:space="0" w:color="auto"/>
        <w:right w:val="none" w:sz="0" w:space="0" w:color="auto"/>
      </w:divBdr>
    </w:div>
    <w:div w:id="1791510978">
      <w:bodyDiv w:val="1"/>
      <w:marLeft w:val="0"/>
      <w:marRight w:val="0"/>
      <w:marTop w:val="0"/>
      <w:marBottom w:val="0"/>
      <w:divBdr>
        <w:top w:val="none" w:sz="0" w:space="0" w:color="auto"/>
        <w:left w:val="none" w:sz="0" w:space="0" w:color="auto"/>
        <w:bottom w:val="none" w:sz="0" w:space="0" w:color="auto"/>
        <w:right w:val="none" w:sz="0" w:space="0" w:color="auto"/>
      </w:divBdr>
    </w:div>
    <w:div w:id="1917746170">
      <w:bodyDiv w:val="1"/>
      <w:marLeft w:val="0"/>
      <w:marRight w:val="0"/>
      <w:marTop w:val="0"/>
      <w:marBottom w:val="0"/>
      <w:divBdr>
        <w:top w:val="none" w:sz="0" w:space="0" w:color="auto"/>
        <w:left w:val="none" w:sz="0" w:space="0" w:color="auto"/>
        <w:bottom w:val="none" w:sz="0" w:space="0" w:color="auto"/>
        <w:right w:val="none" w:sz="0" w:space="0" w:color="auto"/>
      </w:divBdr>
    </w:div>
    <w:div w:id="1920139938">
      <w:bodyDiv w:val="1"/>
      <w:marLeft w:val="0"/>
      <w:marRight w:val="0"/>
      <w:marTop w:val="0"/>
      <w:marBottom w:val="0"/>
      <w:divBdr>
        <w:top w:val="none" w:sz="0" w:space="0" w:color="auto"/>
        <w:left w:val="none" w:sz="0" w:space="0" w:color="auto"/>
        <w:bottom w:val="none" w:sz="0" w:space="0" w:color="auto"/>
        <w:right w:val="none" w:sz="0" w:space="0" w:color="auto"/>
      </w:divBdr>
    </w:div>
    <w:div w:id="1973974129">
      <w:bodyDiv w:val="1"/>
      <w:marLeft w:val="0"/>
      <w:marRight w:val="0"/>
      <w:marTop w:val="0"/>
      <w:marBottom w:val="0"/>
      <w:divBdr>
        <w:top w:val="none" w:sz="0" w:space="0" w:color="auto"/>
        <w:left w:val="none" w:sz="0" w:space="0" w:color="auto"/>
        <w:bottom w:val="none" w:sz="0" w:space="0" w:color="auto"/>
        <w:right w:val="none" w:sz="0" w:space="0" w:color="auto"/>
      </w:divBdr>
      <w:divsChild>
        <w:div w:id="952592995">
          <w:marLeft w:val="0"/>
          <w:marRight w:val="0"/>
          <w:marTop w:val="0"/>
          <w:marBottom w:val="0"/>
          <w:divBdr>
            <w:top w:val="none" w:sz="0" w:space="0" w:color="auto"/>
            <w:left w:val="none" w:sz="0" w:space="0" w:color="auto"/>
            <w:bottom w:val="none" w:sz="0" w:space="0" w:color="auto"/>
            <w:right w:val="none" w:sz="0" w:space="0" w:color="auto"/>
          </w:divBdr>
          <w:divsChild>
            <w:div w:id="55058179">
              <w:marLeft w:val="0"/>
              <w:marRight w:val="0"/>
              <w:marTop w:val="0"/>
              <w:marBottom w:val="0"/>
              <w:divBdr>
                <w:top w:val="none" w:sz="0" w:space="0" w:color="auto"/>
                <w:left w:val="single" w:sz="6" w:space="0" w:color="E2E2E2"/>
                <w:bottom w:val="none" w:sz="0" w:space="0" w:color="auto"/>
                <w:right w:val="single" w:sz="6" w:space="0" w:color="E2E2E2"/>
              </w:divBdr>
              <w:divsChild>
                <w:div w:id="1755859633">
                  <w:marLeft w:val="0"/>
                  <w:marRight w:val="0"/>
                  <w:marTop w:val="0"/>
                  <w:marBottom w:val="0"/>
                  <w:divBdr>
                    <w:top w:val="none" w:sz="0" w:space="0" w:color="auto"/>
                    <w:left w:val="none" w:sz="0" w:space="0" w:color="auto"/>
                    <w:bottom w:val="none" w:sz="0" w:space="0" w:color="auto"/>
                    <w:right w:val="none" w:sz="0" w:space="0" w:color="auto"/>
                  </w:divBdr>
                  <w:divsChild>
                    <w:div w:id="15783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48666">
      <w:bodyDiv w:val="1"/>
      <w:marLeft w:val="0"/>
      <w:marRight w:val="0"/>
      <w:marTop w:val="0"/>
      <w:marBottom w:val="0"/>
      <w:divBdr>
        <w:top w:val="none" w:sz="0" w:space="0" w:color="auto"/>
        <w:left w:val="none" w:sz="0" w:space="0" w:color="auto"/>
        <w:bottom w:val="none" w:sz="0" w:space="0" w:color="auto"/>
        <w:right w:val="none" w:sz="0" w:space="0" w:color="auto"/>
      </w:divBdr>
    </w:div>
    <w:div w:id="214670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www.maine.gov/labor/cwri/wdq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QuickStyle" Target="diagrams/quickStyle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diagramColors" Target="diagrams/colors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chart" Target="charts/chart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charts/_rels/chart1.xml.rels><?xml version="1.0" encoding="UTF-8" standalone="yes"?>
<Relationships xmlns="http://schemas.openxmlformats.org/package/2006/relationships"><Relationship Id="rId1" Type="http://schemas.openxmlformats.org/officeDocument/2006/relationships/oleObject" Target="file:///\\oit-teaqfsemc11\DOL-HQ\Users\A.Paul.Leparulo\WDQI\Analysis\More%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First Year Wages</a:t>
            </a:r>
          </a:p>
          <a:p>
            <a:pPr>
              <a:defRPr/>
            </a:pPr>
            <a:r>
              <a:rPr lang="en-US" sz="1200" b="0"/>
              <a:t>Academic</a:t>
            </a:r>
            <a:r>
              <a:rPr lang="en-US" sz="1200" b="0" baseline="0"/>
              <a:t> Years </a:t>
            </a:r>
            <a:r>
              <a:rPr lang="en-US" sz="1200" b="0"/>
              <a:t>2009-2011 </a:t>
            </a:r>
          </a:p>
        </c:rich>
      </c:tx>
      <c:overlay val="0"/>
    </c:title>
    <c:autoTitleDeleted val="0"/>
    <c:plotArea>
      <c:layout/>
      <c:barChart>
        <c:barDir val="col"/>
        <c:grouping val="clustered"/>
        <c:varyColors val="0"/>
        <c:ser>
          <c:idx val="0"/>
          <c:order val="0"/>
          <c:invertIfNegative val="0"/>
          <c:dLbls>
            <c:dLbl>
              <c:idx val="0"/>
              <c:layout>
                <c:manualLayout>
                  <c:x val="-5.0816706597254638E-2"/>
                  <c:y val="1.2539180826177334E-2"/>
                </c:manualLayout>
              </c:layout>
              <c:showLegendKey val="0"/>
              <c:showVal val="1"/>
              <c:showCatName val="0"/>
              <c:showSerName val="0"/>
              <c:showPercent val="0"/>
              <c:showBubbleSize val="0"/>
            </c:dLbl>
            <c:dLbl>
              <c:idx val="7"/>
              <c:layout>
                <c:manualLayout>
                  <c:x val="2.4198431712977512E-3"/>
                  <c:y val="1.253918082617733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'Sort % with wages'!$A$2:$A$12</c:f>
              <c:strCache>
                <c:ptCount val="11"/>
                <c:pt idx="0">
                  <c:v>Certificate &lt; 1 year</c:v>
                </c:pt>
                <c:pt idx="1">
                  <c:v>Certificate 1-2 years</c:v>
                </c:pt>
                <c:pt idx="2">
                  <c:v>Diploma</c:v>
                </c:pt>
                <c:pt idx="3">
                  <c:v>Associate's Degree</c:v>
                </c:pt>
                <c:pt idx="4">
                  <c:v>Post-associate certificate</c:v>
                </c:pt>
                <c:pt idx="5">
                  <c:v>Bachelor's</c:v>
                </c:pt>
                <c:pt idx="6">
                  <c:v>Post-bachelors</c:v>
                </c:pt>
                <c:pt idx="7">
                  <c:v>Master's </c:v>
                </c:pt>
                <c:pt idx="8">
                  <c:v>Post-master's</c:v>
                </c:pt>
                <c:pt idx="9">
                  <c:v>Juris Doctor</c:v>
                </c:pt>
                <c:pt idx="10">
                  <c:v>Doctorate </c:v>
                </c:pt>
              </c:strCache>
            </c:strRef>
          </c:cat>
          <c:val>
            <c:numRef>
              <c:f>'Sort % with wages'!$G$2:$G$12</c:f>
              <c:numCache>
                <c:formatCode>"$"#,##0_);\("$"#,##0\)</c:formatCode>
                <c:ptCount val="11"/>
                <c:pt idx="0">
                  <c:v>30550</c:v>
                </c:pt>
                <c:pt idx="1">
                  <c:v>31571</c:v>
                </c:pt>
                <c:pt idx="2" formatCode="&quot;$&quot;#,##0_);[Red]\(&quot;$&quot;#,##0\)">
                  <c:v>43337</c:v>
                </c:pt>
                <c:pt idx="3" formatCode="&quot;$&quot;#,##0_);[Red]\(&quot;$&quot;#,##0\)">
                  <c:v>34433</c:v>
                </c:pt>
                <c:pt idx="4" formatCode="&quot;$&quot;#,##0_);[Red]\(&quot;$&quot;#,##0\)">
                  <c:v>47182</c:v>
                </c:pt>
                <c:pt idx="5" formatCode="&quot;$&quot;#,##0_);[Red]\(&quot;$&quot;#,##0\)">
                  <c:v>34837</c:v>
                </c:pt>
                <c:pt idx="6" formatCode="&quot;$&quot;#,##0_);[Red]\(&quot;$&quot;#,##0\)">
                  <c:v>50459</c:v>
                </c:pt>
                <c:pt idx="7" formatCode="&quot;$&quot;#,##0_);[Red]\(&quot;$&quot;#,##0\)">
                  <c:v>46635</c:v>
                </c:pt>
                <c:pt idx="8" formatCode="&quot;$&quot;#,##0_);[Red]\(&quot;$&quot;#,##0\)">
                  <c:v>65051</c:v>
                </c:pt>
                <c:pt idx="9" formatCode="&quot;$&quot;#,##0_);[Red]\(&quot;$&quot;#,##0\)">
                  <c:v>48495</c:v>
                </c:pt>
                <c:pt idx="10" formatCode="&quot;$&quot;#,##0_);[Red]\(&quot;$&quot;#,##0\)">
                  <c:v>63160</c:v>
                </c:pt>
              </c:numCache>
            </c:numRef>
          </c:val>
        </c:ser>
        <c:dLbls>
          <c:showLegendKey val="0"/>
          <c:showVal val="0"/>
          <c:showCatName val="0"/>
          <c:showSerName val="0"/>
          <c:showPercent val="0"/>
          <c:showBubbleSize val="0"/>
        </c:dLbls>
        <c:gapWidth val="150"/>
        <c:axId val="145312384"/>
        <c:axId val="148509056"/>
      </c:barChart>
      <c:catAx>
        <c:axId val="145312384"/>
        <c:scaling>
          <c:orientation val="minMax"/>
        </c:scaling>
        <c:delete val="0"/>
        <c:axPos val="b"/>
        <c:majorTickMark val="out"/>
        <c:minorTickMark val="none"/>
        <c:tickLblPos val="nextTo"/>
        <c:crossAx val="148509056"/>
        <c:crosses val="autoZero"/>
        <c:auto val="1"/>
        <c:lblAlgn val="ctr"/>
        <c:lblOffset val="100"/>
        <c:tickLblSkip val="1"/>
        <c:noMultiLvlLbl val="0"/>
      </c:catAx>
      <c:valAx>
        <c:axId val="148509056"/>
        <c:scaling>
          <c:orientation val="minMax"/>
        </c:scaling>
        <c:delete val="1"/>
        <c:axPos val="l"/>
        <c:numFmt formatCode="&quot;$&quot;#,##0_);\(&quot;$&quot;#,##0\)" sourceLinked="1"/>
        <c:majorTickMark val="out"/>
        <c:minorTickMark val="none"/>
        <c:tickLblPos val="nextTo"/>
        <c:crossAx val="145312384"/>
        <c:crosses val="autoZero"/>
        <c:crossBetween val="between"/>
      </c:valAx>
    </c:plotArea>
    <c:plotVisOnly val="1"/>
    <c:dispBlanksAs val="gap"/>
    <c:showDLblsOverMax val="0"/>
  </c:chart>
  <c:spPr>
    <a:ln>
      <a:noFill/>
    </a:ln>
  </c:spPr>
  <c:txPr>
    <a:bodyPr/>
    <a:lstStyle/>
    <a:p>
      <a:pPr>
        <a:defRPr>
          <a:latin typeface="Tw Cen MT" panose="020B0602020104020603"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0B4C86-B60C-450D-AE62-790A24CA02BB}" type="doc">
      <dgm:prSet loTypeId="urn:microsoft.com/office/officeart/2005/8/layout/process2" loCatId="process" qsTypeId="urn:microsoft.com/office/officeart/2005/8/quickstyle/simple3" qsCatId="simple" csTypeId="urn:microsoft.com/office/officeart/2005/8/colors/accent1_2" csCatId="accent1" phldr="1"/>
      <dgm:spPr/>
    </dgm:pt>
    <dgm:pt modelId="{90A80878-08AF-47E2-95C5-497A274FDF6E}">
      <dgm:prSet phldrT="[Text]" custT="1"/>
      <dgm:spPr/>
      <dgm:t>
        <a:bodyPr/>
        <a:lstStyle/>
        <a:p>
          <a:r>
            <a:rPr lang="en-US" sz="2300"/>
            <a:t>Link</a:t>
          </a:r>
        </a:p>
      </dgm:t>
    </dgm:pt>
    <dgm:pt modelId="{AD2D3245-ECF0-402E-921B-E717E543E285}" type="parTrans" cxnId="{766282BB-8D00-461C-9CF3-4F9C060BCB45}">
      <dgm:prSet/>
      <dgm:spPr/>
      <dgm:t>
        <a:bodyPr/>
        <a:lstStyle/>
        <a:p>
          <a:endParaRPr lang="en-US"/>
        </a:p>
      </dgm:t>
    </dgm:pt>
    <dgm:pt modelId="{5FBCBBA1-4DF2-4AEC-A4A6-544C720682B2}" type="sibTrans" cxnId="{766282BB-8D00-461C-9CF3-4F9C060BCB45}">
      <dgm:prSet/>
      <dgm:spPr/>
      <dgm:t>
        <a:bodyPr/>
        <a:lstStyle/>
        <a:p>
          <a:endParaRPr lang="en-US"/>
        </a:p>
      </dgm:t>
    </dgm:pt>
    <dgm:pt modelId="{DBA8E571-1F97-4D70-AFDC-EF51A78837B8}">
      <dgm:prSet phldrT="[Text]"/>
      <dgm:spPr/>
      <dgm:t>
        <a:bodyPr/>
        <a:lstStyle/>
        <a:p>
          <a:r>
            <a:rPr lang="en-US"/>
            <a:t>Aggregate</a:t>
          </a:r>
        </a:p>
      </dgm:t>
    </dgm:pt>
    <dgm:pt modelId="{15667B00-542A-4ACC-B9B7-7F42942AB584}" type="parTrans" cxnId="{02EA90E6-26FD-440C-9019-AD3170D64928}">
      <dgm:prSet/>
      <dgm:spPr/>
      <dgm:t>
        <a:bodyPr/>
        <a:lstStyle/>
        <a:p>
          <a:endParaRPr lang="en-US"/>
        </a:p>
      </dgm:t>
    </dgm:pt>
    <dgm:pt modelId="{7D44AA05-6E40-47DB-8788-F92FCF07D84F}" type="sibTrans" cxnId="{02EA90E6-26FD-440C-9019-AD3170D64928}">
      <dgm:prSet/>
      <dgm:spPr/>
      <dgm:t>
        <a:bodyPr/>
        <a:lstStyle/>
        <a:p>
          <a:endParaRPr lang="en-US"/>
        </a:p>
      </dgm:t>
    </dgm:pt>
    <dgm:pt modelId="{C8A12D55-BAE6-4797-974A-F00C3F3DF780}">
      <dgm:prSet phldrT="[Text]"/>
      <dgm:spPr/>
      <dgm:t>
        <a:bodyPr/>
        <a:lstStyle/>
        <a:p>
          <a:r>
            <a:rPr lang="en-US"/>
            <a:t>Report</a:t>
          </a:r>
        </a:p>
      </dgm:t>
    </dgm:pt>
    <dgm:pt modelId="{4572EDF7-AB92-462C-A48B-44CA8539F707}" type="parTrans" cxnId="{2C2D52EE-8716-47DC-8541-1D9433A0E1B5}">
      <dgm:prSet/>
      <dgm:spPr/>
      <dgm:t>
        <a:bodyPr/>
        <a:lstStyle/>
        <a:p>
          <a:endParaRPr lang="en-US"/>
        </a:p>
      </dgm:t>
    </dgm:pt>
    <dgm:pt modelId="{6AA873B0-90D4-4968-ACE7-8028F27091D1}" type="sibTrans" cxnId="{2C2D52EE-8716-47DC-8541-1D9433A0E1B5}">
      <dgm:prSet/>
      <dgm:spPr/>
      <dgm:t>
        <a:bodyPr/>
        <a:lstStyle/>
        <a:p>
          <a:endParaRPr lang="en-US"/>
        </a:p>
      </dgm:t>
    </dgm:pt>
    <dgm:pt modelId="{9277473D-5D91-46C3-B3D4-26A27F960EE6}" type="pres">
      <dgm:prSet presAssocID="{130B4C86-B60C-450D-AE62-790A24CA02BB}" presName="linearFlow" presStyleCnt="0">
        <dgm:presLayoutVars>
          <dgm:resizeHandles val="exact"/>
        </dgm:presLayoutVars>
      </dgm:prSet>
      <dgm:spPr/>
    </dgm:pt>
    <dgm:pt modelId="{1B60CD25-DA9F-40FE-AC66-06C8237B8B81}" type="pres">
      <dgm:prSet presAssocID="{90A80878-08AF-47E2-95C5-497A274FDF6E}" presName="node" presStyleLbl="node1" presStyleIdx="0" presStyleCnt="3">
        <dgm:presLayoutVars>
          <dgm:bulletEnabled val="1"/>
        </dgm:presLayoutVars>
      </dgm:prSet>
      <dgm:spPr/>
      <dgm:t>
        <a:bodyPr/>
        <a:lstStyle/>
        <a:p>
          <a:endParaRPr lang="en-US"/>
        </a:p>
      </dgm:t>
    </dgm:pt>
    <dgm:pt modelId="{B57163A9-35DD-49C9-887A-E8B7D7599F5F}" type="pres">
      <dgm:prSet presAssocID="{5FBCBBA1-4DF2-4AEC-A4A6-544C720682B2}" presName="sibTrans" presStyleLbl="sibTrans2D1" presStyleIdx="0" presStyleCnt="2"/>
      <dgm:spPr/>
      <dgm:t>
        <a:bodyPr/>
        <a:lstStyle/>
        <a:p>
          <a:endParaRPr lang="en-US"/>
        </a:p>
      </dgm:t>
    </dgm:pt>
    <dgm:pt modelId="{6E4E669A-D92C-4A33-8D31-1F84F327319D}" type="pres">
      <dgm:prSet presAssocID="{5FBCBBA1-4DF2-4AEC-A4A6-544C720682B2}" presName="connectorText" presStyleLbl="sibTrans2D1" presStyleIdx="0" presStyleCnt="2"/>
      <dgm:spPr/>
      <dgm:t>
        <a:bodyPr/>
        <a:lstStyle/>
        <a:p>
          <a:endParaRPr lang="en-US"/>
        </a:p>
      </dgm:t>
    </dgm:pt>
    <dgm:pt modelId="{AA4CBB35-BD0A-4DD7-A5D2-89348F81DF8B}" type="pres">
      <dgm:prSet presAssocID="{DBA8E571-1F97-4D70-AFDC-EF51A78837B8}" presName="node" presStyleLbl="node1" presStyleIdx="1" presStyleCnt="3">
        <dgm:presLayoutVars>
          <dgm:bulletEnabled val="1"/>
        </dgm:presLayoutVars>
      </dgm:prSet>
      <dgm:spPr/>
      <dgm:t>
        <a:bodyPr/>
        <a:lstStyle/>
        <a:p>
          <a:endParaRPr lang="en-US"/>
        </a:p>
      </dgm:t>
    </dgm:pt>
    <dgm:pt modelId="{457FA06C-32F8-4F50-9AD1-C8E52C2D46E0}" type="pres">
      <dgm:prSet presAssocID="{7D44AA05-6E40-47DB-8788-F92FCF07D84F}" presName="sibTrans" presStyleLbl="sibTrans2D1" presStyleIdx="1" presStyleCnt="2"/>
      <dgm:spPr/>
      <dgm:t>
        <a:bodyPr/>
        <a:lstStyle/>
        <a:p>
          <a:endParaRPr lang="en-US"/>
        </a:p>
      </dgm:t>
    </dgm:pt>
    <dgm:pt modelId="{5589AC6A-87AE-4BC3-9CF4-7FB797D862EB}" type="pres">
      <dgm:prSet presAssocID="{7D44AA05-6E40-47DB-8788-F92FCF07D84F}" presName="connectorText" presStyleLbl="sibTrans2D1" presStyleIdx="1" presStyleCnt="2"/>
      <dgm:spPr/>
      <dgm:t>
        <a:bodyPr/>
        <a:lstStyle/>
        <a:p>
          <a:endParaRPr lang="en-US"/>
        </a:p>
      </dgm:t>
    </dgm:pt>
    <dgm:pt modelId="{A3199A82-5A57-497E-A2D0-388577197BBD}" type="pres">
      <dgm:prSet presAssocID="{C8A12D55-BAE6-4797-974A-F00C3F3DF780}" presName="node" presStyleLbl="node1" presStyleIdx="2" presStyleCnt="3">
        <dgm:presLayoutVars>
          <dgm:bulletEnabled val="1"/>
        </dgm:presLayoutVars>
      </dgm:prSet>
      <dgm:spPr/>
      <dgm:t>
        <a:bodyPr/>
        <a:lstStyle/>
        <a:p>
          <a:endParaRPr lang="en-US"/>
        </a:p>
      </dgm:t>
    </dgm:pt>
  </dgm:ptLst>
  <dgm:cxnLst>
    <dgm:cxn modelId="{CAFDCDAC-D58B-4396-8E1F-6F3FE58B394C}" type="presOf" srcId="{7D44AA05-6E40-47DB-8788-F92FCF07D84F}" destId="{457FA06C-32F8-4F50-9AD1-C8E52C2D46E0}" srcOrd="0" destOrd="0" presId="urn:microsoft.com/office/officeart/2005/8/layout/process2"/>
    <dgm:cxn modelId="{92027A87-D24A-4A9A-AE73-548C6FE933A1}" type="presOf" srcId="{90A80878-08AF-47E2-95C5-497A274FDF6E}" destId="{1B60CD25-DA9F-40FE-AC66-06C8237B8B81}" srcOrd="0" destOrd="0" presId="urn:microsoft.com/office/officeart/2005/8/layout/process2"/>
    <dgm:cxn modelId="{D8E1324F-B286-4B91-9959-E5190BEF8E3F}" type="presOf" srcId="{7D44AA05-6E40-47DB-8788-F92FCF07D84F}" destId="{5589AC6A-87AE-4BC3-9CF4-7FB797D862EB}" srcOrd="1" destOrd="0" presId="urn:microsoft.com/office/officeart/2005/8/layout/process2"/>
    <dgm:cxn modelId="{42E4F2A8-AE4E-4DA7-A6F8-423338C81DF3}" type="presOf" srcId="{C8A12D55-BAE6-4797-974A-F00C3F3DF780}" destId="{A3199A82-5A57-497E-A2D0-388577197BBD}" srcOrd="0" destOrd="0" presId="urn:microsoft.com/office/officeart/2005/8/layout/process2"/>
    <dgm:cxn modelId="{2C2D52EE-8716-47DC-8541-1D9433A0E1B5}" srcId="{130B4C86-B60C-450D-AE62-790A24CA02BB}" destId="{C8A12D55-BAE6-4797-974A-F00C3F3DF780}" srcOrd="2" destOrd="0" parTransId="{4572EDF7-AB92-462C-A48B-44CA8539F707}" sibTransId="{6AA873B0-90D4-4968-ACE7-8028F27091D1}"/>
    <dgm:cxn modelId="{02EA90E6-26FD-440C-9019-AD3170D64928}" srcId="{130B4C86-B60C-450D-AE62-790A24CA02BB}" destId="{DBA8E571-1F97-4D70-AFDC-EF51A78837B8}" srcOrd="1" destOrd="0" parTransId="{15667B00-542A-4ACC-B9B7-7F42942AB584}" sibTransId="{7D44AA05-6E40-47DB-8788-F92FCF07D84F}"/>
    <dgm:cxn modelId="{7FE46C6E-CEC4-4855-A320-2BE6525D293C}" type="presOf" srcId="{5FBCBBA1-4DF2-4AEC-A4A6-544C720682B2}" destId="{B57163A9-35DD-49C9-887A-E8B7D7599F5F}" srcOrd="0" destOrd="0" presId="urn:microsoft.com/office/officeart/2005/8/layout/process2"/>
    <dgm:cxn modelId="{AB91B617-B5BA-4F51-A849-B047989114E7}" type="presOf" srcId="{5FBCBBA1-4DF2-4AEC-A4A6-544C720682B2}" destId="{6E4E669A-D92C-4A33-8D31-1F84F327319D}" srcOrd="1" destOrd="0" presId="urn:microsoft.com/office/officeart/2005/8/layout/process2"/>
    <dgm:cxn modelId="{775D94A4-4664-49EC-A29A-78C067A86B0B}" type="presOf" srcId="{DBA8E571-1F97-4D70-AFDC-EF51A78837B8}" destId="{AA4CBB35-BD0A-4DD7-A5D2-89348F81DF8B}" srcOrd="0" destOrd="0" presId="urn:microsoft.com/office/officeart/2005/8/layout/process2"/>
    <dgm:cxn modelId="{1A04D826-08D2-4A31-8AA1-FFDAA281D0CC}" type="presOf" srcId="{130B4C86-B60C-450D-AE62-790A24CA02BB}" destId="{9277473D-5D91-46C3-B3D4-26A27F960EE6}" srcOrd="0" destOrd="0" presId="urn:microsoft.com/office/officeart/2005/8/layout/process2"/>
    <dgm:cxn modelId="{766282BB-8D00-461C-9CF3-4F9C060BCB45}" srcId="{130B4C86-B60C-450D-AE62-790A24CA02BB}" destId="{90A80878-08AF-47E2-95C5-497A274FDF6E}" srcOrd="0" destOrd="0" parTransId="{AD2D3245-ECF0-402E-921B-E717E543E285}" sibTransId="{5FBCBBA1-4DF2-4AEC-A4A6-544C720682B2}"/>
    <dgm:cxn modelId="{E8E028FF-981F-4601-8C31-78A7703EE118}" type="presParOf" srcId="{9277473D-5D91-46C3-B3D4-26A27F960EE6}" destId="{1B60CD25-DA9F-40FE-AC66-06C8237B8B81}" srcOrd="0" destOrd="0" presId="urn:microsoft.com/office/officeart/2005/8/layout/process2"/>
    <dgm:cxn modelId="{ADB55115-89AD-46C5-A85B-048EE2F4BE9F}" type="presParOf" srcId="{9277473D-5D91-46C3-B3D4-26A27F960EE6}" destId="{B57163A9-35DD-49C9-887A-E8B7D7599F5F}" srcOrd="1" destOrd="0" presId="urn:microsoft.com/office/officeart/2005/8/layout/process2"/>
    <dgm:cxn modelId="{FD77F02D-A4E0-45B8-AF9A-9F474137644F}" type="presParOf" srcId="{B57163A9-35DD-49C9-887A-E8B7D7599F5F}" destId="{6E4E669A-D92C-4A33-8D31-1F84F327319D}" srcOrd="0" destOrd="0" presId="urn:microsoft.com/office/officeart/2005/8/layout/process2"/>
    <dgm:cxn modelId="{AEF8CA18-BB54-4998-A1E3-72FFAB754F95}" type="presParOf" srcId="{9277473D-5D91-46C3-B3D4-26A27F960EE6}" destId="{AA4CBB35-BD0A-4DD7-A5D2-89348F81DF8B}" srcOrd="2" destOrd="0" presId="urn:microsoft.com/office/officeart/2005/8/layout/process2"/>
    <dgm:cxn modelId="{6DEB0A69-8C7F-47C6-93E7-0E5A104667A9}" type="presParOf" srcId="{9277473D-5D91-46C3-B3D4-26A27F960EE6}" destId="{457FA06C-32F8-4F50-9AD1-C8E52C2D46E0}" srcOrd="3" destOrd="0" presId="urn:microsoft.com/office/officeart/2005/8/layout/process2"/>
    <dgm:cxn modelId="{A28B0932-6352-48A6-AB1F-341311D5BA19}" type="presParOf" srcId="{457FA06C-32F8-4F50-9AD1-C8E52C2D46E0}" destId="{5589AC6A-87AE-4BC3-9CF4-7FB797D862EB}" srcOrd="0" destOrd="0" presId="urn:microsoft.com/office/officeart/2005/8/layout/process2"/>
    <dgm:cxn modelId="{F46ECC98-5D38-4CB5-8C40-299743B86C2A}" type="presParOf" srcId="{9277473D-5D91-46C3-B3D4-26A27F960EE6}" destId="{A3199A82-5A57-497E-A2D0-388577197BBD}" srcOrd="4"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19D761-A81C-4390-B4F0-91C9D06C09A3}"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en-US"/>
        </a:p>
      </dgm:t>
    </dgm:pt>
    <dgm:pt modelId="{03B4C47F-7569-4721-9941-B40CE8A0037E}">
      <dgm:prSet phldrT="[Text]"/>
      <dgm:spPr/>
      <dgm:t>
        <a:bodyPr/>
        <a:lstStyle/>
        <a:p>
          <a:r>
            <a:rPr lang="en-US"/>
            <a:t>Number of program completers by credential, area of study, school and school system.</a:t>
          </a:r>
        </a:p>
      </dgm:t>
    </dgm:pt>
    <dgm:pt modelId="{DC46E692-2105-43AF-A58F-2FE97853877C}" type="parTrans" cxnId="{564ED2F8-8CB5-49A6-B144-2C225714BBCE}">
      <dgm:prSet/>
      <dgm:spPr/>
      <dgm:t>
        <a:bodyPr/>
        <a:lstStyle/>
        <a:p>
          <a:endParaRPr lang="en-US"/>
        </a:p>
      </dgm:t>
    </dgm:pt>
    <dgm:pt modelId="{15D76451-DCA9-492F-9583-F5D6385E8CB6}" type="sibTrans" cxnId="{564ED2F8-8CB5-49A6-B144-2C225714BBCE}">
      <dgm:prSet/>
      <dgm:spPr/>
      <dgm:t>
        <a:bodyPr/>
        <a:lstStyle/>
        <a:p>
          <a:endParaRPr lang="en-US"/>
        </a:p>
      </dgm:t>
    </dgm:pt>
    <dgm:pt modelId="{62D455A2-E0E7-40DE-9107-5F455164BE7D}">
      <dgm:prSet phldrT="[Text]"/>
      <dgm:spPr/>
      <dgm:t>
        <a:bodyPr/>
        <a:lstStyle/>
        <a:p>
          <a:r>
            <a:rPr lang="en-US"/>
            <a:t>Number &amp; percent of completers with any employment in Maine during quarters three through six, post-graduation.</a:t>
          </a:r>
        </a:p>
      </dgm:t>
    </dgm:pt>
    <dgm:pt modelId="{525625F3-48E7-4008-92FD-741674DB341E}" type="parTrans" cxnId="{2767F772-252E-4456-AE0B-696B3015D105}">
      <dgm:prSet/>
      <dgm:spPr/>
      <dgm:t>
        <a:bodyPr/>
        <a:lstStyle/>
        <a:p>
          <a:endParaRPr lang="en-US"/>
        </a:p>
      </dgm:t>
    </dgm:pt>
    <dgm:pt modelId="{1162B4AD-CE74-4398-A7FE-A190F838A61E}" type="sibTrans" cxnId="{2767F772-252E-4456-AE0B-696B3015D105}">
      <dgm:prSet/>
      <dgm:spPr/>
      <dgm:t>
        <a:bodyPr/>
        <a:lstStyle/>
        <a:p>
          <a:endParaRPr lang="en-US"/>
        </a:p>
      </dgm:t>
    </dgm:pt>
    <dgm:pt modelId="{D220A734-341B-4AE8-8E4B-A36479317C7B}">
      <dgm:prSet phldrT="[Text]"/>
      <dgm:spPr/>
      <dgm:t>
        <a:bodyPr/>
        <a:lstStyle/>
        <a:p>
          <a:r>
            <a:rPr lang="en-US"/>
            <a:t>Number &amp; percent of completers employed in all four quarters (three through six, post-graduation) and with wages in each quarter above a minimum threshold.</a:t>
          </a:r>
        </a:p>
      </dgm:t>
    </dgm:pt>
    <dgm:pt modelId="{FD1789EF-6FD3-41E1-8CAF-883732B1DF04}" type="parTrans" cxnId="{C900920D-E3AF-4E3E-865F-6EC0CC153324}">
      <dgm:prSet/>
      <dgm:spPr/>
      <dgm:t>
        <a:bodyPr/>
        <a:lstStyle/>
        <a:p>
          <a:endParaRPr lang="en-US"/>
        </a:p>
      </dgm:t>
    </dgm:pt>
    <dgm:pt modelId="{B6ACF0D8-DC57-4EB2-9382-73516FD4DA89}" type="sibTrans" cxnId="{C900920D-E3AF-4E3E-865F-6EC0CC153324}">
      <dgm:prSet/>
      <dgm:spPr/>
      <dgm:t>
        <a:bodyPr/>
        <a:lstStyle/>
        <a:p>
          <a:endParaRPr lang="en-US"/>
        </a:p>
      </dgm:t>
    </dgm:pt>
    <dgm:pt modelId="{C0D99956-1923-469C-84AB-E1033807CCBD}">
      <dgm:prSet phldrT="[Text]"/>
      <dgm:spPr/>
      <dgm:t>
        <a:bodyPr/>
        <a:lstStyle/>
        <a:p>
          <a:r>
            <a:rPr lang="en-US"/>
            <a:t>Average first year wage of those with wages above the minimum threshold in all four quarters. </a:t>
          </a:r>
        </a:p>
      </dgm:t>
    </dgm:pt>
    <dgm:pt modelId="{361E2642-3AB2-4BAF-8688-8CA92EEC5140}" type="parTrans" cxnId="{7FB9C213-E446-40E7-B0E5-7130D02DB3EB}">
      <dgm:prSet/>
      <dgm:spPr/>
      <dgm:t>
        <a:bodyPr/>
        <a:lstStyle/>
        <a:p>
          <a:endParaRPr lang="en-US"/>
        </a:p>
      </dgm:t>
    </dgm:pt>
    <dgm:pt modelId="{D7E10BF0-253C-4C4E-AB3D-E19F5EB035E8}" type="sibTrans" cxnId="{7FB9C213-E446-40E7-B0E5-7130D02DB3EB}">
      <dgm:prSet/>
      <dgm:spPr/>
      <dgm:t>
        <a:bodyPr/>
        <a:lstStyle/>
        <a:p>
          <a:endParaRPr lang="en-US"/>
        </a:p>
      </dgm:t>
    </dgm:pt>
    <dgm:pt modelId="{2C79EF23-EB20-480B-A5EA-68F722AC3D37}" type="pres">
      <dgm:prSet presAssocID="{C219D761-A81C-4390-B4F0-91C9D06C09A3}" presName="outerComposite" presStyleCnt="0">
        <dgm:presLayoutVars>
          <dgm:chMax val="5"/>
          <dgm:dir/>
          <dgm:resizeHandles val="exact"/>
        </dgm:presLayoutVars>
      </dgm:prSet>
      <dgm:spPr/>
      <dgm:t>
        <a:bodyPr/>
        <a:lstStyle/>
        <a:p>
          <a:endParaRPr lang="en-US"/>
        </a:p>
      </dgm:t>
    </dgm:pt>
    <dgm:pt modelId="{A91C2AAC-919C-4F00-9FC3-C76A06DDBDF5}" type="pres">
      <dgm:prSet presAssocID="{C219D761-A81C-4390-B4F0-91C9D06C09A3}" presName="dummyMaxCanvas" presStyleCnt="0">
        <dgm:presLayoutVars/>
      </dgm:prSet>
      <dgm:spPr/>
      <dgm:t>
        <a:bodyPr/>
        <a:lstStyle/>
        <a:p>
          <a:endParaRPr lang="en-US"/>
        </a:p>
      </dgm:t>
    </dgm:pt>
    <dgm:pt modelId="{6D20FBC0-964B-4F5C-9C3B-8B6117931E65}" type="pres">
      <dgm:prSet presAssocID="{C219D761-A81C-4390-B4F0-91C9D06C09A3}" presName="FourNodes_1" presStyleLbl="node1" presStyleIdx="0" presStyleCnt="4">
        <dgm:presLayoutVars>
          <dgm:bulletEnabled val="1"/>
        </dgm:presLayoutVars>
      </dgm:prSet>
      <dgm:spPr/>
      <dgm:t>
        <a:bodyPr/>
        <a:lstStyle/>
        <a:p>
          <a:endParaRPr lang="en-US"/>
        </a:p>
      </dgm:t>
    </dgm:pt>
    <dgm:pt modelId="{CCD40E30-0908-4F19-87F7-159F8C8DF10F}" type="pres">
      <dgm:prSet presAssocID="{C219D761-A81C-4390-B4F0-91C9D06C09A3}" presName="FourNodes_2" presStyleLbl="node1" presStyleIdx="1" presStyleCnt="4">
        <dgm:presLayoutVars>
          <dgm:bulletEnabled val="1"/>
        </dgm:presLayoutVars>
      </dgm:prSet>
      <dgm:spPr/>
      <dgm:t>
        <a:bodyPr/>
        <a:lstStyle/>
        <a:p>
          <a:endParaRPr lang="en-US"/>
        </a:p>
      </dgm:t>
    </dgm:pt>
    <dgm:pt modelId="{906C2957-A722-4EA6-8F12-7976691E3111}" type="pres">
      <dgm:prSet presAssocID="{C219D761-A81C-4390-B4F0-91C9D06C09A3}" presName="FourNodes_3" presStyleLbl="node1" presStyleIdx="2" presStyleCnt="4">
        <dgm:presLayoutVars>
          <dgm:bulletEnabled val="1"/>
        </dgm:presLayoutVars>
      </dgm:prSet>
      <dgm:spPr/>
      <dgm:t>
        <a:bodyPr/>
        <a:lstStyle/>
        <a:p>
          <a:endParaRPr lang="en-US"/>
        </a:p>
      </dgm:t>
    </dgm:pt>
    <dgm:pt modelId="{AF8FDFD8-1841-4E94-942D-E13FA3F04FB9}" type="pres">
      <dgm:prSet presAssocID="{C219D761-A81C-4390-B4F0-91C9D06C09A3}" presName="FourNodes_4" presStyleLbl="node1" presStyleIdx="3" presStyleCnt="4" custLinFactNeighborX="-8247" custLinFactNeighborY="0">
        <dgm:presLayoutVars>
          <dgm:bulletEnabled val="1"/>
        </dgm:presLayoutVars>
      </dgm:prSet>
      <dgm:spPr/>
      <dgm:t>
        <a:bodyPr/>
        <a:lstStyle/>
        <a:p>
          <a:endParaRPr lang="en-US"/>
        </a:p>
      </dgm:t>
    </dgm:pt>
    <dgm:pt modelId="{33267062-64F8-45B1-AE08-1E5A1E708A41}" type="pres">
      <dgm:prSet presAssocID="{C219D761-A81C-4390-B4F0-91C9D06C09A3}" presName="FourConn_1-2" presStyleLbl="fgAccFollowNode1" presStyleIdx="0" presStyleCnt="3">
        <dgm:presLayoutVars>
          <dgm:bulletEnabled val="1"/>
        </dgm:presLayoutVars>
      </dgm:prSet>
      <dgm:spPr/>
      <dgm:t>
        <a:bodyPr/>
        <a:lstStyle/>
        <a:p>
          <a:endParaRPr lang="en-US"/>
        </a:p>
      </dgm:t>
    </dgm:pt>
    <dgm:pt modelId="{52AC4963-D356-4169-BD1C-B10DA48CD36F}" type="pres">
      <dgm:prSet presAssocID="{C219D761-A81C-4390-B4F0-91C9D06C09A3}" presName="FourConn_2-3" presStyleLbl="fgAccFollowNode1" presStyleIdx="1" presStyleCnt="3">
        <dgm:presLayoutVars>
          <dgm:bulletEnabled val="1"/>
        </dgm:presLayoutVars>
      </dgm:prSet>
      <dgm:spPr/>
      <dgm:t>
        <a:bodyPr/>
        <a:lstStyle/>
        <a:p>
          <a:endParaRPr lang="en-US"/>
        </a:p>
      </dgm:t>
    </dgm:pt>
    <dgm:pt modelId="{C4992465-E76C-4ECE-85AF-8E4A8B52FA65}" type="pres">
      <dgm:prSet presAssocID="{C219D761-A81C-4390-B4F0-91C9D06C09A3}" presName="FourConn_3-4" presStyleLbl="fgAccFollowNode1" presStyleIdx="2" presStyleCnt="3">
        <dgm:presLayoutVars>
          <dgm:bulletEnabled val="1"/>
        </dgm:presLayoutVars>
      </dgm:prSet>
      <dgm:spPr/>
      <dgm:t>
        <a:bodyPr/>
        <a:lstStyle/>
        <a:p>
          <a:endParaRPr lang="en-US"/>
        </a:p>
      </dgm:t>
    </dgm:pt>
    <dgm:pt modelId="{A614895E-965B-4645-AE81-03D18B762C8E}" type="pres">
      <dgm:prSet presAssocID="{C219D761-A81C-4390-B4F0-91C9D06C09A3}" presName="FourNodes_1_text" presStyleLbl="node1" presStyleIdx="3" presStyleCnt="4">
        <dgm:presLayoutVars>
          <dgm:bulletEnabled val="1"/>
        </dgm:presLayoutVars>
      </dgm:prSet>
      <dgm:spPr/>
      <dgm:t>
        <a:bodyPr/>
        <a:lstStyle/>
        <a:p>
          <a:endParaRPr lang="en-US"/>
        </a:p>
      </dgm:t>
    </dgm:pt>
    <dgm:pt modelId="{20A825BB-D052-4DC8-B590-88462E6D4590}" type="pres">
      <dgm:prSet presAssocID="{C219D761-A81C-4390-B4F0-91C9D06C09A3}" presName="FourNodes_2_text" presStyleLbl="node1" presStyleIdx="3" presStyleCnt="4">
        <dgm:presLayoutVars>
          <dgm:bulletEnabled val="1"/>
        </dgm:presLayoutVars>
      </dgm:prSet>
      <dgm:spPr/>
      <dgm:t>
        <a:bodyPr/>
        <a:lstStyle/>
        <a:p>
          <a:endParaRPr lang="en-US"/>
        </a:p>
      </dgm:t>
    </dgm:pt>
    <dgm:pt modelId="{4455B198-C34C-4312-A321-535A3F6CE092}" type="pres">
      <dgm:prSet presAssocID="{C219D761-A81C-4390-B4F0-91C9D06C09A3}" presName="FourNodes_3_text" presStyleLbl="node1" presStyleIdx="3" presStyleCnt="4">
        <dgm:presLayoutVars>
          <dgm:bulletEnabled val="1"/>
        </dgm:presLayoutVars>
      </dgm:prSet>
      <dgm:spPr/>
      <dgm:t>
        <a:bodyPr/>
        <a:lstStyle/>
        <a:p>
          <a:endParaRPr lang="en-US"/>
        </a:p>
      </dgm:t>
    </dgm:pt>
    <dgm:pt modelId="{D9040B1B-1A08-48EC-AD53-CF22E12D2814}" type="pres">
      <dgm:prSet presAssocID="{C219D761-A81C-4390-B4F0-91C9D06C09A3}" presName="FourNodes_4_text" presStyleLbl="node1" presStyleIdx="3" presStyleCnt="4">
        <dgm:presLayoutVars>
          <dgm:bulletEnabled val="1"/>
        </dgm:presLayoutVars>
      </dgm:prSet>
      <dgm:spPr/>
      <dgm:t>
        <a:bodyPr/>
        <a:lstStyle/>
        <a:p>
          <a:endParaRPr lang="en-US"/>
        </a:p>
      </dgm:t>
    </dgm:pt>
  </dgm:ptLst>
  <dgm:cxnLst>
    <dgm:cxn modelId="{35DB2946-ABD0-4CA2-9DA6-2521BD19F1BF}" type="presOf" srcId="{B6ACF0D8-DC57-4EB2-9382-73516FD4DA89}" destId="{C4992465-E76C-4ECE-85AF-8E4A8B52FA65}" srcOrd="0" destOrd="0" presId="urn:microsoft.com/office/officeart/2005/8/layout/vProcess5"/>
    <dgm:cxn modelId="{2767F772-252E-4456-AE0B-696B3015D105}" srcId="{C219D761-A81C-4390-B4F0-91C9D06C09A3}" destId="{62D455A2-E0E7-40DE-9107-5F455164BE7D}" srcOrd="1" destOrd="0" parTransId="{525625F3-48E7-4008-92FD-741674DB341E}" sibTransId="{1162B4AD-CE74-4398-A7FE-A190F838A61E}"/>
    <dgm:cxn modelId="{12310317-3CC3-429A-A911-5EDFDB5E2C19}" type="presOf" srcId="{D220A734-341B-4AE8-8E4B-A36479317C7B}" destId="{4455B198-C34C-4312-A321-535A3F6CE092}" srcOrd="1" destOrd="0" presId="urn:microsoft.com/office/officeart/2005/8/layout/vProcess5"/>
    <dgm:cxn modelId="{D783B7B5-898F-408A-B0CF-E0BE4E9D4DC5}" type="presOf" srcId="{03B4C47F-7569-4721-9941-B40CE8A0037E}" destId="{6D20FBC0-964B-4F5C-9C3B-8B6117931E65}" srcOrd="0" destOrd="0" presId="urn:microsoft.com/office/officeart/2005/8/layout/vProcess5"/>
    <dgm:cxn modelId="{7FB9C213-E446-40E7-B0E5-7130D02DB3EB}" srcId="{C219D761-A81C-4390-B4F0-91C9D06C09A3}" destId="{C0D99956-1923-469C-84AB-E1033807CCBD}" srcOrd="3" destOrd="0" parTransId="{361E2642-3AB2-4BAF-8688-8CA92EEC5140}" sibTransId="{D7E10BF0-253C-4C4E-AB3D-E19F5EB035E8}"/>
    <dgm:cxn modelId="{564ED2F8-8CB5-49A6-B144-2C225714BBCE}" srcId="{C219D761-A81C-4390-B4F0-91C9D06C09A3}" destId="{03B4C47F-7569-4721-9941-B40CE8A0037E}" srcOrd="0" destOrd="0" parTransId="{DC46E692-2105-43AF-A58F-2FE97853877C}" sibTransId="{15D76451-DCA9-492F-9583-F5D6385E8CB6}"/>
    <dgm:cxn modelId="{60A2D792-357B-4595-8A20-DBC9203FB7C4}" type="presOf" srcId="{03B4C47F-7569-4721-9941-B40CE8A0037E}" destId="{A614895E-965B-4645-AE81-03D18B762C8E}" srcOrd="1" destOrd="0" presId="urn:microsoft.com/office/officeart/2005/8/layout/vProcess5"/>
    <dgm:cxn modelId="{1BDC8402-BAE5-49EC-93E8-E938F339AC66}" type="presOf" srcId="{15D76451-DCA9-492F-9583-F5D6385E8CB6}" destId="{33267062-64F8-45B1-AE08-1E5A1E708A41}" srcOrd="0" destOrd="0" presId="urn:microsoft.com/office/officeart/2005/8/layout/vProcess5"/>
    <dgm:cxn modelId="{42E59593-D185-4B52-A074-13F8870C36EE}" type="presOf" srcId="{C0D99956-1923-469C-84AB-E1033807CCBD}" destId="{D9040B1B-1A08-48EC-AD53-CF22E12D2814}" srcOrd="1" destOrd="0" presId="urn:microsoft.com/office/officeart/2005/8/layout/vProcess5"/>
    <dgm:cxn modelId="{8BF38420-CCED-4A2E-A6A8-FDD5F5E5CC6E}" type="presOf" srcId="{62D455A2-E0E7-40DE-9107-5F455164BE7D}" destId="{CCD40E30-0908-4F19-87F7-159F8C8DF10F}" srcOrd="0" destOrd="0" presId="urn:microsoft.com/office/officeart/2005/8/layout/vProcess5"/>
    <dgm:cxn modelId="{A258393F-617F-442C-AECB-1A07F764DA42}" type="presOf" srcId="{D220A734-341B-4AE8-8E4B-A36479317C7B}" destId="{906C2957-A722-4EA6-8F12-7976691E3111}" srcOrd="0" destOrd="0" presId="urn:microsoft.com/office/officeart/2005/8/layout/vProcess5"/>
    <dgm:cxn modelId="{75D79B29-90FE-4BC7-B9CE-E3F7E911CFF7}" type="presOf" srcId="{C219D761-A81C-4390-B4F0-91C9D06C09A3}" destId="{2C79EF23-EB20-480B-A5EA-68F722AC3D37}" srcOrd="0" destOrd="0" presId="urn:microsoft.com/office/officeart/2005/8/layout/vProcess5"/>
    <dgm:cxn modelId="{C900920D-E3AF-4E3E-865F-6EC0CC153324}" srcId="{C219D761-A81C-4390-B4F0-91C9D06C09A3}" destId="{D220A734-341B-4AE8-8E4B-A36479317C7B}" srcOrd="2" destOrd="0" parTransId="{FD1789EF-6FD3-41E1-8CAF-883732B1DF04}" sibTransId="{B6ACF0D8-DC57-4EB2-9382-73516FD4DA89}"/>
    <dgm:cxn modelId="{5FFA1DB9-58A2-4987-A44F-6C57AF5A5527}" type="presOf" srcId="{62D455A2-E0E7-40DE-9107-5F455164BE7D}" destId="{20A825BB-D052-4DC8-B590-88462E6D4590}" srcOrd="1" destOrd="0" presId="urn:microsoft.com/office/officeart/2005/8/layout/vProcess5"/>
    <dgm:cxn modelId="{496EFDCF-A63E-4F1B-AB77-AC50F7EC4E7B}" type="presOf" srcId="{C0D99956-1923-469C-84AB-E1033807CCBD}" destId="{AF8FDFD8-1841-4E94-942D-E13FA3F04FB9}" srcOrd="0" destOrd="0" presId="urn:microsoft.com/office/officeart/2005/8/layout/vProcess5"/>
    <dgm:cxn modelId="{0F6F8E5D-6530-4F58-BE4B-E516A48F97FA}" type="presOf" srcId="{1162B4AD-CE74-4398-A7FE-A190F838A61E}" destId="{52AC4963-D356-4169-BD1C-B10DA48CD36F}" srcOrd="0" destOrd="0" presId="urn:microsoft.com/office/officeart/2005/8/layout/vProcess5"/>
    <dgm:cxn modelId="{B1056015-EE01-411C-9B41-3A3419BEAA65}" type="presParOf" srcId="{2C79EF23-EB20-480B-A5EA-68F722AC3D37}" destId="{A91C2AAC-919C-4F00-9FC3-C76A06DDBDF5}" srcOrd="0" destOrd="0" presId="urn:microsoft.com/office/officeart/2005/8/layout/vProcess5"/>
    <dgm:cxn modelId="{E32B754B-C747-494B-BFAB-39363FB26CE5}" type="presParOf" srcId="{2C79EF23-EB20-480B-A5EA-68F722AC3D37}" destId="{6D20FBC0-964B-4F5C-9C3B-8B6117931E65}" srcOrd="1" destOrd="0" presId="urn:microsoft.com/office/officeart/2005/8/layout/vProcess5"/>
    <dgm:cxn modelId="{743E177E-97E5-4140-879C-4C7D0113B4BE}" type="presParOf" srcId="{2C79EF23-EB20-480B-A5EA-68F722AC3D37}" destId="{CCD40E30-0908-4F19-87F7-159F8C8DF10F}" srcOrd="2" destOrd="0" presId="urn:microsoft.com/office/officeart/2005/8/layout/vProcess5"/>
    <dgm:cxn modelId="{E4731396-3143-4DCF-87E9-9CDBD6D9E727}" type="presParOf" srcId="{2C79EF23-EB20-480B-A5EA-68F722AC3D37}" destId="{906C2957-A722-4EA6-8F12-7976691E3111}" srcOrd="3" destOrd="0" presId="urn:microsoft.com/office/officeart/2005/8/layout/vProcess5"/>
    <dgm:cxn modelId="{81838C59-B3F8-43B9-852C-67F428918FD0}" type="presParOf" srcId="{2C79EF23-EB20-480B-A5EA-68F722AC3D37}" destId="{AF8FDFD8-1841-4E94-942D-E13FA3F04FB9}" srcOrd="4" destOrd="0" presId="urn:microsoft.com/office/officeart/2005/8/layout/vProcess5"/>
    <dgm:cxn modelId="{A64FE479-7449-419D-8E07-A53512A67F2F}" type="presParOf" srcId="{2C79EF23-EB20-480B-A5EA-68F722AC3D37}" destId="{33267062-64F8-45B1-AE08-1E5A1E708A41}" srcOrd="5" destOrd="0" presId="urn:microsoft.com/office/officeart/2005/8/layout/vProcess5"/>
    <dgm:cxn modelId="{BA981631-7975-470E-9F8F-E1AC267AA7DA}" type="presParOf" srcId="{2C79EF23-EB20-480B-A5EA-68F722AC3D37}" destId="{52AC4963-D356-4169-BD1C-B10DA48CD36F}" srcOrd="6" destOrd="0" presId="urn:microsoft.com/office/officeart/2005/8/layout/vProcess5"/>
    <dgm:cxn modelId="{BC495054-04FF-4B8E-9EF7-63FFD4499509}" type="presParOf" srcId="{2C79EF23-EB20-480B-A5EA-68F722AC3D37}" destId="{C4992465-E76C-4ECE-85AF-8E4A8B52FA65}" srcOrd="7" destOrd="0" presId="urn:microsoft.com/office/officeart/2005/8/layout/vProcess5"/>
    <dgm:cxn modelId="{344B7644-C34F-4D40-A8ED-38E4C26D4CD9}" type="presParOf" srcId="{2C79EF23-EB20-480B-A5EA-68F722AC3D37}" destId="{A614895E-965B-4645-AE81-03D18B762C8E}" srcOrd="8" destOrd="0" presId="urn:microsoft.com/office/officeart/2005/8/layout/vProcess5"/>
    <dgm:cxn modelId="{0119856A-67A0-41CB-B48B-C4C59186A387}" type="presParOf" srcId="{2C79EF23-EB20-480B-A5EA-68F722AC3D37}" destId="{20A825BB-D052-4DC8-B590-88462E6D4590}" srcOrd="9" destOrd="0" presId="urn:microsoft.com/office/officeart/2005/8/layout/vProcess5"/>
    <dgm:cxn modelId="{77B67DCF-3328-406A-BEE3-371E7AE5149C}" type="presParOf" srcId="{2C79EF23-EB20-480B-A5EA-68F722AC3D37}" destId="{4455B198-C34C-4312-A321-535A3F6CE092}" srcOrd="10" destOrd="0" presId="urn:microsoft.com/office/officeart/2005/8/layout/vProcess5"/>
    <dgm:cxn modelId="{5DCC6A83-F274-4748-8BCB-9966ECC8DA3B}" type="presParOf" srcId="{2C79EF23-EB20-480B-A5EA-68F722AC3D37}" destId="{D9040B1B-1A08-48EC-AD53-CF22E12D2814}" srcOrd="11" destOrd="0" presId="urn:microsoft.com/office/officeart/2005/8/layout/v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309237-6642-49A9-AF97-995F8399EB0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E9590A9-400B-479D-89FE-0F9EF1D31171}">
      <dgm:prSet phldrT="[Text]" custT="1"/>
      <dgm:spPr>
        <a:xfrm>
          <a:off x="1897754" y="61916"/>
          <a:ext cx="2478080" cy="73951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400" b="1">
              <a:solidFill>
                <a:sysClr val="windowText" lastClr="000000">
                  <a:hueOff val="0"/>
                  <a:satOff val="0"/>
                  <a:lumOff val="0"/>
                  <a:alphaOff val="0"/>
                </a:sysClr>
              </a:solidFill>
              <a:latin typeface="Calibri"/>
              <a:ea typeface="+mn-ea"/>
              <a:cs typeface="+mn-cs"/>
            </a:rPr>
            <a:t>First Year Outcomes</a:t>
          </a:r>
        </a:p>
        <a:p>
          <a:r>
            <a:rPr lang="en-US" sz="1400" b="1">
              <a:solidFill>
                <a:sysClr val="windowText" lastClr="000000">
                  <a:hueOff val="0"/>
                  <a:satOff val="0"/>
                  <a:lumOff val="0"/>
                  <a:alphaOff val="0"/>
                </a:sysClr>
              </a:solidFill>
              <a:latin typeface="Calibri"/>
              <a:ea typeface="+mn-ea"/>
              <a:cs typeface="+mn-cs"/>
            </a:rPr>
            <a:t>UMS, MCCS, Classes 2009-2011</a:t>
          </a:r>
        </a:p>
      </dgm:t>
    </dgm:pt>
    <dgm:pt modelId="{84DF304A-4EEF-416A-AB35-929A58E87409}" type="parTrans" cxnId="{F049C286-D350-43E7-896F-8F995424277C}">
      <dgm:prSet/>
      <dgm:spPr/>
      <dgm:t>
        <a:bodyPr/>
        <a:lstStyle/>
        <a:p>
          <a:endParaRPr lang="en-US"/>
        </a:p>
      </dgm:t>
    </dgm:pt>
    <dgm:pt modelId="{16A06F5F-223C-4545-8E21-F3A2589A3B13}" type="sibTrans" cxnId="{F049C286-D350-43E7-896F-8F995424277C}">
      <dgm:prSet/>
      <dgm:spPr/>
      <dgm:t>
        <a:bodyPr/>
        <a:lstStyle/>
        <a:p>
          <a:endParaRPr lang="en-US"/>
        </a:p>
      </dgm:t>
    </dgm:pt>
    <dgm:pt modelId="{B9AD20EA-F6ED-40F4-8656-94E4BAD14D01}">
      <dgm:prSet phldrT="[Text]" custT="1"/>
      <dgm:spPr>
        <a:xfrm>
          <a:off x="539539" y="965985"/>
          <a:ext cx="2791017" cy="7678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76% employed in Maine</a:t>
          </a:r>
        </a:p>
      </dgm:t>
    </dgm:pt>
    <dgm:pt modelId="{C93AD228-9291-42F6-B35F-75F8E516841D}" type="parTrans" cxnId="{6E6DCDF0-AD35-4C48-ADF8-8D38B28B09FD}">
      <dgm:prSet/>
      <dgm:spPr>
        <a:xfrm>
          <a:off x="1872181" y="741710"/>
          <a:ext cx="1201746" cy="164552"/>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D6F9905B-0125-4A17-938B-C9156737B80C}" type="sibTrans" cxnId="{6E6DCDF0-AD35-4C48-ADF8-8D38B28B09FD}">
      <dgm:prSet/>
      <dgm:spPr/>
      <dgm:t>
        <a:bodyPr/>
        <a:lstStyle/>
        <a:p>
          <a:endParaRPr lang="en-US"/>
        </a:p>
      </dgm:t>
    </dgm:pt>
    <dgm:pt modelId="{E30FB683-3D5E-4357-95A4-EA2B64888048}">
      <dgm:prSet phldrT="[Text]" custT="1"/>
      <dgm:spPr>
        <a:xfrm>
          <a:off x="411549" y="1898438"/>
          <a:ext cx="1455491" cy="104975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46% employed in all quarters (3-6) with wages ≥ minimum wage threshold in each quarter</a:t>
          </a:r>
        </a:p>
      </dgm:t>
    </dgm:pt>
    <dgm:pt modelId="{5A5641C9-5318-405C-963B-A601EA85194B}" type="parTrans" cxnId="{79A474AF-98AA-4443-828E-9D86C1135325}">
      <dgm:prSet/>
      <dgm:spPr>
        <a:xfrm>
          <a:off x="1076428" y="1674162"/>
          <a:ext cx="795752" cy="164552"/>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F3362CA-8E04-4794-89E1-378F84D0BF75}" type="sibTrans" cxnId="{79A474AF-98AA-4443-828E-9D86C1135325}">
      <dgm:prSet/>
      <dgm:spPr/>
      <dgm:t>
        <a:bodyPr/>
        <a:lstStyle/>
        <a:p>
          <a:endParaRPr lang="en-US"/>
        </a:p>
      </dgm:t>
    </dgm:pt>
    <dgm:pt modelId="{2B9C177C-A825-45C7-B3D2-68F386E0E169}">
      <dgm:prSet phldrT="[Text]" custT="1"/>
      <dgm:spPr>
        <a:xfrm>
          <a:off x="1992773" y="1898438"/>
          <a:ext cx="1465772" cy="98945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30% employed, but not in all quarters or with wages below the minimum threshold</a:t>
          </a:r>
        </a:p>
      </dgm:t>
    </dgm:pt>
    <dgm:pt modelId="{9F1152A9-F076-4052-ACC1-C5AB35E5801F}" type="parTrans" cxnId="{DE520D7E-0F4E-4D9E-8021-ACCA490C953B}">
      <dgm:prSet/>
      <dgm:spPr>
        <a:xfrm>
          <a:off x="1872181" y="1674162"/>
          <a:ext cx="790612" cy="164552"/>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E0E1741-80FB-4A85-BD26-896F05BA30C0}" type="sibTrans" cxnId="{DE520D7E-0F4E-4D9E-8021-ACCA490C953B}">
      <dgm:prSet/>
      <dgm:spPr/>
      <dgm:t>
        <a:bodyPr/>
        <a:lstStyle/>
        <a:p>
          <a:endParaRPr lang="en-US"/>
        </a:p>
      </dgm:t>
    </dgm:pt>
    <dgm:pt modelId="{889445D4-4144-4B19-A14B-5D61882B9CEB}">
      <dgm:prSet phldrT="[Text]" custT="1"/>
      <dgm:spPr>
        <a:xfrm>
          <a:off x="3727153" y="965985"/>
          <a:ext cx="2006895" cy="74317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24% with no wage records in Maine</a:t>
          </a:r>
        </a:p>
      </dgm:t>
    </dgm:pt>
    <dgm:pt modelId="{8E42EC6B-0FB8-4F7F-BBA8-F2EC4F7D7800}" type="parTrans" cxnId="{94F0E71C-9C38-4F0B-8519-F95F5FDC88DE}">
      <dgm:prSet/>
      <dgm:spPr>
        <a:xfrm>
          <a:off x="3073927" y="741710"/>
          <a:ext cx="1593807" cy="164552"/>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34EF2A6-7CA5-4A51-B9F4-CCD999954B48}" type="sibTrans" cxnId="{94F0E71C-9C38-4F0B-8519-F95F5FDC88DE}">
      <dgm:prSet/>
      <dgm:spPr/>
      <dgm:t>
        <a:bodyPr/>
        <a:lstStyle/>
        <a:p>
          <a:endParaRPr lang="en-US"/>
        </a:p>
      </dgm:t>
    </dgm:pt>
    <dgm:pt modelId="{C5B8612D-4572-4A21-8D7F-899B7063F1B5}">
      <dgm:prSet phldrT="[Text]" custT="1"/>
      <dgm:spPr>
        <a:xfrm>
          <a:off x="405767" y="3112743"/>
          <a:ext cx="1467056" cy="52361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Average First Year Wages</a:t>
          </a:r>
        </a:p>
      </dgm:t>
    </dgm:pt>
    <dgm:pt modelId="{98DD5764-B74C-401E-8FF7-56D13EC3BB23}" type="parTrans" cxnId="{6748447F-2695-46D9-8277-8E19ACF53AB0}">
      <dgm:prSet/>
      <dgm:spPr>
        <a:xfrm>
          <a:off x="1030708" y="2888467"/>
          <a:ext cx="91440" cy="164552"/>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80296B3-5764-469F-ADD8-D91A4244D280}" type="sibTrans" cxnId="{6748447F-2695-46D9-8277-8E19ACF53AB0}">
      <dgm:prSet/>
      <dgm:spPr/>
      <dgm:t>
        <a:bodyPr/>
        <a:lstStyle/>
        <a:p>
          <a:endParaRPr lang="en-US"/>
        </a:p>
      </dgm:t>
    </dgm:pt>
    <dgm:pt modelId="{D9D81E36-A816-4B9B-B5C6-F04065F18D70}">
      <dgm:prSet phldrT="[Text]" custT="1"/>
      <dgm:spPr>
        <a:xfrm>
          <a:off x="3584278" y="1873712"/>
          <a:ext cx="2292645" cy="98979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24% employed in other states, self-employed, federally employed, not actively seeking work or unemployed </a:t>
          </a:r>
        </a:p>
      </dgm:t>
    </dgm:pt>
    <dgm:pt modelId="{5D77884D-F1DA-462F-9DC7-15410EA27036}" type="parTrans" cxnId="{465D2B1D-FF8F-43C8-9B0D-ADB065C1A91D}">
      <dgm:prSet/>
      <dgm:spPr>
        <a:xfrm>
          <a:off x="4622015" y="1649436"/>
          <a:ext cx="91440" cy="164552"/>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C03F6F7-C1AD-4817-BA58-002EC840CB93}" type="sibTrans" cxnId="{465D2B1D-FF8F-43C8-9B0D-ADB065C1A91D}">
      <dgm:prSet/>
      <dgm:spPr/>
      <dgm:t>
        <a:bodyPr/>
        <a:lstStyle/>
        <a:p>
          <a:endParaRPr lang="en-US"/>
        </a:p>
      </dgm:t>
    </dgm:pt>
    <dgm:pt modelId="{F81BBE2F-C8AF-4231-82AC-8F43C71B97CB}" type="pres">
      <dgm:prSet presAssocID="{D8309237-6642-49A9-AF97-995F8399EB07}" presName="hierChild1" presStyleCnt="0">
        <dgm:presLayoutVars>
          <dgm:chPref val="1"/>
          <dgm:dir/>
          <dgm:animOne val="branch"/>
          <dgm:animLvl val="lvl"/>
          <dgm:resizeHandles/>
        </dgm:presLayoutVars>
      </dgm:prSet>
      <dgm:spPr/>
      <dgm:t>
        <a:bodyPr/>
        <a:lstStyle/>
        <a:p>
          <a:endParaRPr lang="en-US"/>
        </a:p>
      </dgm:t>
    </dgm:pt>
    <dgm:pt modelId="{8633240A-D92F-492F-BFC5-2F3546F7DAF5}" type="pres">
      <dgm:prSet presAssocID="{5E9590A9-400B-479D-89FE-0F9EF1D31171}" presName="hierRoot1" presStyleCnt="0"/>
      <dgm:spPr/>
    </dgm:pt>
    <dgm:pt modelId="{DF7B68A2-1481-4DB4-B57F-C22E81FE41A0}" type="pres">
      <dgm:prSet presAssocID="{5E9590A9-400B-479D-89FE-0F9EF1D31171}" presName="composite" presStyleCnt="0"/>
      <dgm:spPr/>
    </dgm:pt>
    <dgm:pt modelId="{B5B1B835-51A9-46AE-873B-F93C8D90657A}" type="pres">
      <dgm:prSet presAssocID="{5E9590A9-400B-479D-89FE-0F9EF1D31171}" presName="background" presStyleLbl="node0" presStyleIdx="0" presStyleCnt="1"/>
      <dgm:spPr>
        <a:xfrm>
          <a:off x="1834887" y="2193"/>
          <a:ext cx="2478080" cy="7395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CCDF8F51-03CA-4159-8687-59FBF43368FE}" type="pres">
      <dgm:prSet presAssocID="{5E9590A9-400B-479D-89FE-0F9EF1D31171}" presName="text" presStyleLbl="fgAcc0" presStyleIdx="0" presStyleCnt="1" custScaleX="437980" custScaleY="205832" custLinFactNeighborY="-17233">
        <dgm:presLayoutVars>
          <dgm:chPref val="3"/>
        </dgm:presLayoutVars>
      </dgm:prSet>
      <dgm:spPr>
        <a:prstGeom prst="roundRect">
          <a:avLst>
            <a:gd name="adj" fmla="val 10000"/>
          </a:avLst>
        </a:prstGeom>
      </dgm:spPr>
      <dgm:t>
        <a:bodyPr/>
        <a:lstStyle/>
        <a:p>
          <a:endParaRPr lang="en-US"/>
        </a:p>
      </dgm:t>
    </dgm:pt>
    <dgm:pt modelId="{87CE692B-071F-47E0-9A2B-D8B576DAB41A}" type="pres">
      <dgm:prSet presAssocID="{5E9590A9-400B-479D-89FE-0F9EF1D31171}" presName="hierChild2" presStyleCnt="0"/>
      <dgm:spPr/>
    </dgm:pt>
    <dgm:pt modelId="{14F425B1-7E67-472F-B092-7FEE7713BCEE}" type="pres">
      <dgm:prSet presAssocID="{C93AD228-9291-42F6-B35F-75F8E516841D}" presName="Name10" presStyleLbl="parChTrans1D2" presStyleIdx="0" presStyleCnt="2"/>
      <dgm:spPr>
        <a:custGeom>
          <a:avLst/>
          <a:gdLst/>
          <a:ahLst/>
          <a:cxnLst/>
          <a:rect l="0" t="0" r="0" b="0"/>
          <a:pathLst>
            <a:path>
              <a:moveTo>
                <a:pt x="1201746" y="0"/>
              </a:moveTo>
              <a:lnTo>
                <a:pt x="1201746" y="112137"/>
              </a:lnTo>
              <a:lnTo>
                <a:pt x="0" y="112137"/>
              </a:lnTo>
              <a:lnTo>
                <a:pt x="0" y="164552"/>
              </a:lnTo>
            </a:path>
          </a:pathLst>
        </a:custGeom>
      </dgm:spPr>
      <dgm:t>
        <a:bodyPr/>
        <a:lstStyle/>
        <a:p>
          <a:endParaRPr lang="en-US"/>
        </a:p>
      </dgm:t>
    </dgm:pt>
    <dgm:pt modelId="{CE211E41-EEE9-4335-BADE-EE55D039DDFE}" type="pres">
      <dgm:prSet presAssocID="{B9AD20EA-F6ED-40F4-8656-94E4BAD14D01}" presName="hierRoot2" presStyleCnt="0"/>
      <dgm:spPr/>
    </dgm:pt>
    <dgm:pt modelId="{E56CACA2-680F-4253-A934-42EB0CCD78A9}" type="pres">
      <dgm:prSet presAssocID="{B9AD20EA-F6ED-40F4-8656-94E4BAD14D01}" presName="composite2" presStyleCnt="0"/>
      <dgm:spPr/>
    </dgm:pt>
    <dgm:pt modelId="{E8378AEE-89D8-4E7A-82CE-6E86E1670569}" type="pres">
      <dgm:prSet presAssocID="{B9AD20EA-F6ED-40F4-8656-94E4BAD14D01}" presName="background2" presStyleLbl="node2" presStyleIdx="0" presStyleCnt="2"/>
      <dgm:spPr>
        <a:xfrm>
          <a:off x="476672" y="906262"/>
          <a:ext cx="2791017" cy="76789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D29EAFF1-6F18-4B29-807F-B347F80B93AB}" type="pres">
      <dgm:prSet presAssocID="{B9AD20EA-F6ED-40F4-8656-94E4BAD14D01}" presName="text2" presStyleLbl="fgAcc2" presStyleIdx="0" presStyleCnt="2" custScaleX="493289" custScaleY="213732">
        <dgm:presLayoutVars>
          <dgm:chPref val="3"/>
        </dgm:presLayoutVars>
      </dgm:prSet>
      <dgm:spPr>
        <a:prstGeom prst="roundRect">
          <a:avLst>
            <a:gd name="adj" fmla="val 10000"/>
          </a:avLst>
        </a:prstGeom>
      </dgm:spPr>
      <dgm:t>
        <a:bodyPr/>
        <a:lstStyle/>
        <a:p>
          <a:endParaRPr lang="en-US"/>
        </a:p>
      </dgm:t>
    </dgm:pt>
    <dgm:pt modelId="{5087B852-538F-4D56-B81E-0005452516EB}" type="pres">
      <dgm:prSet presAssocID="{B9AD20EA-F6ED-40F4-8656-94E4BAD14D01}" presName="hierChild3" presStyleCnt="0"/>
      <dgm:spPr/>
    </dgm:pt>
    <dgm:pt modelId="{AB33C651-A7A4-435A-BABD-99095BCBDB1E}" type="pres">
      <dgm:prSet presAssocID="{5A5641C9-5318-405C-963B-A601EA85194B}" presName="Name17" presStyleLbl="parChTrans1D3" presStyleIdx="0" presStyleCnt="3"/>
      <dgm:spPr>
        <a:custGeom>
          <a:avLst/>
          <a:gdLst/>
          <a:ahLst/>
          <a:cxnLst/>
          <a:rect l="0" t="0" r="0" b="0"/>
          <a:pathLst>
            <a:path>
              <a:moveTo>
                <a:pt x="795752" y="0"/>
              </a:moveTo>
              <a:lnTo>
                <a:pt x="795752" y="112137"/>
              </a:lnTo>
              <a:lnTo>
                <a:pt x="0" y="112137"/>
              </a:lnTo>
              <a:lnTo>
                <a:pt x="0" y="164552"/>
              </a:lnTo>
            </a:path>
          </a:pathLst>
        </a:custGeom>
      </dgm:spPr>
      <dgm:t>
        <a:bodyPr/>
        <a:lstStyle/>
        <a:p>
          <a:endParaRPr lang="en-US"/>
        </a:p>
      </dgm:t>
    </dgm:pt>
    <dgm:pt modelId="{0CCB4952-F405-4552-BEFB-442615D992CC}" type="pres">
      <dgm:prSet presAssocID="{E30FB683-3D5E-4357-95A4-EA2B64888048}" presName="hierRoot3" presStyleCnt="0"/>
      <dgm:spPr/>
    </dgm:pt>
    <dgm:pt modelId="{AF118ECD-9C6A-4916-BAD0-3F2C6911D5F4}" type="pres">
      <dgm:prSet presAssocID="{E30FB683-3D5E-4357-95A4-EA2B64888048}" presName="composite3" presStyleCnt="0"/>
      <dgm:spPr/>
    </dgm:pt>
    <dgm:pt modelId="{E290540A-D962-4650-98A9-FD46D7A10F46}" type="pres">
      <dgm:prSet presAssocID="{E30FB683-3D5E-4357-95A4-EA2B64888048}" presName="background3" presStyleLbl="node3" presStyleIdx="0" presStyleCnt="3"/>
      <dgm:spPr>
        <a:xfrm>
          <a:off x="348683" y="1838715"/>
          <a:ext cx="1455491" cy="104975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5C187D23-C46D-46FD-B67E-423DE9EA245F}" type="pres">
      <dgm:prSet presAssocID="{E30FB683-3D5E-4357-95A4-EA2B64888048}" presName="text3" presStyleLbl="fgAcc3" presStyleIdx="0" presStyleCnt="3" custScaleX="260564" custScaleY="284115">
        <dgm:presLayoutVars>
          <dgm:chPref val="3"/>
        </dgm:presLayoutVars>
      </dgm:prSet>
      <dgm:spPr>
        <a:prstGeom prst="roundRect">
          <a:avLst>
            <a:gd name="adj" fmla="val 10000"/>
          </a:avLst>
        </a:prstGeom>
      </dgm:spPr>
      <dgm:t>
        <a:bodyPr/>
        <a:lstStyle/>
        <a:p>
          <a:endParaRPr lang="en-US"/>
        </a:p>
      </dgm:t>
    </dgm:pt>
    <dgm:pt modelId="{5D40F2F5-9D91-4ACA-9CC3-CB8A7AA010DE}" type="pres">
      <dgm:prSet presAssocID="{E30FB683-3D5E-4357-95A4-EA2B64888048}" presName="hierChild4" presStyleCnt="0"/>
      <dgm:spPr/>
    </dgm:pt>
    <dgm:pt modelId="{1E464F0F-0F0F-48A3-93AC-212F3D00A9B3}" type="pres">
      <dgm:prSet presAssocID="{98DD5764-B74C-401E-8FF7-56D13EC3BB23}" presName="Name23" presStyleLbl="parChTrans1D4" presStyleIdx="0" presStyleCnt="1"/>
      <dgm:spPr>
        <a:custGeom>
          <a:avLst/>
          <a:gdLst/>
          <a:ahLst/>
          <a:cxnLst/>
          <a:rect l="0" t="0" r="0" b="0"/>
          <a:pathLst>
            <a:path>
              <a:moveTo>
                <a:pt x="45720" y="0"/>
              </a:moveTo>
              <a:lnTo>
                <a:pt x="45720" y="164552"/>
              </a:lnTo>
            </a:path>
          </a:pathLst>
        </a:custGeom>
      </dgm:spPr>
      <dgm:t>
        <a:bodyPr/>
        <a:lstStyle/>
        <a:p>
          <a:endParaRPr lang="en-US"/>
        </a:p>
      </dgm:t>
    </dgm:pt>
    <dgm:pt modelId="{30365772-569C-4A6B-B701-1C9EEF1B8E53}" type="pres">
      <dgm:prSet presAssocID="{C5B8612D-4572-4A21-8D7F-899B7063F1B5}" presName="hierRoot4" presStyleCnt="0"/>
      <dgm:spPr/>
    </dgm:pt>
    <dgm:pt modelId="{49D6466F-4D8E-44A1-8F62-30B5CE44A9BE}" type="pres">
      <dgm:prSet presAssocID="{C5B8612D-4572-4A21-8D7F-899B7063F1B5}" presName="composite4" presStyleCnt="0"/>
      <dgm:spPr/>
    </dgm:pt>
    <dgm:pt modelId="{7BC9FAB3-B271-4EB2-AD48-7737B11AFBD8}" type="pres">
      <dgm:prSet presAssocID="{C5B8612D-4572-4A21-8D7F-899B7063F1B5}" presName="background4" presStyleLbl="node4" presStyleIdx="0" presStyleCnt="1"/>
      <dgm:spPr>
        <a:xfrm>
          <a:off x="342900" y="3053019"/>
          <a:ext cx="1467056" cy="52361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68882A72-4D15-4D3B-BB80-8A94BE4BC48E}" type="pres">
      <dgm:prSet presAssocID="{C5B8612D-4572-4A21-8D7F-899B7063F1B5}" presName="text4" presStyleLbl="fgAcc4" presStyleIdx="0" presStyleCnt="1" custScaleX="259290" custScaleY="145739">
        <dgm:presLayoutVars>
          <dgm:chPref val="3"/>
        </dgm:presLayoutVars>
      </dgm:prSet>
      <dgm:spPr>
        <a:prstGeom prst="roundRect">
          <a:avLst>
            <a:gd name="adj" fmla="val 10000"/>
          </a:avLst>
        </a:prstGeom>
      </dgm:spPr>
      <dgm:t>
        <a:bodyPr/>
        <a:lstStyle/>
        <a:p>
          <a:endParaRPr lang="en-US"/>
        </a:p>
      </dgm:t>
    </dgm:pt>
    <dgm:pt modelId="{50A7B01A-DE01-4049-8AAD-533775B114BA}" type="pres">
      <dgm:prSet presAssocID="{C5B8612D-4572-4A21-8D7F-899B7063F1B5}" presName="hierChild5" presStyleCnt="0"/>
      <dgm:spPr/>
    </dgm:pt>
    <dgm:pt modelId="{A5615D49-1ADF-45CF-80DD-A72B71C337AB}" type="pres">
      <dgm:prSet presAssocID="{9F1152A9-F076-4052-ACC1-C5AB35E5801F}" presName="Name17" presStyleLbl="parChTrans1D3" presStyleIdx="1" presStyleCnt="3"/>
      <dgm:spPr>
        <a:custGeom>
          <a:avLst/>
          <a:gdLst/>
          <a:ahLst/>
          <a:cxnLst/>
          <a:rect l="0" t="0" r="0" b="0"/>
          <a:pathLst>
            <a:path>
              <a:moveTo>
                <a:pt x="0" y="0"/>
              </a:moveTo>
              <a:lnTo>
                <a:pt x="0" y="112137"/>
              </a:lnTo>
              <a:lnTo>
                <a:pt x="790612" y="112137"/>
              </a:lnTo>
              <a:lnTo>
                <a:pt x="790612" y="164552"/>
              </a:lnTo>
            </a:path>
          </a:pathLst>
        </a:custGeom>
      </dgm:spPr>
      <dgm:t>
        <a:bodyPr/>
        <a:lstStyle/>
        <a:p>
          <a:endParaRPr lang="en-US"/>
        </a:p>
      </dgm:t>
    </dgm:pt>
    <dgm:pt modelId="{0226BC80-C759-4BFE-8B82-54D647B927AA}" type="pres">
      <dgm:prSet presAssocID="{2B9C177C-A825-45C7-B3D2-68F386E0E169}" presName="hierRoot3" presStyleCnt="0"/>
      <dgm:spPr/>
    </dgm:pt>
    <dgm:pt modelId="{E06000DE-40BA-4469-ADA2-BB0CAC7F71CB}" type="pres">
      <dgm:prSet presAssocID="{2B9C177C-A825-45C7-B3D2-68F386E0E169}" presName="composite3" presStyleCnt="0"/>
      <dgm:spPr/>
    </dgm:pt>
    <dgm:pt modelId="{117B3BA2-0129-4C80-82AF-C7B4C406727C}" type="pres">
      <dgm:prSet presAssocID="{2B9C177C-A825-45C7-B3D2-68F386E0E169}" presName="background3" presStyleLbl="node3" presStyleIdx="1" presStyleCnt="3"/>
      <dgm:spPr>
        <a:xfrm>
          <a:off x="1929907" y="1838715"/>
          <a:ext cx="1465772" cy="98945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BA7EB0E-F863-4983-96AD-1519203551C4}" type="pres">
      <dgm:prSet presAssocID="{2B9C177C-A825-45C7-B3D2-68F386E0E169}" presName="text3" presStyleLbl="fgAcc3" presStyleIdx="1" presStyleCnt="3" custScaleX="259063" custScaleY="275398">
        <dgm:presLayoutVars>
          <dgm:chPref val="3"/>
        </dgm:presLayoutVars>
      </dgm:prSet>
      <dgm:spPr>
        <a:prstGeom prst="roundRect">
          <a:avLst>
            <a:gd name="adj" fmla="val 10000"/>
          </a:avLst>
        </a:prstGeom>
      </dgm:spPr>
      <dgm:t>
        <a:bodyPr/>
        <a:lstStyle/>
        <a:p>
          <a:endParaRPr lang="en-US"/>
        </a:p>
      </dgm:t>
    </dgm:pt>
    <dgm:pt modelId="{0B4BB814-4103-42E0-8141-99863254517C}" type="pres">
      <dgm:prSet presAssocID="{2B9C177C-A825-45C7-B3D2-68F386E0E169}" presName="hierChild4" presStyleCnt="0"/>
      <dgm:spPr/>
    </dgm:pt>
    <dgm:pt modelId="{237D99CE-2FB0-4375-B4C2-5B9BC5791630}" type="pres">
      <dgm:prSet presAssocID="{8E42EC6B-0FB8-4F7F-BBA8-F2EC4F7D7800}" presName="Name10" presStyleLbl="parChTrans1D2" presStyleIdx="1" presStyleCnt="2"/>
      <dgm:spPr>
        <a:custGeom>
          <a:avLst/>
          <a:gdLst/>
          <a:ahLst/>
          <a:cxnLst/>
          <a:rect l="0" t="0" r="0" b="0"/>
          <a:pathLst>
            <a:path>
              <a:moveTo>
                <a:pt x="0" y="0"/>
              </a:moveTo>
              <a:lnTo>
                <a:pt x="0" y="112137"/>
              </a:lnTo>
              <a:lnTo>
                <a:pt x="1593807" y="112137"/>
              </a:lnTo>
              <a:lnTo>
                <a:pt x="1593807" y="164552"/>
              </a:lnTo>
            </a:path>
          </a:pathLst>
        </a:custGeom>
      </dgm:spPr>
      <dgm:t>
        <a:bodyPr/>
        <a:lstStyle/>
        <a:p>
          <a:endParaRPr lang="en-US"/>
        </a:p>
      </dgm:t>
    </dgm:pt>
    <dgm:pt modelId="{1874E423-6948-458D-95ED-6C8E6F72B6A2}" type="pres">
      <dgm:prSet presAssocID="{889445D4-4144-4B19-A14B-5D61882B9CEB}" presName="hierRoot2" presStyleCnt="0"/>
      <dgm:spPr/>
    </dgm:pt>
    <dgm:pt modelId="{FB5E4CBC-9753-47F7-95CF-0B2E16656A63}" type="pres">
      <dgm:prSet presAssocID="{889445D4-4144-4B19-A14B-5D61882B9CEB}" presName="composite2" presStyleCnt="0"/>
      <dgm:spPr/>
    </dgm:pt>
    <dgm:pt modelId="{6B6CCE82-E675-4474-AC05-D456677726C0}" type="pres">
      <dgm:prSet presAssocID="{889445D4-4144-4B19-A14B-5D61882B9CEB}" presName="background2" presStyleLbl="node2" presStyleIdx="1" presStyleCnt="2"/>
      <dgm:spPr>
        <a:xfrm>
          <a:off x="3664287" y="906262"/>
          <a:ext cx="2006895" cy="7431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C993722A-BD65-4694-AB79-43CA3A2C7439}" type="pres">
      <dgm:prSet presAssocID="{889445D4-4144-4B19-A14B-5D61882B9CEB}" presName="text2" presStyleLbl="fgAcc2" presStyleIdx="1" presStyleCnt="2" custScaleX="354702" custScaleY="206850">
        <dgm:presLayoutVars>
          <dgm:chPref val="3"/>
        </dgm:presLayoutVars>
      </dgm:prSet>
      <dgm:spPr>
        <a:prstGeom prst="roundRect">
          <a:avLst>
            <a:gd name="adj" fmla="val 10000"/>
          </a:avLst>
        </a:prstGeom>
      </dgm:spPr>
      <dgm:t>
        <a:bodyPr/>
        <a:lstStyle/>
        <a:p>
          <a:endParaRPr lang="en-US"/>
        </a:p>
      </dgm:t>
    </dgm:pt>
    <dgm:pt modelId="{78EACE54-A897-4667-AAB5-32DF223F013F}" type="pres">
      <dgm:prSet presAssocID="{889445D4-4144-4B19-A14B-5D61882B9CEB}" presName="hierChild3" presStyleCnt="0"/>
      <dgm:spPr/>
    </dgm:pt>
    <dgm:pt modelId="{1D50FB4F-FF34-473D-A9E1-4F3F1F73F2E1}" type="pres">
      <dgm:prSet presAssocID="{5D77884D-F1DA-462F-9DC7-15410EA27036}" presName="Name17" presStyleLbl="parChTrans1D3" presStyleIdx="2" presStyleCnt="3"/>
      <dgm:spPr>
        <a:custGeom>
          <a:avLst/>
          <a:gdLst/>
          <a:ahLst/>
          <a:cxnLst/>
          <a:rect l="0" t="0" r="0" b="0"/>
          <a:pathLst>
            <a:path>
              <a:moveTo>
                <a:pt x="45720" y="0"/>
              </a:moveTo>
              <a:lnTo>
                <a:pt x="45720" y="164552"/>
              </a:lnTo>
            </a:path>
          </a:pathLst>
        </a:custGeom>
      </dgm:spPr>
      <dgm:t>
        <a:bodyPr/>
        <a:lstStyle/>
        <a:p>
          <a:endParaRPr lang="en-US"/>
        </a:p>
      </dgm:t>
    </dgm:pt>
    <dgm:pt modelId="{2976BDD3-51D5-4F3A-A960-7BFBB7C39DEC}" type="pres">
      <dgm:prSet presAssocID="{D9D81E36-A816-4B9B-B5C6-F04065F18D70}" presName="hierRoot3" presStyleCnt="0"/>
      <dgm:spPr/>
    </dgm:pt>
    <dgm:pt modelId="{419E5161-D0F9-4C01-91EA-A30145D1C567}" type="pres">
      <dgm:prSet presAssocID="{D9D81E36-A816-4B9B-B5C6-F04065F18D70}" presName="composite3" presStyleCnt="0"/>
      <dgm:spPr/>
    </dgm:pt>
    <dgm:pt modelId="{F99337A9-B30C-4FA3-8E95-1D6BFA730995}" type="pres">
      <dgm:prSet presAssocID="{D9D81E36-A816-4B9B-B5C6-F04065F18D70}" presName="background3" presStyleLbl="node3" presStyleIdx="2" presStyleCnt="3"/>
      <dgm:spPr>
        <a:xfrm>
          <a:off x="3521412" y="1813989"/>
          <a:ext cx="2292645" cy="98979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04D45B93-09E8-4DAD-9C76-A20101C85F1C}" type="pres">
      <dgm:prSet presAssocID="{D9D81E36-A816-4B9B-B5C6-F04065F18D70}" presName="text3" presStyleLbl="fgAcc3" presStyleIdx="2" presStyleCnt="3" custScaleX="405206" custScaleY="275494">
        <dgm:presLayoutVars>
          <dgm:chPref val="3"/>
        </dgm:presLayoutVars>
      </dgm:prSet>
      <dgm:spPr>
        <a:prstGeom prst="roundRect">
          <a:avLst>
            <a:gd name="adj" fmla="val 10000"/>
          </a:avLst>
        </a:prstGeom>
      </dgm:spPr>
      <dgm:t>
        <a:bodyPr/>
        <a:lstStyle/>
        <a:p>
          <a:endParaRPr lang="en-US"/>
        </a:p>
      </dgm:t>
    </dgm:pt>
    <dgm:pt modelId="{9738E57C-FE1F-4DDB-B521-E5999D78F399}" type="pres">
      <dgm:prSet presAssocID="{D9D81E36-A816-4B9B-B5C6-F04065F18D70}" presName="hierChild4" presStyleCnt="0"/>
      <dgm:spPr/>
    </dgm:pt>
  </dgm:ptLst>
  <dgm:cxnLst>
    <dgm:cxn modelId="{6E6DCDF0-AD35-4C48-ADF8-8D38B28B09FD}" srcId="{5E9590A9-400B-479D-89FE-0F9EF1D31171}" destId="{B9AD20EA-F6ED-40F4-8656-94E4BAD14D01}" srcOrd="0" destOrd="0" parTransId="{C93AD228-9291-42F6-B35F-75F8E516841D}" sibTransId="{D6F9905B-0125-4A17-938B-C9156737B80C}"/>
    <dgm:cxn modelId="{020313C3-304D-4266-A8A3-77C42178120A}" type="presOf" srcId="{2B9C177C-A825-45C7-B3D2-68F386E0E169}" destId="{1BA7EB0E-F863-4983-96AD-1519203551C4}" srcOrd="0" destOrd="0" presId="urn:microsoft.com/office/officeart/2005/8/layout/hierarchy1"/>
    <dgm:cxn modelId="{D46B2734-B9E4-4DD8-A857-6394993600A3}" type="presOf" srcId="{C5B8612D-4572-4A21-8D7F-899B7063F1B5}" destId="{68882A72-4D15-4D3B-BB80-8A94BE4BC48E}" srcOrd="0" destOrd="0" presId="urn:microsoft.com/office/officeart/2005/8/layout/hierarchy1"/>
    <dgm:cxn modelId="{CF560AE9-2D94-4A45-ADE4-2DA5C18638F8}" type="presOf" srcId="{D8309237-6642-49A9-AF97-995F8399EB07}" destId="{F81BBE2F-C8AF-4231-82AC-8F43C71B97CB}" srcOrd="0" destOrd="0" presId="urn:microsoft.com/office/officeart/2005/8/layout/hierarchy1"/>
    <dgm:cxn modelId="{4087B75A-65FF-48E5-B3EA-6BB57AD0A5E8}" type="presOf" srcId="{8E42EC6B-0FB8-4F7F-BBA8-F2EC4F7D7800}" destId="{237D99CE-2FB0-4375-B4C2-5B9BC5791630}" srcOrd="0" destOrd="0" presId="urn:microsoft.com/office/officeart/2005/8/layout/hierarchy1"/>
    <dgm:cxn modelId="{A406B631-73BF-47A5-8F79-777355829484}" type="presOf" srcId="{5E9590A9-400B-479D-89FE-0F9EF1D31171}" destId="{CCDF8F51-03CA-4159-8687-59FBF43368FE}" srcOrd="0" destOrd="0" presId="urn:microsoft.com/office/officeart/2005/8/layout/hierarchy1"/>
    <dgm:cxn modelId="{4A604D47-B029-49C3-A39F-B03F668703FE}" type="presOf" srcId="{5D77884D-F1DA-462F-9DC7-15410EA27036}" destId="{1D50FB4F-FF34-473D-A9E1-4F3F1F73F2E1}" srcOrd="0" destOrd="0" presId="urn:microsoft.com/office/officeart/2005/8/layout/hierarchy1"/>
    <dgm:cxn modelId="{6748447F-2695-46D9-8277-8E19ACF53AB0}" srcId="{E30FB683-3D5E-4357-95A4-EA2B64888048}" destId="{C5B8612D-4572-4A21-8D7F-899B7063F1B5}" srcOrd="0" destOrd="0" parTransId="{98DD5764-B74C-401E-8FF7-56D13EC3BB23}" sibTransId="{580296B3-5764-469F-ADD8-D91A4244D280}"/>
    <dgm:cxn modelId="{94F0E71C-9C38-4F0B-8519-F95F5FDC88DE}" srcId="{5E9590A9-400B-479D-89FE-0F9EF1D31171}" destId="{889445D4-4144-4B19-A14B-5D61882B9CEB}" srcOrd="1" destOrd="0" parTransId="{8E42EC6B-0FB8-4F7F-BBA8-F2EC4F7D7800}" sibTransId="{B34EF2A6-7CA5-4A51-B9F4-CCD999954B48}"/>
    <dgm:cxn modelId="{7F538DC6-165F-490F-B3B8-32D77B445D74}" type="presOf" srcId="{98DD5764-B74C-401E-8FF7-56D13EC3BB23}" destId="{1E464F0F-0F0F-48A3-93AC-212F3D00A9B3}" srcOrd="0" destOrd="0" presId="urn:microsoft.com/office/officeart/2005/8/layout/hierarchy1"/>
    <dgm:cxn modelId="{5308A13A-029A-4727-80E0-909C8814F073}" type="presOf" srcId="{C93AD228-9291-42F6-B35F-75F8E516841D}" destId="{14F425B1-7E67-472F-B092-7FEE7713BCEE}" srcOrd="0" destOrd="0" presId="urn:microsoft.com/office/officeart/2005/8/layout/hierarchy1"/>
    <dgm:cxn modelId="{DE520D7E-0F4E-4D9E-8021-ACCA490C953B}" srcId="{B9AD20EA-F6ED-40F4-8656-94E4BAD14D01}" destId="{2B9C177C-A825-45C7-B3D2-68F386E0E169}" srcOrd="1" destOrd="0" parTransId="{9F1152A9-F076-4052-ACC1-C5AB35E5801F}" sibTransId="{5E0E1741-80FB-4A85-BD26-896F05BA30C0}"/>
    <dgm:cxn modelId="{CC9ADB32-A2BC-439A-A7A3-7D622A5AFAB4}" type="presOf" srcId="{E30FB683-3D5E-4357-95A4-EA2B64888048}" destId="{5C187D23-C46D-46FD-B67E-423DE9EA245F}" srcOrd="0" destOrd="0" presId="urn:microsoft.com/office/officeart/2005/8/layout/hierarchy1"/>
    <dgm:cxn modelId="{79A474AF-98AA-4443-828E-9D86C1135325}" srcId="{B9AD20EA-F6ED-40F4-8656-94E4BAD14D01}" destId="{E30FB683-3D5E-4357-95A4-EA2B64888048}" srcOrd="0" destOrd="0" parTransId="{5A5641C9-5318-405C-963B-A601EA85194B}" sibTransId="{4F3362CA-8E04-4794-89E1-378F84D0BF75}"/>
    <dgm:cxn modelId="{2C46651F-086C-45CA-A895-8A0132B74DF4}" type="presOf" srcId="{9F1152A9-F076-4052-ACC1-C5AB35E5801F}" destId="{A5615D49-1ADF-45CF-80DD-A72B71C337AB}" srcOrd="0" destOrd="0" presId="urn:microsoft.com/office/officeart/2005/8/layout/hierarchy1"/>
    <dgm:cxn modelId="{F049C286-D350-43E7-896F-8F995424277C}" srcId="{D8309237-6642-49A9-AF97-995F8399EB07}" destId="{5E9590A9-400B-479D-89FE-0F9EF1D31171}" srcOrd="0" destOrd="0" parTransId="{84DF304A-4EEF-416A-AB35-929A58E87409}" sibTransId="{16A06F5F-223C-4545-8E21-F3A2589A3B13}"/>
    <dgm:cxn modelId="{465D2B1D-FF8F-43C8-9B0D-ADB065C1A91D}" srcId="{889445D4-4144-4B19-A14B-5D61882B9CEB}" destId="{D9D81E36-A816-4B9B-B5C6-F04065F18D70}" srcOrd="0" destOrd="0" parTransId="{5D77884D-F1DA-462F-9DC7-15410EA27036}" sibTransId="{FC03F6F7-C1AD-4817-BA58-002EC840CB93}"/>
    <dgm:cxn modelId="{296FC557-FF86-48B2-A45C-CD83215EAA42}" type="presOf" srcId="{B9AD20EA-F6ED-40F4-8656-94E4BAD14D01}" destId="{D29EAFF1-6F18-4B29-807F-B347F80B93AB}" srcOrd="0" destOrd="0" presId="urn:microsoft.com/office/officeart/2005/8/layout/hierarchy1"/>
    <dgm:cxn modelId="{C801605C-0141-40CF-9369-59A433868F91}" type="presOf" srcId="{5A5641C9-5318-405C-963B-A601EA85194B}" destId="{AB33C651-A7A4-435A-BABD-99095BCBDB1E}" srcOrd="0" destOrd="0" presId="urn:microsoft.com/office/officeart/2005/8/layout/hierarchy1"/>
    <dgm:cxn modelId="{4EDC3D41-5B91-41B9-9E28-22BF7BE9541D}" type="presOf" srcId="{D9D81E36-A816-4B9B-B5C6-F04065F18D70}" destId="{04D45B93-09E8-4DAD-9C76-A20101C85F1C}" srcOrd="0" destOrd="0" presId="urn:microsoft.com/office/officeart/2005/8/layout/hierarchy1"/>
    <dgm:cxn modelId="{574C3AFE-4FFA-44F7-9869-4670BE0BAE94}" type="presOf" srcId="{889445D4-4144-4B19-A14B-5D61882B9CEB}" destId="{C993722A-BD65-4694-AB79-43CA3A2C7439}" srcOrd="0" destOrd="0" presId="urn:microsoft.com/office/officeart/2005/8/layout/hierarchy1"/>
    <dgm:cxn modelId="{359AFC9B-1524-4DF7-B4B3-191C0522808C}" type="presParOf" srcId="{F81BBE2F-C8AF-4231-82AC-8F43C71B97CB}" destId="{8633240A-D92F-492F-BFC5-2F3546F7DAF5}" srcOrd="0" destOrd="0" presId="urn:microsoft.com/office/officeart/2005/8/layout/hierarchy1"/>
    <dgm:cxn modelId="{37A8DEF9-277D-4179-9A9A-A924C78AEFF3}" type="presParOf" srcId="{8633240A-D92F-492F-BFC5-2F3546F7DAF5}" destId="{DF7B68A2-1481-4DB4-B57F-C22E81FE41A0}" srcOrd="0" destOrd="0" presId="urn:microsoft.com/office/officeart/2005/8/layout/hierarchy1"/>
    <dgm:cxn modelId="{813FEEFE-E985-4743-87C7-4F6933AFEFB4}" type="presParOf" srcId="{DF7B68A2-1481-4DB4-B57F-C22E81FE41A0}" destId="{B5B1B835-51A9-46AE-873B-F93C8D90657A}" srcOrd="0" destOrd="0" presId="urn:microsoft.com/office/officeart/2005/8/layout/hierarchy1"/>
    <dgm:cxn modelId="{E77C0291-8348-4774-AE18-39586E228E8D}" type="presParOf" srcId="{DF7B68A2-1481-4DB4-B57F-C22E81FE41A0}" destId="{CCDF8F51-03CA-4159-8687-59FBF43368FE}" srcOrd="1" destOrd="0" presId="urn:microsoft.com/office/officeart/2005/8/layout/hierarchy1"/>
    <dgm:cxn modelId="{DAD730E3-1ADA-4A86-A747-492943B49AC5}" type="presParOf" srcId="{8633240A-D92F-492F-BFC5-2F3546F7DAF5}" destId="{87CE692B-071F-47E0-9A2B-D8B576DAB41A}" srcOrd="1" destOrd="0" presId="urn:microsoft.com/office/officeart/2005/8/layout/hierarchy1"/>
    <dgm:cxn modelId="{37B5F3C2-3C7C-4670-B85A-49170912452D}" type="presParOf" srcId="{87CE692B-071F-47E0-9A2B-D8B576DAB41A}" destId="{14F425B1-7E67-472F-B092-7FEE7713BCEE}" srcOrd="0" destOrd="0" presId="urn:microsoft.com/office/officeart/2005/8/layout/hierarchy1"/>
    <dgm:cxn modelId="{99351A10-4608-49EC-B968-AE105AF4DC08}" type="presParOf" srcId="{87CE692B-071F-47E0-9A2B-D8B576DAB41A}" destId="{CE211E41-EEE9-4335-BADE-EE55D039DDFE}" srcOrd="1" destOrd="0" presId="urn:microsoft.com/office/officeart/2005/8/layout/hierarchy1"/>
    <dgm:cxn modelId="{90283A77-FA76-4B65-8B29-C8089C382DE1}" type="presParOf" srcId="{CE211E41-EEE9-4335-BADE-EE55D039DDFE}" destId="{E56CACA2-680F-4253-A934-42EB0CCD78A9}" srcOrd="0" destOrd="0" presId="urn:microsoft.com/office/officeart/2005/8/layout/hierarchy1"/>
    <dgm:cxn modelId="{0E375BE6-D406-4DA8-9364-2B4BD45E75F6}" type="presParOf" srcId="{E56CACA2-680F-4253-A934-42EB0CCD78A9}" destId="{E8378AEE-89D8-4E7A-82CE-6E86E1670569}" srcOrd="0" destOrd="0" presId="urn:microsoft.com/office/officeart/2005/8/layout/hierarchy1"/>
    <dgm:cxn modelId="{6A375EA7-C179-4563-AC5B-3354BE1332FF}" type="presParOf" srcId="{E56CACA2-680F-4253-A934-42EB0CCD78A9}" destId="{D29EAFF1-6F18-4B29-807F-B347F80B93AB}" srcOrd="1" destOrd="0" presId="urn:microsoft.com/office/officeart/2005/8/layout/hierarchy1"/>
    <dgm:cxn modelId="{8E24CD76-8C74-4366-A48F-1DC8A1C9888E}" type="presParOf" srcId="{CE211E41-EEE9-4335-BADE-EE55D039DDFE}" destId="{5087B852-538F-4D56-B81E-0005452516EB}" srcOrd="1" destOrd="0" presId="urn:microsoft.com/office/officeart/2005/8/layout/hierarchy1"/>
    <dgm:cxn modelId="{7D61545F-6985-49C8-BB21-FD210C39DC6D}" type="presParOf" srcId="{5087B852-538F-4D56-B81E-0005452516EB}" destId="{AB33C651-A7A4-435A-BABD-99095BCBDB1E}" srcOrd="0" destOrd="0" presId="urn:microsoft.com/office/officeart/2005/8/layout/hierarchy1"/>
    <dgm:cxn modelId="{AFDA30B1-A6AC-42E7-BA68-FB0B5F26BB5F}" type="presParOf" srcId="{5087B852-538F-4D56-B81E-0005452516EB}" destId="{0CCB4952-F405-4552-BEFB-442615D992CC}" srcOrd="1" destOrd="0" presId="urn:microsoft.com/office/officeart/2005/8/layout/hierarchy1"/>
    <dgm:cxn modelId="{E8EB53FA-DA10-4E51-99C1-19C212AEEC99}" type="presParOf" srcId="{0CCB4952-F405-4552-BEFB-442615D992CC}" destId="{AF118ECD-9C6A-4916-BAD0-3F2C6911D5F4}" srcOrd="0" destOrd="0" presId="urn:microsoft.com/office/officeart/2005/8/layout/hierarchy1"/>
    <dgm:cxn modelId="{9BEDF3E9-A0D7-4790-83E5-2458262C5C09}" type="presParOf" srcId="{AF118ECD-9C6A-4916-BAD0-3F2C6911D5F4}" destId="{E290540A-D962-4650-98A9-FD46D7A10F46}" srcOrd="0" destOrd="0" presId="urn:microsoft.com/office/officeart/2005/8/layout/hierarchy1"/>
    <dgm:cxn modelId="{8701AC5D-7CAF-47D0-A139-BAC28F8339A3}" type="presParOf" srcId="{AF118ECD-9C6A-4916-BAD0-3F2C6911D5F4}" destId="{5C187D23-C46D-46FD-B67E-423DE9EA245F}" srcOrd="1" destOrd="0" presId="urn:microsoft.com/office/officeart/2005/8/layout/hierarchy1"/>
    <dgm:cxn modelId="{55AA2041-61B0-4831-8DA0-BB52A8A00A45}" type="presParOf" srcId="{0CCB4952-F405-4552-BEFB-442615D992CC}" destId="{5D40F2F5-9D91-4ACA-9CC3-CB8A7AA010DE}" srcOrd="1" destOrd="0" presId="urn:microsoft.com/office/officeart/2005/8/layout/hierarchy1"/>
    <dgm:cxn modelId="{30A56827-3F1F-44E9-BD2E-25B4CC008FC7}" type="presParOf" srcId="{5D40F2F5-9D91-4ACA-9CC3-CB8A7AA010DE}" destId="{1E464F0F-0F0F-48A3-93AC-212F3D00A9B3}" srcOrd="0" destOrd="0" presId="urn:microsoft.com/office/officeart/2005/8/layout/hierarchy1"/>
    <dgm:cxn modelId="{FE31B59A-1DC3-4D6A-93EE-AB2B6DCBE307}" type="presParOf" srcId="{5D40F2F5-9D91-4ACA-9CC3-CB8A7AA010DE}" destId="{30365772-569C-4A6B-B701-1C9EEF1B8E53}" srcOrd="1" destOrd="0" presId="urn:microsoft.com/office/officeart/2005/8/layout/hierarchy1"/>
    <dgm:cxn modelId="{87A3D757-227D-406C-BAA5-891CC0E9C550}" type="presParOf" srcId="{30365772-569C-4A6B-B701-1C9EEF1B8E53}" destId="{49D6466F-4D8E-44A1-8F62-30B5CE44A9BE}" srcOrd="0" destOrd="0" presId="urn:microsoft.com/office/officeart/2005/8/layout/hierarchy1"/>
    <dgm:cxn modelId="{D9EF1F7D-11A1-47A0-83C0-2633B355B825}" type="presParOf" srcId="{49D6466F-4D8E-44A1-8F62-30B5CE44A9BE}" destId="{7BC9FAB3-B271-4EB2-AD48-7737B11AFBD8}" srcOrd="0" destOrd="0" presId="urn:microsoft.com/office/officeart/2005/8/layout/hierarchy1"/>
    <dgm:cxn modelId="{A2B81F41-2C58-4EF0-A4F3-D0C53BA01BAF}" type="presParOf" srcId="{49D6466F-4D8E-44A1-8F62-30B5CE44A9BE}" destId="{68882A72-4D15-4D3B-BB80-8A94BE4BC48E}" srcOrd="1" destOrd="0" presId="urn:microsoft.com/office/officeart/2005/8/layout/hierarchy1"/>
    <dgm:cxn modelId="{1EF0DF42-F09B-42E2-812D-E5ACC8C986B5}" type="presParOf" srcId="{30365772-569C-4A6B-B701-1C9EEF1B8E53}" destId="{50A7B01A-DE01-4049-8AAD-533775B114BA}" srcOrd="1" destOrd="0" presId="urn:microsoft.com/office/officeart/2005/8/layout/hierarchy1"/>
    <dgm:cxn modelId="{1ADD8A77-C4C6-4F7F-B3A3-5524FBA66293}" type="presParOf" srcId="{5087B852-538F-4D56-B81E-0005452516EB}" destId="{A5615D49-1ADF-45CF-80DD-A72B71C337AB}" srcOrd="2" destOrd="0" presId="urn:microsoft.com/office/officeart/2005/8/layout/hierarchy1"/>
    <dgm:cxn modelId="{6662A386-FC3C-4747-BAE0-9B21589ABBBC}" type="presParOf" srcId="{5087B852-538F-4D56-B81E-0005452516EB}" destId="{0226BC80-C759-4BFE-8B82-54D647B927AA}" srcOrd="3" destOrd="0" presId="urn:microsoft.com/office/officeart/2005/8/layout/hierarchy1"/>
    <dgm:cxn modelId="{187C8035-A751-48F9-89B4-AEE238A111E1}" type="presParOf" srcId="{0226BC80-C759-4BFE-8B82-54D647B927AA}" destId="{E06000DE-40BA-4469-ADA2-BB0CAC7F71CB}" srcOrd="0" destOrd="0" presId="urn:microsoft.com/office/officeart/2005/8/layout/hierarchy1"/>
    <dgm:cxn modelId="{80B9B386-6056-4FF0-A8C7-5DA33DBD589D}" type="presParOf" srcId="{E06000DE-40BA-4469-ADA2-BB0CAC7F71CB}" destId="{117B3BA2-0129-4C80-82AF-C7B4C406727C}" srcOrd="0" destOrd="0" presId="urn:microsoft.com/office/officeart/2005/8/layout/hierarchy1"/>
    <dgm:cxn modelId="{0CF0188C-2A7B-4319-A637-68E40ECB3E3B}" type="presParOf" srcId="{E06000DE-40BA-4469-ADA2-BB0CAC7F71CB}" destId="{1BA7EB0E-F863-4983-96AD-1519203551C4}" srcOrd="1" destOrd="0" presId="urn:microsoft.com/office/officeart/2005/8/layout/hierarchy1"/>
    <dgm:cxn modelId="{F12DE142-E403-4745-89EF-4D5D431B5ABD}" type="presParOf" srcId="{0226BC80-C759-4BFE-8B82-54D647B927AA}" destId="{0B4BB814-4103-42E0-8141-99863254517C}" srcOrd="1" destOrd="0" presId="urn:microsoft.com/office/officeart/2005/8/layout/hierarchy1"/>
    <dgm:cxn modelId="{A2C8B80B-4F27-4966-9051-3D347DC4562B}" type="presParOf" srcId="{87CE692B-071F-47E0-9A2B-D8B576DAB41A}" destId="{237D99CE-2FB0-4375-B4C2-5B9BC5791630}" srcOrd="2" destOrd="0" presId="urn:microsoft.com/office/officeart/2005/8/layout/hierarchy1"/>
    <dgm:cxn modelId="{286B1433-1591-43A5-B99E-08AA142D4281}" type="presParOf" srcId="{87CE692B-071F-47E0-9A2B-D8B576DAB41A}" destId="{1874E423-6948-458D-95ED-6C8E6F72B6A2}" srcOrd="3" destOrd="0" presId="urn:microsoft.com/office/officeart/2005/8/layout/hierarchy1"/>
    <dgm:cxn modelId="{345D85A0-4BD2-423A-99AF-FE6180EB2094}" type="presParOf" srcId="{1874E423-6948-458D-95ED-6C8E6F72B6A2}" destId="{FB5E4CBC-9753-47F7-95CF-0B2E16656A63}" srcOrd="0" destOrd="0" presId="urn:microsoft.com/office/officeart/2005/8/layout/hierarchy1"/>
    <dgm:cxn modelId="{A13654BA-06C9-465D-8EB6-1A73F43AE263}" type="presParOf" srcId="{FB5E4CBC-9753-47F7-95CF-0B2E16656A63}" destId="{6B6CCE82-E675-4474-AC05-D456677726C0}" srcOrd="0" destOrd="0" presId="urn:microsoft.com/office/officeart/2005/8/layout/hierarchy1"/>
    <dgm:cxn modelId="{A3223530-418E-4164-87FE-77E0892BDFBC}" type="presParOf" srcId="{FB5E4CBC-9753-47F7-95CF-0B2E16656A63}" destId="{C993722A-BD65-4694-AB79-43CA3A2C7439}" srcOrd="1" destOrd="0" presId="urn:microsoft.com/office/officeart/2005/8/layout/hierarchy1"/>
    <dgm:cxn modelId="{96F5FC05-D353-4B84-9E7F-7989AD219DD8}" type="presParOf" srcId="{1874E423-6948-458D-95ED-6C8E6F72B6A2}" destId="{78EACE54-A897-4667-AAB5-32DF223F013F}" srcOrd="1" destOrd="0" presId="urn:microsoft.com/office/officeart/2005/8/layout/hierarchy1"/>
    <dgm:cxn modelId="{565AEBC6-7FF5-4AD2-949C-4063552FEB39}" type="presParOf" srcId="{78EACE54-A897-4667-AAB5-32DF223F013F}" destId="{1D50FB4F-FF34-473D-A9E1-4F3F1F73F2E1}" srcOrd="0" destOrd="0" presId="urn:microsoft.com/office/officeart/2005/8/layout/hierarchy1"/>
    <dgm:cxn modelId="{38D0763D-B031-4218-AFD8-DD1D6D6D3E23}" type="presParOf" srcId="{78EACE54-A897-4667-AAB5-32DF223F013F}" destId="{2976BDD3-51D5-4F3A-A960-7BFBB7C39DEC}" srcOrd="1" destOrd="0" presId="urn:microsoft.com/office/officeart/2005/8/layout/hierarchy1"/>
    <dgm:cxn modelId="{85996912-E3B6-4BA6-8404-F8E62AA765F9}" type="presParOf" srcId="{2976BDD3-51D5-4F3A-A960-7BFBB7C39DEC}" destId="{419E5161-D0F9-4C01-91EA-A30145D1C567}" srcOrd="0" destOrd="0" presId="urn:microsoft.com/office/officeart/2005/8/layout/hierarchy1"/>
    <dgm:cxn modelId="{F03119CC-39F7-4298-92FA-153E940B7816}" type="presParOf" srcId="{419E5161-D0F9-4C01-91EA-A30145D1C567}" destId="{F99337A9-B30C-4FA3-8E95-1D6BFA730995}" srcOrd="0" destOrd="0" presId="urn:microsoft.com/office/officeart/2005/8/layout/hierarchy1"/>
    <dgm:cxn modelId="{41307B39-B09C-4D6F-AFC4-9F579606EFE3}" type="presParOf" srcId="{419E5161-D0F9-4C01-91EA-A30145D1C567}" destId="{04D45B93-09E8-4DAD-9C76-A20101C85F1C}" srcOrd="1" destOrd="0" presId="urn:microsoft.com/office/officeart/2005/8/layout/hierarchy1"/>
    <dgm:cxn modelId="{F02E5A11-C02A-453E-84FE-35EDEB930310}" type="presParOf" srcId="{2976BDD3-51D5-4F3A-A960-7BFBB7C39DEC}" destId="{9738E57C-FE1F-4DDB-B521-E5999D78F399}"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60CD25-DA9F-40FE-AC66-06C8237B8B81}">
      <dsp:nvSpPr>
        <dsp:cNvPr id="0" name=""/>
        <dsp:cNvSpPr/>
      </dsp:nvSpPr>
      <dsp:spPr>
        <a:xfrm>
          <a:off x="1861185" y="0"/>
          <a:ext cx="1440179" cy="8000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Link</a:t>
          </a:r>
        </a:p>
      </dsp:txBody>
      <dsp:txXfrm>
        <a:off x="1884619" y="23434"/>
        <a:ext cx="1393311" cy="753231"/>
      </dsp:txXfrm>
    </dsp:sp>
    <dsp:sp modelId="{B57163A9-35DD-49C9-887A-E8B7D7599F5F}">
      <dsp:nvSpPr>
        <dsp:cNvPr id="0" name=""/>
        <dsp:cNvSpPr/>
      </dsp:nvSpPr>
      <dsp:spPr>
        <a:xfrm rot="5400000">
          <a:off x="2431256" y="820102"/>
          <a:ext cx="300037" cy="36004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2473262" y="850106"/>
        <a:ext cx="216026" cy="210026"/>
      </dsp:txXfrm>
    </dsp:sp>
    <dsp:sp modelId="{AA4CBB35-BD0A-4DD7-A5D2-89348F81DF8B}">
      <dsp:nvSpPr>
        <dsp:cNvPr id="0" name=""/>
        <dsp:cNvSpPr/>
      </dsp:nvSpPr>
      <dsp:spPr>
        <a:xfrm>
          <a:off x="1861185" y="1200150"/>
          <a:ext cx="1440179" cy="8000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Aggregate</a:t>
          </a:r>
        </a:p>
      </dsp:txBody>
      <dsp:txXfrm>
        <a:off x="1884619" y="1223584"/>
        <a:ext cx="1393311" cy="753231"/>
      </dsp:txXfrm>
    </dsp:sp>
    <dsp:sp modelId="{457FA06C-32F8-4F50-9AD1-C8E52C2D46E0}">
      <dsp:nvSpPr>
        <dsp:cNvPr id="0" name=""/>
        <dsp:cNvSpPr/>
      </dsp:nvSpPr>
      <dsp:spPr>
        <a:xfrm rot="5400000">
          <a:off x="2431256" y="2020252"/>
          <a:ext cx="300037" cy="36004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2473262" y="2050256"/>
        <a:ext cx="216026" cy="210026"/>
      </dsp:txXfrm>
    </dsp:sp>
    <dsp:sp modelId="{A3199A82-5A57-497E-A2D0-388577197BBD}">
      <dsp:nvSpPr>
        <dsp:cNvPr id="0" name=""/>
        <dsp:cNvSpPr/>
      </dsp:nvSpPr>
      <dsp:spPr>
        <a:xfrm>
          <a:off x="1861185" y="2400300"/>
          <a:ext cx="1440179" cy="8000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Report</a:t>
          </a:r>
        </a:p>
      </dsp:txBody>
      <dsp:txXfrm>
        <a:off x="1884619" y="2423734"/>
        <a:ext cx="1393311" cy="7532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0FBC0-964B-4F5C-9C3B-8B6117931E65}">
      <dsp:nvSpPr>
        <dsp:cNvPr id="0" name=""/>
        <dsp:cNvSpPr/>
      </dsp:nvSpPr>
      <dsp:spPr>
        <a:xfrm>
          <a:off x="0" y="0"/>
          <a:ext cx="4884420" cy="7040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Number of program completers by credential, area of study, school and school system.</a:t>
          </a:r>
        </a:p>
      </dsp:txBody>
      <dsp:txXfrm>
        <a:off x="20622" y="20622"/>
        <a:ext cx="4065158" cy="662844"/>
      </dsp:txXfrm>
    </dsp:sp>
    <dsp:sp modelId="{CCD40E30-0908-4F19-87F7-159F8C8DF10F}">
      <dsp:nvSpPr>
        <dsp:cNvPr id="0" name=""/>
        <dsp:cNvSpPr/>
      </dsp:nvSpPr>
      <dsp:spPr>
        <a:xfrm>
          <a:off x="409070" y="832104"/>
          <a:ext cx="4884420" cy="7040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Number &amp; percent of completers with any employment in Maine during quarters three through six, post-graduation.</a:t>
          </a:r>
        </a:p>
      </dsp:txBody>
      <dsp:txXfrm>
        <a:off x="429692" y="852726"/>
        <a:ext cx="3976448" cy="662844"/>
      </dsp:txXfrm>
    </dsp:sp>
    <dsp:sp modelId="{906C2957-A722-4EA6-8F12-7976691E3111}">
      <dsp:nvSpPr>
        <dsp:cNvPr id="0" name=""/>
        <dsp:cNvSpPr/>
      </dsp:nvSpPr>
      <dsp:spPr>
        <a:xfrm>
          <a:off x="812034" y="1664208"/>
          <a:ext cx="4884420" cy="7040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Number &amp; percent of completers employed in all four quarters (three through six, post-graduation) and with wages in each quarter above a minimum threshold.</a:t>
          </a:r>
        </a:p>
      </dsp:txBody>
      <dsp:txXfrm>
        <a:off x="832656" y="1684830"/>
        <a:ext cx="3982554" cy="662844"/>
      </dsp:txXfrm>
    </dsp:sp>
    <dsp:sp modelId="{AF8FDFD8-1841-4E94-942D-E13FA3F04FB9}">
      <dsp:nvSpPr>
        <dsp:cNvPr id="0" name=""/>
        <dsp:cNvSpPr/>
      </dsp:nvSpPr>
      <dsp:spPr>
        <a:xfrm>
          <a:off x="818286" y="2496312"/>
          <a:ext cx="4884420" cy="7040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Average first year wage of those with wages above the minimum threshold in all four quarters. </a:t>
          </a:r>
        </a:p>
      </dsp:txBody>
      <dsp:txXfrm>
        <a:off x="838908" y="2516934"/>
        <a:ext cx="3976448" cy="662844"/>
      </dsp:txXfrm>
    </dsp:sp>
    <dsp:sp modelId="{33267062-64F8-45B1-AE08-1E5A1E708A41}">
      <dsp:nvSpPr>
        <dsp:cNvPr id="0" name=""/>
        <dsp:cNvSpPr/>
      </dsp:nvSpPr>
      <dsp:spPr>
        <a:xfrm>
          <a:off x="4426762" y="539267"/>
          <a:ext cx="457657" cy="457657"/>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dsp:txBody>
      <dsp:txXfrm>
        <a:off x="4529735" y="539267"/>
        <a:ext cx="251711" cy="344387"/>
      </dsp:txXfrm>
    </dsp:sp>
    <dsp:sp modelId="{52AC4963-D356-4169-BD1C-B10DA48CD36F}">
      <dsp:nvSpPr>
        <dsp:cNvPr id="0" name=""/>
        <dsp:cNvSpPr/>
      </dsp:nvSpPr>
      <dsp:spPr>
        <a:xfrm>
          <a:off x="4835832" y="1371371"/>
          <a:ext cx="457657" cy="457657"/>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dsp:txBody>
      <dsp:txXfrm>
        <a:off x="4938805" y="1371371"/>
        <a:ext cx="251711" cy="344387"/>
      </dsp:txXfrm>
    </dsp:sp>
    <dsp:sp modelId="{C4992465-E76C-4ECE-85AF-8E4A8B52FA65}">
      <dsp:nvSpPr>
        <dsp:cNvPr id="0" name=""/>
        <dsp:cNvSpPr/>
      </dsp:nvSpPr>
      <dsp:spPr>
        <a:xfrm>
          <a:off x="5238797" y="2203475"/>
          <a:ext cx="457657" cy="457657"/>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dsp:txBody>
      <dsp:txXfrm>
        <a:off x="5341770" y="2203475"/>
        <a:ext cx="251711" cy="3443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0FB4F-FF34-473D-A9E1-4F3F1F73F2E1}">
      <dsp:nvSpPr>
        <dsp:cNvPr id="0" name=""/>
        <dsp:cNvSpPr/>
      </dsp:nvSpPr>
      <dsp:spPr>
        <a:xfrm>
          <a:off x="4641735" y="1662612"/>
          <a:ext cx="91440" cy="165943"/>
        </a:xfrm>
        <a:custGeom>
          <a:avLst/>
          <a:gdLst/>
          <a:ahLst/>
          <a:cxnLst/>
          <a:rect l="0" t="0" r="0" b="0"/>
          <a:pathLst>
            <a:path>
              <a:moveTo>
                <a:pt x="45720" y="0"/>
              </a:moveTo>
              <a:lnTo>
                <a:pt x="45720" y="1645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7D99CE-2FB0-4375-B4C2-5B9BC5791630}">
      <dsp:nvSpPr>
        <dsp:cNvPr id="0" name=""/>
        <dsp:cNvSpPr/>
      </dsp:nvSpPr>
      <dsp:spPr>
        <a:xfrm>
          <a:off x="3075440" y="685540"/>
          <a:ext cx="1612014" cy="227616"/>
        </a:xfrm>
        <a:custGeom>
          <a:avLst/>
          <a:gdLst/>
          <a:ahLst/>
          <a:cxnLst/>
          <a:rect l="0" t="0" r="0" b="0"/>
          <a:pathLst>
            <a:path>
              <a:moveTo>
                <a:pt x="0" y="0"/>
              </a:moveTo>
              <a:lnTo>
                <a:pt x="0" y="112137"/>
              </a:lnTo>
              <a:lnTo>
                <a:pt x="1593807" y="112137"/>
              </a:lnTo>
              <a:lnTo>
                <a:pt x="1593807" y="16455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615D49-1ADF-45CF-80DD-A72B71C337AB}">
      <dsp:nvSpPr>
        <dsp:cNvPr id="0" name=""/>
        <dsp:cNvSpPr/>
      </dsp:nvSpPr>
      <dsp:spPr>
        <a:xfrm>
          <a:off x="1858801" y="1687547"/>
          <a:ext cx="806762" cy="165943"/>
        </a:xfrm>
        <a:custGeom>
          <a:avLst/>
          <a:gdLst/>
          <a:ahLst/>
          <a:cxnLst/>
          <a:rect l="0" t="0" r="0" b="0"/>
          <a:pathLst>
            <a:path>
              <a:moveTo>
                <a:pt x="0" y="0"/>
              </a:moveTo>
              <a:lnTo>
                <a:pt x="0" y="112137"/>
              </a:lnTo>
              <a:lnTo>
                <a:pt x="790612" y="112137"/>
              </a:lnTo>
              <a:lnTo>
                <a:pt x="790612" y="1645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E464F0F-0F0F-48A3-93AC-212F3D00A9B3}">
      <dsp:nvSpPr>
        <dsp:cNvPr id="0" name=""/>
        <dsp:cNvSpPr/>
      </dsp:nvSpPr>
      <dsp:spPr>
        <a:xfrm>
          <a:off x="1010601" y="2882893"/>
          <a:ext cx="91440" cy="165943"/>
        </a:xfrm>
        <a:custGeom>
          <a:avLst/>
          <a:gdLst/>
          <a:ahLst/>
          <a:cxnLst/>
          <a:rect l="0" t="0" r="0" b="0"/>
          <a:pathLst>
            <a:path>
              <a:moveTo>
                <a:pt x="45720" y="0"/>
              </a:moveTo>
              <a:lnTo>
                <a:pt x="45720" y="1645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33C651-A7A4-435A-BABD-99095BCBDB1E}">
      <dsp:nvSpPr>
        <dsp:cNvPr id="0" name=""/>
        <dsp:cNvSpPr/>
      </dsp:nvSpPr>
      <dsp:spPr>
        <a:xfrm>
          <a:off x="1056321" y="1687547"/>
          <a:ext cx="802479" cy="165943"/>
        </a:xfrm>
        <a:custGeom>
          <a:avLst/>
          <a:gdLst/>
          <a:ahLst/>
          <a:cxnLst/>
          <a:rect l="0" t="0" r="0" b="0"/>
          <a:pathLst>
            <a:path>
              <a:moveTo>
                <a:pt x="795752" y="0"/>
              </a:moveTo>
              <a:lnTo>
                <a:pt x="795752" y="112137"/>
              </a:lnTo>
              <a:lnTo>
                <a:pt x="0" y="112137"/>
              </a:lnTo>
              <a:lnTo>
                <a:pt x="0" y="1645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F425B1-7E67-472F-B092-7FEE7713BCEE}">
      <dsp:nvSpPr>
        <dsp:cNvPr id="0" name=""/>
        <dsp:cNvSpPr/>
      </dsp:nvSpPr>
      <dsp:spPr>
        <a:xfrm>
          <a:off x="1858801" y="685540"/>
          <a:ext cx="1216639" cy="227616"/>
        </a:xfrm>
        <a:custGeom>
          <a:avLst/>
          <a:gdLst/>
          <a:ahLst/>
          <a:cxnLst/>
          <a:rect l="0" t="0" r="0" b="0"/>
          <a:pathLst>
            <a:path>
              <a:moveTo>
                <a:pt x="1201746" y="0"/>
              </a:moveTo>
              <a:lnTo>
                <a:pt x="1201746" y="112137"/>
              </a:lnTo>
              <a:lnTo>
                <a:pt x="0" y="112137"/>
              </a:lnTo>
              <a:lnTo>
                <a:pt x="0" y="16455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B1B835-51A9-46AE-873B-F93C8D90657A}">
      <dsp:nvSpPr>
        <dsp:cNvPr id="0" name=""/>
        <dsp:cNvSpPr/>
      </dsp:nvSpPr>
      <dsp:spPr>
        <a:xfrm>
          <a:off x="1825925" y="-60227"/>
          <a:ext cx="2499030" cy="74576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CDF8F51-03CA-4159-8687-59FBF43368FE}">
      <dsp:nvSpPr>
        <dsp:cNvPr id="0" name=""/>
        <dsp:cNvSpPr/>
      </dsp:nvSpPr>
      <dsp:spPr>
        <a:xfrm>
          <a:off x="1889323" y="0"/>
          <a:ext cx="2499030" cy="74576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hueOff val="0"/>
                  <a:satOff val="0"/>
                  <a:lumOff val="0"/>
                  <a:alphaOff val="0"/>
                </a:sysClr>
              </a:solidFill>
              <a:latin typeface="Calibri"/>
              <a:ea typeface="+mn-ea"/>
              <a:cs typeface="+mn-cs"/>
            </a:rPr>
            <a:t>First Year Outcomes</a:t>
          </a:r>
        </a:p>
        <a:p>
          <a:pPr lvl="0" algn="ctr" defTabSz="622300">
            <a:lnSpc>
              <a:spcPct val="90000"/>
            </a:lnSpc>
            <a:spcBef>
              <a:spcPct val="0"/>
            </a:spcBef>
            <a:spcAft>
              <a:spcPct val="35000"/>
            </a:spcAft>
          </a:pPr>
          <a:r>
            <a:rPr lang="en-US" sz="1400" b="1" kern="1200">
              <a:solidFill>
                <a:sysClr val="windowText" lastClr="000000">
                  <a:hueOff val="0"/>
                  <a:satOff val="0"/>
                  <a:lumOff val="0"/>
                  <a:alphaOff val="0"/>
                </a:sysClr>
              </a:solidFill>
              <a:latin typeface="Calibri"/>
              <a:ea typeface="+mn-ea"/>
              <a:cs typeface="+mn-cs"/>
            </a:rPr>
            <a:t>UMS, MCCS, Classes 2009-2011</a:t>
          </a:r>
        </a:p>
      </dsp:txBody>
      <dsp:txXfrm>
        <a:off x="1911166" y="21843"/>
        <a:ext cx="2455344" cy="702082"/>
      </dsp:txXfrm>
    </dsp:sp>
    <dsp:sp modelId="{E8378AEE-89D8-4E7A-82CE-6E86E1670569}">
      <dsp:nvSpPr>
        <dsp:cNvPr id="0" name=""/>
        <dsp:cNvSpPr/>
      </dsp:nvSpPr>
      <dsp:spPr>
        <a:xfrm>
          <a:off x="451495" y="913156"/>
          <a:ext cx="2814612" cy="77439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29EAFF1-6F18-4B29-807F-B347F80B93AB}">
      <dsp:nvSpPr>
        <dsp:cNvPr id="0" name=""/>
        <dsp:cNvSpPr/>
      </dsp:nvSpPr>
      <dsp:spPr>
        <a:xfrm>
          <a:off x="514893" y="973384"/>
          <a:ext cx="2814612" cy="77439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76% employed in Maine</a:t>
          </a:r>
        </a:p>
      </dsp:txBody>
      <dsp:txXfrm>
        <a:off x="537574" y="996065"/>
        <a:ext cx="2769250" cy="729029"/>
      </dsp:txXfrm>
    </dsp:sp>
    <dsp:sp modelId="{E290540A-D962-4650-98A9-FD46D7A10F46}">
      <dsp:nvSpPr>
        <dsp:cNvPr id="0" name=""/>
        <dsp:cNvSpPr/>
      </dsp:nvSpPr>
      <dsp:spPr>
        <a:xfrm>
          <a:off x="312957" y="1853491"/>
          <a:ext cx="1486728" cy="1029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C187D23-C46D-46FD-B67E-423DE9EA245F}">
      <dsp:nvSpPr>
        <dsp:cNvPr id="0" name=""/>
        <dsp:cNvSpPr/>
      </dsp:nvSpPr>
      <dsp:spPr>
        <a:xfrm>
          <a:off x="376355" y="1913719"/>
          <a:ext cx="1486728" cy="1029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46% employed in all quarters (3-6) with wages ≥ minimum wage threshold in each quarter</a:t>
          </a:r>
        </a:p>
      </dsp:txBody>
      <dsp:txXfrm>
        <a:off x="406505" y="1943869"/>
        <a:ext cx="1426428" cy="969102"/>
      </dsp:txXfrm>
    </dsp:sp>
    <dsp:sp modelId="{7BC9FAB3-B271-4EB2-AD48-7737B11AFBD8}">
      <dsp:nvSpPr>
        <dsp:cNvPr id="0" name=""/>
        <dsp:cNvSpPr/>
      </dsp:nvSpPr>
      <dsp:spPr>
        <a:xfrm>
          <a:off x="316592" y="3048837"/>
          <a:ext cx="1479459" cy="5280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8882A72-4D15-4D3B-BB80-8A94BE4BC48E}">
      <dsp:nvSpPr>
        <dsp:cNvPr id="0" name=""/>
        <dsp:cNvSpPr/>
      </dsp:nvSpPr>
      <dsp:spPr>
        <a:xfrm>
          <a:off x="379990" y="3109065"/>
          <a:ext cx="1479459" cy="52803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Average First Year Wages</a:t>
          </a:r>
        </a:p>
      </dsp:txBody>
      <dsp:txXfrm>
        <a:off x="395456" y="3124531"/>
        <a:ext cx="1448527" cy="497107"/>
      </dsp:txXfrm>
    </dsp:sp>
    <dsp:sp modelId="{117B3BA2-0129-4C80-82AF-C7B4C406727C}">
      <dsp:nvSpPr>
        <dsp:cNvPr id="0" name=""/>
        <dsp:cNvSpPr/>
      </dsp:nvSpPr>
      <dsp:spPr>
        <a:xfrm>
          <a:off x="1926481" y="1853491"/>
          <a:ext cx="1478163" cy="9978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BA7EB0E-F863-4983-96AD-1519203551C4}">
      <dsp:nvSpPr>
        <dsp:cNvPr id="0" name=""/>
        <dsp:cNvSpPr/>
      </dsp:nvSpPr>
      <dsp:spPr>
        <a:xfrm>
          <a:off x="1989879" y="1913719"/>
          <a:ext cx="1478163" cy="99781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30% employed, but not in all quarters or with wages below the minimum threshold</a:t>
          </a:r>
        </a:p>
      </dsp:txBody>
      <dsp:txXfrm>
        <a:off x="2019104" y="1942944"/>
        <a:ext cx="1419713" cy="939368"/>
      </dsp:txXfrm>
    </dsp:sp>
    <dsp:sp modelId="{6B6CCE82-E675-4474-AC05-D456677726C0}">
      <dsp:nvSpPr>
        <dsp:cNvPr id="0" name=""/>
        <dsp:cNvSpPr/>
      </dsp:nvSpPr>
      <dsp:spPr>
        <a:xfrm>
          <a:off x="3675524" y="913156"/>
          <a:ext cx="2023861" cy="7494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993722A-BD65-4694-AB79-43CA3A2C7439}">
      <dsp:nvSpPr>
        <dsp:cNvPr id="0" name=""/>
        <dsp:cNvSpPr/>
      </dsp:nvSpPr>
      <dsp:spPr>
        <a:xfrm>
          <a:off x="3738922" y="973384"/>
          <a:ext cx="2023861" cy="7494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24% with no wage records in Maine</a:t>
          </a:r>
        </a:p>
      </dsp:txBody>
      <dsp:txXfrm>
        <a:off x="3760873" y="995335"/>
        <a:ext cx="1979959" cy="705554"/>
      </dsp:txXfrm>
    </dsp:sp>
    <dsp:sp modelId="{F99337A9-B30C-4FA3-8E95-1D6BFA730995}">
      <dsp:nvSpPr>
        <dsp:cNvPr id="0" name=""/>
        <dsp:cNvSpPr/>
      </dsp:nvSpPr>
      <dsp:spPr>
        <a:xfrm>
          <a:off x="3531441" y="1828556"/>
          <a:ext cx="2312027" cy="9981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4D45B93-09E8-4DAD-9C76-A20101C85F1C}">
      <dsp:nvSpPr>
        <dsp:cNvPr id="0" name=""/>
        <dsp:cNvSpPr/>
      </dsp:nvSpPr>
      <dsp:spPr>
        <a:xfrm>
          <a:off x="3594839" y="1888784"/>
          <a:ext cx="2312027" cy="9981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a:ea typeface="+mn-ea"/>
              <a:cs typeface="+mn-cs"/>
            </a:rPr>
            <a:t>24% employed in other states, self-employed, federally employed, not actively seeking work or unemployed </a:t>
          </a:r>
        </a:p>
      </dsp:txBody>
      <dsp:txXfrm>
        <a:off x="3624074" y="1918019"/>
        <a:ext cx="2253557" cy="9396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AEADB-EED7-449F-8B2D-156C1045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2048</Words>
  <Characters>11680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Maine Department of Labor</Company>
  <LinksUpToDate>false</LinksUpToDate>
  <CharactersWithSpaces>13701</CharactersWithSpaces>
  <SharedDoc>false</SharedDoc>
  <HLinks>
    <vt:vector size="162" baseType="variant">
      <vt:variant>
        <vt:i4>196650</vt:i4>
      </vt:variant>
      <vt:variant>
        <vt:i4>78</vt:i4>
      </vt:variant>
      <vt:variant>
        <vt:i4>0</vt:i4>
      </vt:variant>
      <vt:variant>
        <vt:i4>5</vt:i4>
      </vt:variant>
      <vt:variant>
        <vt:lpwstr>\\oit-teaqfsemc02.som.w2k.state.me.us\DOL-GROUPS\BUC All Users Common\All DOL UI Central\BAM\QC Forms 4-10\QC FORMS 4-10\DQC-14 Work Search.doc</vt:lpwstr>
      </vt:variant>
      <vt:variant>
        <vt:lpwstr/>
      </vt:variant>
      <vt:variant>
        <vt:i4>5505074</vt:i4>
      </vt:variant>
      <vt:variant>
        <vt:i4>75</vt:i4>
      </vt:variant>
      <vt:variant>
        <vt:i4>0</vt:i4>
      </vt:variant>
      <vt:variant>
        <vt:i4>5</vt:i4>
      </vt:variant>
      <vt:variant>
        <vt:lpwstr>\\oit-teaqfsemc02.som.w2k.state.me.us\DOL-GROUPS\BUC All Users Common\All DOL UI Central\BAM\QC Forms 4-10\QC FORMS 4-10\DQC-14 Income.doc</vt:lpwstr>
      </vt:variant>
      <vt:variant>
        <vt:lpwstr/>
      </vt:variant>
      <vt:variant>
        <vt:i4>5963889</vt:i4>
      </vt:variant>
      <vt:variant>
        <vt:i4>72</vt:i4>
      </vt:variant>
      <vt:variant>
        <vt:i4>0</vt:i4>
      </vt:variant>
      <vt:variant>
        <vt:i4>5</vt:i4>
      </vt:variant>
      <vt:variant>
        <vt:lpwstr>\\oit-teaqfsemc02.som.w2k.state.me.us\DOL-GROUPS\BUC All Users Common\All DOL UI Central\BAM\QC Forms 4-10\QC FORMS 4-10\DQC-14 Rep-Req.doc</vt:lpwstr>
      </vt:variant>
      <vt:variant>
        <vt:lpwstr/>
      </vt:variant>
      <vt:variant>
        <vt:i4>5308468</vt:i4>
      </vt:variant>
      <vt:variant>
        <vt:i4>69</vt:i4>
      </vt:variant>
      <vt:variant>
        <vt:i4>0</vt:i4>
      </vt:variant>
      <vt:variant>
        <vt:i4>5</vt:i4>
      </vt:variant>
      <vt:variant>
        <vt:lpwstr>\\oit-teaqfsemc02.som.w2k.state.me.us\DOL-GROUPS\BUC All Users Common\All DOL UI Central\BAM\QC Forms 4-10\QC FORMS 4-10\DQC-14 AA.doc</vt:lpwstr>
      </vt:variant>
      <vt:variant>
        <vt:lpwstr/>
      </vt:variant>
      <vt:variant>
        <vt:i4>1245299</vt:i4>
      </vt:variant>
      <vt:variant>
        <vt:i4>66</vt:i4>
      </vt:variant>
      <vt:variant>
        <vt:i4>0</vt:i4>
      </vt:variant>
      <vt:variant>
        <vt:i4>5</vt:i4>
      </vt:variant>
      <vt:variant>
        <vt:lpwstr>\\oit-teaqfsemc02.som.w2k.state.me.us\DOL-GROUPS\BUC All Users Common\All DOL UI Central\BAM\QC Forms 4-10\QC FORMS 4-10\DQC-14 Sep.doc</vt:lpwstr>
      </vt:variant>
      <vt:variant>
        <vt:lpwstr/>
      </vt:variant>
      <vt:variant>
        <vt:i4>1048695</vt:i4>
      </vt:variant>
      <vt:variant>
        <vt:i4>63</vt:i4>
      </vt:variant>
      <vt:variant>
        <vt:i4>0</vt:i4>
      </vt:variant>
      <vt:variant>
        <vt:i4>5</vt:i4>
      </vt:variant>
      <vt:variant>
        <vt:lpwstr>\\oit-teaqfsemc02.som.w2k.state.me.us\DOL-GROUPS\BUC All Users Common\All DOL UI Central\BAM\QC Forms 4-10\QC FORMS 4-10\DQC-20 sep.doc</vt:lpwstr>
      </vt:variant>
      <vt:variant>
        <vt:lpwstr/>
      </vt:variant>
      <vt:variant>
        <vt:i4>1048683</vt:i4>
      </vt:variant>
      <vt:variant>
        <vt:i4>60</vt:i4>
      </vt:variant>
      <vt:variant>
        <vt:i4>0</vt:i4>
      </vt:variant>
      <vt:variant>
        <vt:i4>5</vt:i4>
      </vt:variant>
      <vt:variant>
        <vt:lpwstr>\\oit-teaqfsemc02.som.w2k.state.me.us\DOL-GROUPS\BUC All Users Common\All DOL UI Central\BAM\QC Forms 4-10\QC FORMS 4-10\DQC-20 rem.doc</vt:lpwstr>
      </vt:variant>
      <vt:variant>
        <vt:lpwstr/>
      </vt:variant>
      <vt:variant>
        <vt:i4>1245299</vt:i4>
      </vt:variant>
      <vt:variant>
        <vt:i4>57</vt:i4>
      </vt:variant>
      <vt:variant>
        <vt:i4>0</vt:i4>
      </vt:variant>
      <vt:variant>
        <vt:i4>5</vt:i4>
      </vt:variant>
      <vt:variant>
        <vt:lpwstr>\\oit-teaqfsemc02.som.w2k.state.me.us\DOL-GROUPS\BUC All Users Common\All DOL UI Central\BAM\QC Forms 4-10\QC FORMS 4-10\DQC-14 Sep.doc</vt:lpwstr>
      </vt:variant>
      <vt:variant>
        <vt:lpwstr/>
      </vt:variant>
      <vt:variant>
        <vt:i4>2097211</vt:i4>
      </vt:variant>
      <vt:variant>
        <vt:i4>54</vt:i4>
      </vt:variant>
      <vt:variant>
        <vt:i4>0</vt:i4>
      </vt:variant>
      <vt:variant>
        <vt:i4>5</vt:i4>
      </vt:variant>
      <vt:variant>
        <vt:lpwstr>../AppData/Local/Microsoft/Windows/Temporary Internet Files/Content.Outlook/Local Settings/Local Settings/Temporary Internet Files/OLKAD/Forms-Denials/DQC-20L Sep ltr.doc</vt:lpwstr>
      </vt:variant>
      <vt:variant>
        <vt:lpwstr/>
      </vt:variant>
      <vt:variant>
        <vt:i4>1048695</vt:i4>
      </vt:variant>
      <vt:variant>
        <vt:i4>51</vt:i4>
      </vt:variant>
      <vt:variant>
        <vt:i4>0</vt:i4>
      </vt:variant>
      <vt:variant>
        <vt:i4>5</vt:i4>
      </vt:variant>
      <vt:variant>
        <vt:lpwstr>\\oit-teaqfsemc02.som.w2k.state.me.us\DOL-GROUPS\BUC All Users Common\All DOL UI Central\BAM\QC Forms 4-10\QC FORMS 4-10\DQC-20 sep.doc</vt:lpwstr>
      </vt:variant>
      <vt:variant>
        <vt:lpwstr/>
      </vt:variant>
      <vt:variant>
        <vt:i4>1638515</vt:i4>
      </vt:variant>
      <vt:variant>
        <vt:i4>48</vt:i4>
      </vt:variant>
      <vt:variant>
        <vt:i4>0</vt:i4>
      </vt:variant>
      <vt:variant>
        <vt:i4>5</vt:i4>
      </vt:variant>
      <vt:variant>
        <vt:lpwstr>\\oit-teaqfsemc02.som.w2k.state.me.us\DOL-GROUPS\BUC All Users Common\All DOL UI Central\BAM\QC Forms 4-10\QC FORMS 4-10\DQC-14 Mon.doc</vt:lpwstr>
      </vt:variant>
      <vt:variant>
        <vt:lpwstr/>
      </vt:variant>
      <vt:variant>
        <vt:i4>1572961</vt:i4>
      </vt:variant>
      <vt:variant>
        <vt:i4>45</vt:i4>
      </vt:variant>
      <vt:variant>
        <vt:i4>0</vt:i4>
      </vt:variant>
      <vt:variant>
        <vt:i4>5</vt:i4>
      </vt:variant>
      <vt:variant>
        <vt:lpwstr>\\oit-teaqfsemc02.som.w2k.state.me.us\DOL-GROUPS\BUC All Users Common\All DOL UI Central\BAM\QC Forms 4-10\QC FORMS 4-10\DQC-9.doc</vt:lpwstr>
      </vt:variant>
      <vt:variant>
        <vt:lpwstr/>
      </vt:variant>
      <vt:variant>
        <vt:i4>5636215</vt:i4>
      </vt:variant>
      <vt:variant>
        <vt:i4>42</vt:i4>
      </vt:variant>
      <vt:variant>
        <vt:i4>0</vt:i4>
      </vt:variant>
      <vt:variant>
        <vt:i4>5</vt:i4>
      </vt:variant>
      <vt:variant>
        <vt:lpwstr>\\oit-teaqfsemc02.som.w2k.state.me.us\DOL-GROUPS\BUC All Users Common\All DOL UI Central\BAM\QC Forms 4-10\QC FORMS 4-10\DQC-13.doc</vt:lpwstr>
      </vt:variant>
      <vt:variant>
        <vt:lpwstr/>
      </vt:variant>
      <vt:variant>
        <vt:i4>5439606</vt:i4>
      </vt:variant>
      <vt:variant>
        <vt:i4>39</vt:i4>
      </vt:variant>
      <vt:variant>
        <vt:i4>0</vt:i4>
      </vt:variant>
      <vt:variant>
        <vt:i4>5</vt:i4>
      </vt:variant>
      <vt:variant>
        <vt:lpwstr>\\oit-teaqfsemc02.som.w2k.state.me.us\DOL-GROUPS\BUC All Users Common\All DOL UI Central\BAM\QC Forms 4-10\QC FORMS 4-10\BQC-22.doc</vt:lpwstr>
      </vt:variant>
      <vt:variant>
        <vt:lpwstr/>
      </vt:variant>
      <vt:variant>
        <vt:i4>5242999</vt:i4>
      </vt:variant>
      <vt:variant>
        <vt:i4>36</vt:i4>
      </vt:variant>
      <vt:variant>
        <vt:i4>0</vt:i4>
      </vt:variant>
      <vt:variant>
        <vt:i4>5</vt:i4>
      </vt:variant>
      <vt:variant>
        <vt:lpwstr>\\oit-teaqfsemc02.som.w2k.state.me.us\DOL-GROUPS\BUC All Users Common\All DOL UI Central\BAM\QC Forms 4-10\QC FORMS 4-10\BQC-13.doc</vt:lpwstr>
      </vt:variant>
      <vt:variant>
        <vt:lpwstr/>
      </vt:variant>
      <vt:variant>
        <vt:i4>1966177</vt:i4>
      </vt:variant>
      <vt:variant>
        <vt:i4>33</vt:i4>
      </vt:variant>
      <vt:variant>
        <vt:i4>0</vt:i4>
      </vt:variant>
      <vt:variant>
        <vt:i4>5</vt:i4>
      </vt:variant>
      <vt:variant>
        <vt:lpwstr>\\oit-teaqfsemc02.som.w2k.state.me.us\DOL-GROUPS\BUC All Users Common\All DOL UI Central\BAM\QC Forms 4-10\QC FORMS 4-10\BQC-9.doc</vt:lpwstr>
      </vt:variant>
      <vt:variant>
        <vt:lpwstr/>
      </vt:variant>
      <vt:variant>
        <vt:i4>1179745</vt:i4>
      </vt:variant>
      <vt:variant>
        <vt:i4>30</vt:i4>
      </vt:variant>
      <vt:variant>
        <vt:i4>0</vt:i4>
      </vt:variant>
      <vt:variant>
        <vt:i4>5</vt:i4>
      </vt:variant>
      <vt:variant>
        <vt:lpwstr>\\oit-teaqfsemc02.som.w2k.state.me.us\DOL-GROUPS\BUC All Users Common\All DOL UI Central\BAM\QC Forms 4-10\QC FORMS 4-10\BQC-5.doc</vt:lpwstr>
      </vt:variant>
      <vt:variant>
        <vt:lpwstr/>
      </vt:variant>
      <vt:variant>
        <vt:i4>5242996</vt:i4>
      </vt:variant>
      <vt:variant>
        <vt:i4>27</vt:i4>
      </vt:variant>
      <vt:variant>
        <vt:i4>0</vt:i4>
      </vt:variant>
      <vt:variant>
        <vt:i4>5</vt:i4>
      </vt:variant>
      <vt:variant>
        <vt:lpwstr>\\oit-teaqfsemc02.som.w2k.state.me.us\DOL-GROUPS\BUC All Users Common\All DOL UI Central\BAM\QC Forms 4-10\QC FORMS 4-10\BQC-10.doc</vt:lpwstr>
      </vt:variant>
      <vt:variant>
        <vt:lpwstr/>
      </vt:variant>
      <vt:variant>
        <vt:i4>7471208</vt:i4>
      </vt:variant>
      <vt:variant>
        <vt:i4>24</vt:i4>
      </vt:variant>
      <vt:variant>
        <vt:i4>0</vt:i4>
      </vt:variant>
      <vt:variant>
        <vt:i4>5</vt:i4>
      </vt:variant>
      <vt:variant>
        <vt:lpwstr/>
      </vt:variant>
      <vt:variant>
        <vt:lpwstr>dependencyallowance</vt:lpwstr>
      </vt:variant>
      <vt:variant>
        <vt:i4>5242996</vt:i4>
      </vt:variant>
      <vt:variant>
        <vt:i4>21</vt:i4>
      </vt:variant>
      <vt:variant>
        <vt:i4>0</vt:i4>
      </vt:variant>
      <vt:variant>
        <vt:i4>5</vt:i4>
      </vt:variant>
      <vt:variant>
        <vt:lpwstr>\\oit-teaqfsemc02.som.w2k.state.me.us\DOL-GROUPS\BUC All Users Common\All DOL UI Central\BAM\QC Forms 4-10\QC FORMS 4-10\BQC-10.doc</vt:lpwstr>
      </vt:variant>
      <vt:variant>
        <vt:lpwstr/>
      </vt:variant>
      <vt:variant>
        <vt:i4>1245281</vt:i4>
      </vt:variant>
      <vt:variant>
        <vt:i4>18</vt:i4>
      </vt:variant>
      <vt:variant>
        <vt:i4>0</vt:i4>
      </vt:variant>
      <vt:variant>
        <vt:i4>5</vt:i4>
      </vt:variant>
      <vt:variant>
        <vt:lpwstr>\\oit-teaqfsemc02.som.w2k.state.me.us\DOL-GROUPS\BUC All Users Common\All DOL UI Central\BAM\QC Forms 4-10\QC FORMS 4-10\BQC-4.doc</vt:lpwstr>
      </vt:variant>
      <vt:variant>
        <vt:lpwstr/>
      </vt:variant>
      <vt:variant>
        <vt:i4>1441889</vt:i4>
      </vt:variant>
      <vt:variant>
        <vt:i4>15</vt:i4>
      </vt:variant>
      <vt:variant>
        <vt:i4>0</vt:i4>
      </vt:variant>
      <vt:variant>
        <vt:i4>5</vt:i4>
      </vt:variant>
      <vt:variant>
        <vt:lpwstr>\\oit-teaqfsemc02.som.w2k.state.me.us\DOL-GROUPS\BUC All Users Common\All DOL UI Central\BAM\QC Forms 4-10\QC FORMS 4-10\BQC-1.doc</vt:lpwstr>
      </vt:variant>
      <vt:variant>
        <vt:lpwstr/>
      </vt:variant>
      <vt:variant>
        <vt:i4>5242992</vt:i4>
      </vt:variant>
      <vt:variant>
        <vt:i4>12</vt:i4>
      </vt:variant>
      <vt:variant>
        <vt:i4>0</vt:i4>
      </vt:variant>
      <vt:variant>
        <vt:i4>5</vt:i4>
      </vt:variant>
      <vt:variant>
        <vt:lpwstr>\\oit-teaqfsemc02.som.w2k.state.me.us\DOL-GROUPS\BUC All Users Common\All DOL UI Central\BAM\QC Forms 4-10\QC FORMS 4-10\BQC-14.doc</vt:lpwstr>
      </vt:variant>
      <vt:variant>
        <vt:lpwstr/>
      </vt:variant>
      <vt:variant>
        <vt:i4>5636211</vt:i4>
      </vt:variant>
      <vt:variant>
        <vt:i4>9</vt:i4>
      </vt:variant>
      <vt:variant>
        <vt:i4>0</vt:i4>
      </vt:variant>
      <vt:variant>
        <vt:i4>5</vt:i4>
      </vt:variant>
      <vt:variant>
        <vt:lpwstr>\\oit-teaqfsemc02.som.w2k.state.me.us\DOL-GROUPS\BUC All Users Common\All DOL UI Central\BAM\QC Forms 4-10\QC FORMS 4-10\DQC-17.doc</vt:lpwstr>
      </vt:variant>
      <vt:variant>
        <vt:lpwstr/>
      </vt:variant>
      <vt:variant>
        <vt:i4>5242995</vt:i4>
      </vt:variant>
      <vt:variant>
        <vt:i4>6</vt:i4>
      </vt:variant>
      <vt:variant>
        <vt:i4>0</vt:i4>
      </vt:variant>
      <vt:variant>
        <vt:i4>5</vt:i4>
      </vt:variant>
      <vt:variant>
        <vt:lpwstr>\\oit-teaqfsemc02.som.w2k.state.me.us\DOL-GROUPS\BUC All Users Common\All DOL UI Central\BAM\QC Forms 4-10\QC FORMS 4-10\BQC-17.doc</vt:lpwstr>
      </vt:variant>
      <vt:variant>
        <vt:lpwstr/>
      </vt:variant>
      <vt:variant>
        <vt:i4>5636215</vt:i4>
      </vt:variant>
      <vt:variant>
        <vt:i4>3</vt:i4>
      </vt:variant>
      <vt:variant>
        <vt:i4>0</vt:i4>
      </vt:variant>
      <vt:variant>
        <vt:i4>5</vt:i4>
      </vt:variant>
      <vt:variant>
        <vt:lpwstr>\\oit-teaqfsemc02.som.w2k.state.me.us\DOL-GROUPS\BUC All Users Common\All DOL UI Central\BAM\QC Forms 4-10\QC FORMS 4-10\DQC-13.doc</vt:lpwstr>
      </vt:variant>
      <vt:variant>
        <vt:lpwstr/>
      </vt:variant>
      <vt:variant>
        <vt:i4>5242999</vt:i4>
      </vt:variant>
      <vt:variant>
        <vt:i4>0</vt:i4>
      </vt:variant>
      <vt:variant>
        <vt:i4>0</vt:i4>
      </vt:variant>
      <vt:variant>
        <vt:i4>5</vt:i4>
      </vt:variant>
      <vt:variant>
        <vt:lpwstr>\\oit-teaqfsemc02.som.w2k.state.me.us\DOL-GROUPS\BUC All Users Common\All DOL UI Central\BAM\QC Forms 4-10\QC FORMS 4-10\BQC-13.doc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Maine Department of Labor, Center for Workforce Research and Information</dc:creator>
  <cp:lastModifiedBy>Henry, Penny</cp:lastModifiedBy>
  <cp:revision>7</cp:revision>
  <cp:lastPrinted>2014-10-22T16:37:00Z</cp:lastPrinted>
  <dcterms:created xsi:type="dcterms:W3CDTF">2014-10-22T16:49:00Z</dcterms:created>
  <dcterms:modified xsi:type="dcterms:W3CDTF">2014-10-22T18:01:00Z</dcterms:modified>
</cp:coreProperties>
</file>