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7BC" w:rsidRPr="005E5DAA" w:rsidRDefault="009537BC" w:rsidP="009537BC">
      <w:pPr>
        <w:spacing w:after="0" w:line="240" w:lineRule="auto"/>
        <w:jc w:val="center"/>
        <w:rPr>
          <w:rFonts w:cstheme="minorHAnsi"/>
          <w:b/>
          <w:sz w:val="24"/>
          <w:u w:val="single"/>
        </w:rPr>
      </w:pPr>
      <w:bookmarkStart w:id="0" w:name="_GoBack"/>
      <w:bookmarkEnd w:id="0"/>
      <w:r w:rsidRPr="005E5DAA">
        <w:rPr>
          <w:rFonts w:cstheme="minorHAnsi"/>
          <w:b/>
          <w:sz w:val="24"/>
          <w:u w:val="single"/>
        </w:rPr>
        <w:t>Formal Contract Provisions and Requirements</w:t>
      </w:r>
    </w:p>
    <w:p w:rsidR="00A91B41" w:rsidRPr="005E5DAA" w:rsidRDefault="009537BC" w:rsidP="000F78A5">
      <w:pPr>
        <w:spacing w:after="0" w:line="240" w:lineRule="auto"/>
        <w:jc w:val="center"/>
        <w:rPr>
          <w:rFonts w:cstheme="minorHAnsi"/>
          <w:b/>
          <w:sz w:val="24"/>
          <w:u w:val="single"/>
        </w:rPr>
      </w:pPr>
      <w:r>
        <w:rPr>
          <w:rFonts w:cstheme="minorHAnsi"/>
          <w:b/>
          <w:sz w:val="24"/>
          <w:u w:val="single"/>
        </w:rPr>
        <w:t xml:space="preserve">For </w:t>
      </w:r>
      <w:r w:rsidR="00A91B41" w:rsidRPr="005E5DAA">
        <w:rPr>
          <w:rFonts w:cstheme="minorHAnsi"/>
          <w:b/>
          <w:sz w:val="24"/>
          <w:u w:val="single"/>
        </w:rPr>
        <w:t>Child Nutrition Programs</w:t>
      </w:r>
    </w:p>
    <w:p w:rsidR="00A91B41" w:rsidRPr="000F78A5" w:rsidRDefault="00A91B41" w:rsidP="000F78A5">
      <w:pPr>
        <w:spacing w:after="0" w:line="240" w:lineRule="auto"/>
        <w:jc w:val="center"/>
        <w:rPr>
          <w:rFonts w:cstheme="minorHAnsi"/>
        </w:rPr>
      </w:pPr>
    </w:p>
    <w:p w:rsidR="00A91B41" w:rsidRPr="000F78A5" w:rsidRDefault="00A91B41" w:rsidP="000F78A5">
      <w:pPr>
        <w:spacing w:line="240" w:lineRule="auto"/>
        <w:rPr>
          <w:rFonts w:cstheme="minorHAnsi"/>
          <w:i/>
        </w:rPr>
      </w:pPr>
      <w:r w:rsidRPr="000F78A5">
        <w:rPr>
          <w:rFonts w:cstheme="minorHAnsi"/>
          <w:i/>
        </w:rPr>
        <w:t>Disclaimer: This document is subject to revision. It is a guidance document and may not contain every requirement that pertains to a contract.</w:t>
      </w:r>
    </w:p>
    <w:p w:rsidR="00C75B05" w:rsidRDefault="00A91B41" w:rsidP="00C75B05">
      <w:pPr>
        <w:spacing w:line="240" w:lineRule="auto"/>
        <w:rPr>
          <w:rFonts w:eastAsia="Times New Roman" w:cstheme="minorHAnsi"/>
          <w:b/>
          <w:bCs/>
          <w:color w:val="000000"/>
        </w:rPr>
      </w:pPr>
      <w:r w:rsidRPr="000F78A5">
        <w:rPr>
          <w:rFonts w:cstheme="minorHAnsi"/>
        </w:rPr>
        <w:t xml:space="preserve">All contracts must contain provisions set forth in 2 CFR 200.318-.326 and Appendix II in 2 CFR 200 as applicable. Consult with your LEA to determine if there are additional local requirements to be included as well. </w:t>
      </w:r>
      <w:r w:rsidR="007B68F1" w:rsidRPr="000F78A5">
        <w:rPr>
          <w:rFonts w:cstheme="minorHAnsi"/>
        </w:rPr>
        <w:br/>
      </w:r>
    </w:p>
    <w:p w:rsidR="003B6311" w:rsidRPr="00C75B05" w:rsidRDefault="00A91B41" w:rsidP="00C75B05">
      <w:pPr>
        <w:pStyle w:val="ListParagraph"/>
        <w:numPr>
          <w:ilvl w:val="0"/>
          <w:numId w:val="3"/>
        </w:numPr>
        <w:spacing w:line="240" w:lineRule="auto"/>
        <w:rPr>
          <w:rFonts w:eastAsia="Times New Roman" w:cstheme="minorHAnsi"/>
          <w:bCs/>
          <w:color w:val="000000"/>
        </w:rPr>
      </w:pPr>
      <w:r w:rsidRPr="00C75B05">
        <w:rPr>
          <w:rFonts w:eastAsia="Times New Roman" w:cstheme="minorHAnsi"/>
          <w:b/>
          <w:bCs/>
          <w:color w:val="000000"/>
        </w:rPr>
        <w:t>Remedies:</w:t>
      </w:r>
      <w:r w:rsidRPr="00C75B05">
        <w:rPr>
          <w:rFonts w:eastAsia="Times New Roman" w:cstheme="minorHAnsi"/>
          <w:bCs/>
          <w:color w:val="000000"/>
        </w:rPr>
        <w:t xml:space="preserve"> </w:t>
      </w:r>
      <w:r w:rsidR="00873584" w:rsidRPr="00C75B05">
        <w:rPr>
          <w:rFonts w:eastAsia="Times New Roman" w:cstheme="minorHAnsi"/>
          <w:bCs/>
          <w:color w:val="000000"/>
        </w:rPr>
        <w:t xml:space="preserve">Contracts for more than the </w:t>
      </w:r>
      <w:r w:rsidR="00DE53A2" w:rsidRPr="00C75B05">
        <w:rPr>
          <w:rFonts w:eastAsia="Times New Roman" w:cstheme="minorHAnsi"/>
          <w:bCs/>
          <w:color w:val="000000"/>
        </w:rPr>
        <w:t xml:space="preserve">Federal </w:t>
      </w:r>
      <w:r w:rsidR="00873584" w:rsidRPr="00C75B05">
        <w:rPr>
          <w:rFonts w:eastAsia="Times New Roman" w:cstheme="minorHAnsi"/>
          <w:bCs/>
          <w:color w:val="000000"/>
        </w:rPr>
        <w:t>simplified acquisition</w:t>
      </w:r>
      <w:r w:rsidR="00DE53A2" w:rsidRPr="00C75B05">
        <w:rPr>
          <w:rFonts w:eastAsia="Times New Roman" w:cstheme="minorHAnsi"/>
          <w:bCs/>
          <w:color w:val="000000"/>
        </w:rPr>
        <w:t xml:space="preserve"> threshold</w:t>
      </w:r>
      <w:r w:rsidR="00873584" w:rsidRPr="00C75B05">
        <w:rPr>
          <w:rFonts w:eastAsia="Times New Roman" w:cstheme="minorHAnsi"/>
          <w:bCs/>
          <w:color w:val="000000"/>
        </w:rPr>
        <w:t>, must address administrative, contractual, or legal remedies in instances where contractors violate or breach contract terms, and provide for such sanctions and penalties as appropriate.</w:t>
      </w:r>
      <w:r w:rsidR="006F7007" w:rsidRPr="00C75B05">
        <w:rPr>
          <w:rFonts w:eastAsia="Times New Roman" w:cstheme="minorHAnsi"/>
          <w:bCs/>
          <w:color w:val="000000"/>
        </w:rPr>
        <w:br/>
      </w:r>
    </w:p>
    <w:p w:rsidR="0032478F" w:rsidRPr="000F78A5" w:rsidRDefault="008C530B" w:rsidP="000F78A5">
      <w:pPr>
        <w:pStyle w:val="ListParagraph"/>
        <w:numPr>
          <w:ilvl w:val="0"/>
          <w:numId w:val="3"/>
        </w:numPr>
        <w:spacing w:after="0" w:line="240" w:lineRule="auto"/>
        <w:rPr>
          <w:rFonts w:asciiTheme="minorHAnsi" w:eastAsia="Times New Roman" w:hAnsiTheme="minorHAnsi" w:cstheme="minorHAnsi"/>
          <w:bCs/>
          <w:color w:val="000000"/>
        </w:rPr>
      </w:pPr>
      <w:r w:rsidRPr="000F78A5">
        <w:rPr>
          <w:rFonts w:asciiTheme="minorHAnsi" w:eastAsia="Times New Roman" w:hAnsiTheme="minorHAnsi" w:cstheme="minorHAnsi"/>
          <w:b/>
          <w:color w:val="000000"/>
        </w:rPr>
        <w:t>Termination:</w:t>
      </w:r>
      <w:r w:rsidRPr="000F78A5">
        <w:rPr>
          <w:rFonts w:asciiTheme="minorHAnsi" w:eastAsia="Times New Roman" w:hAnsiTheme="minorHAnsi" w:cstheme="minorHAnsi"/>
          <w:color w:val="000000"/>
        </w:rPr>
        <w:t xml:space="preserve"> </w:t>
      </w:r>
      <w:r w:rsidR="003B6311" w:rsidRPr="000F78A5">
        <w:rPr>
          <w:rFonts w:asciiTheme="minorHAnsi" w:eastAsia="Times New Roman" w:hAnsiTheme="minorHAnsi" w:cstheme="minorHAnsi"/>
          <w:color w:val="000000"/>
        </w:rPr>
        <w:t>C</w:t>
      </w:r>
      <w:r w:rsidR="00873584" w:rsidRPr="000F78A5">
        <w:rPr>
          <w:rFonts w:asciiTheme="minorHAnsi" w:eastAsia="Times New Roman" w:hAnsiTheme="minorHAnsi" w:cstheme="minorHAnsi"/>
          <w:color w:val="000000"/>
        </w:rPr>
        <w:t xml:space="preserve">ontracts </w:t>
      </w:r>
      <w:r w:rsidR="00873584" w:rsidRPr="000F78A5">
        <w:rPr>
          <w:rFonts w:asciiTheme="minorHAnsi" w:eastAsia="Times New Roman" w:hAnsiTheme="minorHAnsi" w:cstheme="minorHAnsi"/>
          <w:b/>
          <w:bCs/>
          <w:color w:val="000000"/>
        </w:rPr>
        <w:t>in excess of $10,000</w:t>
      </w:r>
      <w:r w:rsidR="00873584" w:rsidRPr="000F78A5">
        <w:rPr>
          <w:rFonts w:asciiTheme="minorHAnsi" w:eastAsia="Times New Roman" w:hAnsiTheme="minorHAnsi" w:cstheme="minorHAnsi"/>
          <w:color w:val="000000"/>
        </w:rPr>
        <w:t xml:space="preserve"> must address termination for cause and for convenience by the non-Federal entity including the manner by which it will be </w:t>
      </w:r>
      <w:r w:rsidR="007E3F1F" w:rsidRPr="000F78A5">
        <w:rPr>
          <w:rFonts w:asciiTheme="minorHAnsi" w:eastAsia="Times New Roman" w:hAnsiTheme="minorHAnsi" w:cstheme="minorHAnsi"/>
          <w:color w:val="000000"/>
        </w:rPr>
        <w:t>affected</w:t>
      </w:r>
      <w:r w:rsidR="00873584" w:rsidRPr="000F78A5">
        <w:rPr>
          <w:rFonts w:asciiTheme="minorHAnsi" w:eastAsia="Times New Roman" w:hAnsiTheme="minorHAnsi" w:cstheme="minorHAnsi"/>
          <w:color w:val="000000"/>
        </w:rPr>
        <w:t xml:space="preserve"> and the basis for settlement.</w:t>
      </w:r>
      <w:r w:rsidR="006E086D" w:rsidRPr="000F78A5">
        <w:rPr>
          <w:rFonts w:asciiTheme="minorHAnsi" w:eastAsia="Times New Roman" w:hAnsiTheme="minorHAnsi" w:cstheme="minorHAnsi"/>
          <w:color w:val="000000"/>
        </w:rPr>
        <w:br/>
      </w:r>
    </w:p>
    <w:p w:rsidR="00840B3D" w:rsidRPr="000F78A5" w:rsidRDefault="00873584" w:rsidP="000F78A5">
      <w:pPr>
        <w:pStyle w:val="ListParagraph"/>
        <w:numPr>
          <w:ilvl w:val="0"/>
          <w:numId w:val="3"/>
        </w:numPr>
        <w:spacing w:after="0" w:line="240" w:lineRule="auto"/>
        <w:rPr>
          <w:rFonts w:asciiTheme="minorHAnsi" w:eastAsia="Times New Roman" w:hAnsiTheme="minorHAnsi" w:cstheme="minorHAnsi"/>
          <w:color w:val="000000"/>
        </w:rPr>
      </w:pPr>
      <w:r w:rsidRPr="000F78A5">
        <w:rPr>
          <w:rFonts w:asciiTheme="minorHAnsi" w:eastAsia="Times New Roman" w:hAnsiTheme="minorHAnsi" w:cstheme="minorHAnsi"/>
          <w:b/>
          <w:color w:val="000000"/>
        </w:rPr>
        <w:t>Contract Work Hours and Safety Standards Act</w:t>
      </w:r>
      <w:r w:rsidRPr="000F78A5">
        <w:rPr>
          <w:rFonts w:asciiTheme="minorHAnsi" w:eastAsia="Times New Roman" w:hAnsiTheme="minorHAnsi" w:cstheme="minorHAnsi"/>
          <w:color w:val="000000"/>
        </w:rPr>
        <w:t xml:space="preserve"> (40 U.S.C. 3701-3708). Where applicable, all contracts awarded by the non-Federal entity </w:t>
      </w:r>
      <w:r w:rsidRPr="000F78A5">
        <w:rPr>
          <w:rFonts w:asciiTheme="minorHAnsi" w:eastAsia="Times New Roman" w:hAnsiTheme="minorHAnsi" w:cstheme="minorHAnsi"/>
          <w:b/>
          <w:bCs/>
          <w:color w:val="000000"/>
        </w:rPr>
        <w:t>in excess of $100,000</w:t>
      </w:r>
      <w:r w:rsidRPr="000F78A5">
        <w:rPr>
          <w:rFonts w:asciiTheme="minorHAnsi" w:eastAsia="Times New Roman" w:hAnsiTheme="minorHAnsi" w:cstheme="minorHAnsi"/>
          <w:b/>
          <w:color w:val="000000"/>
        </w:rPr>
        <w:t xml:space="preserve"> that involve the employment of </w:t>
      </w:r>
      <w:r w:rsidRPr="000F78A5">
        <w:rPr>
          <w:rFonts w:asciiTheme="minorHAnsi" w:eastAsia="Times New Roman" w:hAnsiTheme="minorHAnsi" w:cstheme="minorHAnsi"/>
          <w:b/>
          <w:bCs/>
        </w:rPr>
        <w:t>mechanics or laborers</w:t>
      </w:r>
      <w:r w:rsidRPr="000F78A5">
        <w:rPr>
          <w:rFonts w:asciiTheme="minorHAnsi" w:eastAsia="Times New Roman" w:hAnsiTheme="minorHAnsi" w:cstheme="minorHAnsi"/>
          <w:b/>
        </w:rPr>
        <w:t xml:space="preserve"> </w:t>
      </w:r>
      <w:r w:rsidRPr="000F78A5">
        <w:rPr>
          <w:rFonts w:asciiTheme="minorHAnsi" w:eastAsia="Times New Roman" w:hAnsiTheme="minorHAnsi" w:cstheme="minorHAnsi"/>
          <w:color w:val="000000"/>
        </w:rPr>
        <w:t>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840B3D" w:rsidRPr="000F78A5" w:rsidRDefault="00840B3D" w:rsidP="000F78A5">
      <w:pPr>
        <w:pStyle w:val="ListParagraph"/>
        <w:spacing w:after="0" w:line="240" w:lineRule="auto"/>
        <w:ind w:left="360"/>
        <w:rPr>
          <w:rFonts w:asciiTheme="minorHAnsi" w:eastAsia="Times New Roman" w:hAnsiTheme="minorHAnsi" w:cstheme="minorHAnsi"/>
          <w:color w:val="000000"/>
        </w:rPr>
      </w:pPr>
    </w:p>
    <w:p w:rsidR="006E086D" w:rsidRPr="000F78A5" w:rsidRDefault="00840B3D" w:rsidP="000F78A5">
      <w:pPr>
        <w:pStyle w:val="ListParagraph"/>
        <w:numPr>
          <w:ilvl w:val="0"/>
          <w:numId w:val="3"/>
        </w:numPr>
        <w:spacing w:after="0" w:line="240" w:lineRule="auto"/>
        <w:rPr>
          <w:rFonts w:asciiTheme="minorHAnsi" w:eastAsia="Times New Roman" w:hAnsiTheme="minorHAnsi" w:cstheme="minorHAnsi"/>
          <w:color w:val="000000"/>
        </w:rPr>
      </w:pPr>
      <w:r w:rsidRPr="000F78A5">
        <w:rPr>
          <w:rFonts w:asciiTheme="minorHAnsi" w:eastAsia="Times New Roman" w:hAnsiTheme="minorHAnsi" w:cstheme="minorHAnsi"/>
          <w:b/>
          <w:bCs/>
          <w:color w:val="000000"/>
        </w:rPr>
        <w:t>Clean Air Act (42 U.S.C. 7401-7671q.) and the Federal Water Pollution Control Ac</w:t>
      </w:r>
      <w:r w:rsidRPr="000F78A5">
        <w:rPr>
          <w:rFonts w:asciiTheme="minorHAnsi" w:eastAsia="Times New Roman" w:hAnsiTheme="minorHAnsi" w:cstheme="minorHAnsi"/>
          <w:color w:val="000000"/>
        </w:rPr>
        <w:t>t (33 U.S.C. 1251-1387), as amended—Contracts and subgrants of amounts</w:t>
      </w:r>
      <w:r w:rsidRPr="000F78A5">
        <w:rPr>
          <w:rFonts w:asciiTheme="minorHAnsi" w:eastAsia="Times New Roman" w:hAnsiTheme="minorHAnsi" w:cstheme="minorHAnsi"/>
          <w:b/>
          <w:bCs/>
          <w:color w:val="000000"/>
        </w:rPr>
        <w:t xml:space="preserve"> in excess of $150,000</w:t>
      </w:r>
      <w:r w:rsidRPr="000F78A5">
        <w:rPr>
          <w:rFonts w:asciiTheme="minorHAnsi" w:eastAsia="Times New Roman" w:hAnsiTheme="minorHAnsi" w:cstheme="minorHAnsi"/>
          <w:color w:val="000000"/>
        </w:rPr>
        <w:t xml:space="preserve">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266CA6" w:rsidRPr="000F78A5" w:rsidRDefault="00266CA6" w:rsidP="000F78A5">
      <w:pPr>
        <w:spacing w:after="0" w:line="240" w:lineRule="auto"/>
        <w:rPr>
          <w:rFonts w:eastAsia="Times New Roman" w:cstheme="minorHAnsi"/>
          <w:color w:val="000000"/>
        </w:rPr>
      </w:pPr>
    </w:p>
    <w:p w:rsidR="00E570C8" w:rsidRPr="000F78A5" w:rsidRDefault="00266CA6" w:rsidP="000F78A5">
      <w:pPr>
        <w:pStyle w:val="ListParagraph"/>
        <w:numPr>
          <w:ilvl w:val="0"/>
          <w:numId w:val="3"/>
        </w:numPr>
        <w:spacing w:after="0" w:line="240" w:lineRule="auto"/>
        <w:rPr>
          <w:rFonts w:asciiTheme="minorHAnsi" w:eastAsia="Times New Roman" w:hAnsiTheme="minorHAnsi" w:cstheme="minorHAnsi"/>
          <w:b/>
          <w:color w:val="000000"/>
        </w:rPr>
      </w:pPr>
      <w:r w:rsidRPr="000F78A5">
        <w:rPr>
          <w:rFonts w:asciiTheme="minorHAnsi" w:eastAsia="Times New Roman" w:hAnsiTheme="minorHAnsi" w:cstheme="minorHAnsi"/>
          <w:b/>
          <w:color w:val="000000"/>
        </w:rPr>
        <w:t>Buy American</w:t>
      </w:r>
      <w:r w:rsidR="00E570C8" w:rsidRPr="000F78A5">
        <w:rPr>
          <w:rFonts w:asciiTheme="minorHAnsi" w:eastAsia="Times New Roman" w:hAnsiTheme="minorHAnsi" w:cstheme="minorHAnsi"/>
          <w:b/>
          <w:color w:val="000000"/>
        </w:rPr>
        <w:t xml:space="preserve"> Statement</w:t>
      </w:r>
      <w:r w:rsidR="000F3369" w:rsidRPr="000F78A5">
        <w:rPr>
          <w:rFonts w:asciiTheme="minorHAnsi" w:eastAsia="Times New Roman" w:hAnsiTheme="minorHAnsi" w:cstheme="minorHAnsi"/>
          <w:b/>
          <w:color w:val="000000"/>
        </w:rPr>
        <w:t xml:space="preserve"> </w:t>
      </w:r>
      <w:r w:rsidR="000F3369" w:rsidRPr="000F78A5">
        <w:rPr>
          <w:rFonts w:asciiTheme="minorHAnsi" w:eastAsia="Times New Roman" w:hAnsiTheme="minorHAnsi" w:cstheme="minorHAnsi"/>
          <w:color w:val="000000"/>
        </w:rPr>
        <w:t xml:space="preserve">- </w:t>
      </w:r>
      <w:r w:rsidR="00E570C8" w:rsidRPr="000F78A5">
        <w:rPr>
          <w:rFonts w:asciiTheme="minorHAnsi" w:hAnsiTheme="minorHAnsi" w:cstheme="minorHAnsi"/>
        </w:rPr>
        <w:t>Contractor must comply with the William F. Goodling Child Nutrition Reauthorization Act of 1998 (Buy American Act -7 CFR 210.21) which requires schools and institutions participating in the National School Lunch Program (NSLP) and School Breakfast Program (SBP) in the contiguous United States to purchase, to maximum extent practicable, domestic commodities or products for use in meals served under the NSLP and SBP. Buy American - (1) Definition of domestic commodity or product. In this paragraph, the term ‘domestic commodity or product’ means—(</w:t>
      </w:r>
      <w:proofErr w:type="spellStart"/>
      <w:r w:rsidR="00E570C8" w:rsidRPr="000F78A5">
        <w:rPr>
          <w:rFonts w:asciiTheme="minorHAnsi" w:hAnsiTheme="minorHAnsi" w:cstheme="minorHAnsi"/>
        </w:rPr>
        <w:t>i</w:t>
      </w:r>
      <w:proofErr w:type="spellEnd"/>
      <w:r w:rsidR="00E570C8" w:rsidRPr="000F78A5">
        <w:rPr>
          <w:rFonts w:asciiTheme="minorHAnsi" w:hAnsiTheme="minorHAnsi" w:cstheme="minorHAnsi"/>
        </w:rPr>
        <w:t xml:space="preserve">) An agricultural commodity that is produced in the United States; and (ii) A food </w:t>
      </w:r>
      <w:r w:rsidR="00E570C8" w:rsidRPr="000F78A5">
        <w:rPr>
          <w:rFonts w:asciiTheme="minorHAnsi" w:hAnsiTheme="minorHAnsi" w:cstheme="minorHAnsi"/>
        </w:rPr>
        <w:lastRenderedPageBreak/>
        <w:t>product that is processed in the United States substantially using agricultural commodities that are produced in the United States.</w:t>
      </w:r>
    </w:p>
    <w:p w:rsidR="00CE229E" w:rsidRPr="000F78A5" w:rsidRDefault="00CE229E" w:rsidP="000F78A5">
      <w:pPr>
        <w:pStyle w:val="NormalWeb"/>
        <w:spacing w:before="0" w:beforeAutospacing="0" w:after="0" w:afterAutospacing="0"/>
        <w:rPr>
          <w:rFonts w:asciiTheme="minorHAnsi" w:hAnsiTheme="minorHAnsi" w:cstheme="minorHAnsi"/>
          <w:sz w:val="22"/>
          <w:szCs w:val="22"/>
        </w:rPr>
      </w:pPr>
    </w:p>
    <w:p w:rsidR="005E5DAA" w:rsidRPr="005E5DAA" w:rsidRDefault="00DE53A2" w:rsidP="000F78A5">
      <w:pPr>
        <w:pStyle w:val="ListParagraph"/>
        <w:numPr>
          <w:ilvl w:val="0"/>
          <w:numId w:val="3"/>
        </w:numPr>
        <w:spacing w:line="240" w:lineRule="auto"/>
        <w:rPr>
          <w:rFonts w:asciiTheme="minorHAnsi" w:hAnsiTheme="minorHAnsi" w:cstheme="minorHAnsi"/>
          <w:b/>
        </w:rPr>
      </w:pPr>
      <w:r w:rsidRPr="000F78A5">
        <w:rPr>
          <w:rFonts w:asciiTheme="minorHAnsi" w:hAnsiTheme="minorHAnsi" w:cstheme="minorHAnsi"/>
          <w:b/>
        </w:rPr>
        <w:t xml:space="preserve">Federal and Maine </w:t>
      </w:r>
      <w:r w:rsidR="006F7007" w:rsidRPr="000F78A5">
        <w:rPr>
          <w:rFonts w:asciiTheme="minorHAnsi" w:hAnsiTheme="minorHAnsi" w:cstheme="minorHAnsi"/>
          <w:b/>
        </w:rPr>
        <w:t>Nondiscrimination Statement</w:t>
      </w:r>
      <w:r w:rsidRPr="000F78A5">
        <w:rPr>
          <w:rFonts w:asciiTheme="minorHAnsi" w:hAnsiTheme="minorHAnsi" w:cstheme="minorHAnsi"/>
          <w:b/>
        </w:rPr>
        <w:t>s</w:t>
      </w:r>
      <w:r w:rsidR="007B68F1" w:rsidRPr="000F78A5">
        <w:rPr>
          <w:rFonts w:asciiTheme="minorHAnsi" w:hAnsiTheme="minorHAnsi" w:cstheme="minorHAnsi"/>
        </w:rPr>
        <w:t xml:space="preserve"> -</w:t>
      </w:r>
      <w:r w:rsidR="007B68F1" w:rsidRPr="000F78A5">
        <w:rPr>
          <w:rFonts w:asciiTheme="minorHAnsi" w:hAnsiTheme="minorHAnsi" w:cstheme="minorHAnsi"/>
          <w:b/>
        </w:rPr>
        <w:t xml:space="preserve"> </w:t>
      </w:r>
      <w:r w:rsidR="00A27606" w:rsidRPr="000F78A5">
        <w:rPr>
          <w:rFonts w:asciiTheme="minorHAnsi" w:hAnsiTheme="minorHAnsi" w:cstheme="minorHAnsi"/>
        </w:rPr>
        <w:t xml:space="preserve">Selected Prime Vendor </w:t>
      </w:r>
      <w:r w:rsidR="00A27606" w:rsidRPr="000F78A5">
        <w:rPr>
          <w:rFonts w:asciiTheme="minorHAnsi" w:hAnsiTheme="minorHAnsi" w:cstheme="minorHAnsi"/>
          <w:bCs/>
        </w:rPr>
        <w:t>shall comply with applicable federal, state, and local Civil Rights laws</w:t>
      </w:r>
      <w:r w:rsidR="00A27606" w:rsidRPr="000F78A5">
        <w:rPr>
          <w:rFonts w:asciiTheme="minorHAnsi" w:eastAsia="Times New Roman" w:hAnsiTheme="minorHAnsi" w:cstheme="minorHAnsi"/>
        </w:rPr>
        <w:t xml:space="preserve">. </w:t>
      </w:r>
    </w:p>
    <w:p w:rsidR="00A254DF" w:rsidRPr="00A254DF" w:rsidRDefault="00A254DF" w:rsidP="00A254DF">
      <w:pPr>
        <w:spacing w:after="0" w:line="240" w:lineRule="auto"/>
        <w:ind w:left="360"/>
        <w:contextualSpacing/>
        <w:rPr>
          <w:rFonts w:cstheme="minorHAnsi"/>
        </w:rPr>
      </w:pPr>
      <w:r w:rsidRPr="00A254DF">
        <w:rPr>
          <w:rFonts w:cstheme="minorHAnsi"/>
          <w:color w:val="00000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A254DF" w:rsidRPr="00A254DF" w:rsidRDefault="00A254DF" w:rsidP="00A254DF">
      <w:pPr>
        <w:spacing w:after="0" w:line="240" w:lineRule="auto"/>
        <w:contextualSpacing/>
        <w:rPr>
          <w:rFonts w:cstheme="minorHAnsi"/>
        </w:rPr>
      </w:pPr>
      <w:r w:rsidRPr="00A254DF">
        <w:rPr>
          <w:rFonts w:cstheme="minorHAnsi"/>
          <w:color w:val="000000"/>
        </w:rPr>
        <w:t> </w:t>
      </w:r>
    </w:p>
    <w:p w:rsidR="00A254DF" w:rsidRPr="00A254DF" w:rsidRDefault="00A254DF" w:rsidP="00A254DF">
      <w:pPr>
        <w:spacing w:after="0" w:line="240" w:lineRule="auto"/>
        <w:ind w:left="360"/>
        <w:contextualSpacing/>
        <w:rPr>
          <w:rFonts w:cstheme="minorHAnsi"/>
        </w:rPr>
      </w:pPr>
      <w:r w:rsidRPr="00A254DF">
        <w:rPr>
          <w:rFonts w:cstheme="minorHAnsi"/>
          <w:color w:val="00000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254DF" w:rsidRPr="00A254DF" w:rsidRDefault="00A254DF" w:rsidP="00A254DF">
      <w:pPr>
        <w:spacing w:after="0" w:line="240" w:lineRule="auto"/>
        <w:contextualSpacing/>
        <w:rPr>
          <w:rFonts w:cstheme="minorHAnsi"/>
        </w:rPr>
      </w:pPr>
      <w:r w:rsidRPr="00A254DF">
        <w:rPr>
          <w:rFonts w:cstheme="minorHAnsi"/>
          <w:color w:val="000000"/>
        </w:rPr>
        <w:t> </w:t>
      </w:r>
    </w:p>
    <w:p w:rsidR="00A254DF" w:rsidRPr="00A254DF" w:rsidRDefault="00A254DF" w:rsidP="00A254DF">
      <w:pPr>
        <w:spacing w:after="0" w:line="240" w:lineRule="auto"/>
        <w:ind w:left="360"/>
        <w:contextualSpacing/>
        <w:rPr>
          <w:rFonts w:cstheme="minorHAnsi"/>
        </w:rPr>
      </w:pPr>
      <w:r w:rsidRPr="00A254DF">
        <w:rPr>
          <w:rFonts w:cstheme="minorHAnsi"/>
          <w:color w:val="000000"/>
        </w:rPr>
        <w:t xml:space="preserve">To file a program complaint of discrimination, complete the </w:t>
      </w:r>
      <w:hyperlink r:id="rId8" w:history="1">
        <w:r w:rsidRPr="00A254DF">
          <w:rPr>
            <w:rStyle w:val="Hyperlink"/>
            <w:rFonts w:cstheme="minorHAnsi"/>
          </w:rPr>
          <w:t>USDA Program Discrimination Complaint Form</w:t>
        </w:r>
      </w:hyperlink>
      <w:r w:rsidRPr="00A254DF">
        <w:rPr>
          <w:rFonts w:cstheme="minorHAnsi"/>
          <w:color w:val="000000"/>
        </w:rPr>
        <w:t xml:space="preserve">, (AD-3027) found online at: </w:t>
      </w:r>
      <w:hyperlink r:id="rId9" w:history="1">
        <w:r w:rsidRPr="00A254DF">
          <w:rPr>
            <w:rStyle w:val="Hyperlink"/>
            <w:rFonts w:cstheme="minorHAnsi"/>
          </w:rPr>
          <w:t>http://www.ascr.usda.gov/complaint_filing_cust.html</w:t>
        </w:r>
      </w:hyperlink>
      <w:r w:rsidRPr="00A254DF">
        <w:rPr>
          <w:rFonts w:cstheme="minorHAnsi"/>
          <w:color w:val="00000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A254DF" w:rsidRPr="00A254DF" w:rsidRDefault="00A254DF" w:rsidP="00A254DF">
      <w:pPr>
        <w:spacing w:after="0" w:line="240" w:lineRule="auto"/>
        <w:contextualSpacing/>
        <w:rPr>
          <w:rFonts w:cstheme="minorHAnsi"/>
        </w:rPr>
      </w:pPr>
      <w:r w:rsidRPr="00A254DF">
        <w:rPr>
          <w:rFonts w:cstheme="minorHAnsi"/>
          <w:color w:val="000000"/>
        </w:rPr>
        <w:t> </w:t>
      </w:r>
    </w:p>
    <w:p w:rsidR="00A254DF" w:rsidRPr="00A254DF" w:rsidRDefault="00A254DF" w:rsidP="00A254DF">
      <w:pPr>
        <w:spacing w:after="0" w:line="240" w:lineRule="auto"/>
        <w:ind w:firstLine="720"/>
        <w:contextualSpacing/>
        <w:rPr>
          <w:rFonts w:cstheme="minorHAnsi"/>
        </w:rPr>
      </w:pPr>
      <w:r w:rsidRPr="00A254DF">
        <w:rPr>
          <w:rFonts w:cstheme="minorHAnsi"/>
          <w:color w:val="000000"/>
        </w:rPr>
        <w:t xml:space="preserve">(1)     mail: U.S. Department of Agriculture </w:t>
      </w:r>
    </w:p>
    <w:p w:rsidR="00A254DF" w:rsidRPr="00A254DF" w:rsidRDefault="00A254DF" w:rsidP="00A254DF">
      <w:pPr>
        <w:spacing w:after="0" w:line="240" w:lineRule="auto"/>
        <w:contextualSpacing/>
        <w:rPr>
          <w:rFonts w:cstheme="minorHAnsi"/>
        </w:rPr>
      </w:pPr>
      <w:r w:rsidRPr="00A254DF">
        <w:rPr>
          <w:rFonts w:cstheme="minorHAnsi"/>
          <w:color w:val="000000"/>
        </w:rPr>
        <w:t>          </w:t>
      </w:r>
      <w:r w:rsidRPr="00A254DF">
        <w:rPr>
          <w:rFonts w:cstheme="minorHAnsi"/>
          <w:color w:val="000000"/>
        </w:rPr>
        <w:tab/>
      </w:r>
      <w:r w:rsidRPr="00A254DF">
        <w:rPr>
          <w:rFonts w:cstheme="minorHAnsi"/>
          <w:color w:val="000000"/>
        </w:rPr>
        <w:tab/>
      </w:r>
      <w:r w:rsidRPr="00A254DF">
        <w:rPr>
          <w:rFonts w:cstheme="minorHAnsi"/>
          <w:color w:val="000000"/>
        </w:rPr>
        <w:t xml:space="preserve">Office of the Assistant Secretary for Civil Rights </w:t>
      </w:r>
    </w:p>
    <w:p w:rsidR="00A254DF" w:rsidRPr="00A254DF" w:rsidRDefault="00A254DF" w:rsidP="00A254DF">
      <w:pPr>
        <w:spacing w:after="0" w:line="240" w:lineRule="auto"/>
        <w:contextualSpacing/>
        <w:rPr>
          <w:rFonts w:cstheme="minorHAnsi"/>
          <w:color w:val="000000"/>
        </w:rPr>
      </w:pPr>
      <w:r w:rsidRPr="00A254DF">
        <w:rPr>
          <w:rFonts w:cstheme="minorHAnsi"/>
          <w:color w:val="000000"/>
        </w:rPr>
        <w:t>          </w:t>
      </w:r>
      <w:r w:rsidRPr="00A254DF">
        <w:rPr>
          <w:rFonts w:cstheme="minorHAnsi"/>
          <w:color w:val="000000"/>
        </w:rPr>
        <w:tab/>
      </w:r>
      <w:r w:rsidRPr="00A254DF">
        <w:rPr>
          <w:rFonts w:cstheme="minorHAnsi"/>
          <w:color w:val="000000"/>
        </w:rPr>
        <w:tab/>
      </w:r>
      <w:r w:rsidRPr="00A254DF">
        <w:rPr>
          <w:rFonts w:cstheme="minorHAnsi"/>
          <w:color w:val="000000"/>
        </w:rPr>
        <w:t xml:space="preserve">1400 Independence Avenue, SW </w:t>
      </w:r>
    </w:p>
    <w:p w:rsidR="00A254DF" w:rsidRPr="00A254DF" w:rsidRDefault="00A254DF" w:rsidP="00A254DF">
      <w:pPr>
        <w:spacing w:after="0" w:line="240" w:lineRule="auto"/>
        <w:contextualSpacing/>
        <w:rPr>
          <w:rFonts w:cstheme="minorHAnsi"/>
        </w:rPr>
      </w:pPr>
      <w:r w:rsidRPr="00A254DF">
        <w:rPr>
          <w:rFonts w:cstheme="minorHAnsi"/>
          <w:color w:val="000000"/>
        </w:rPr>
        <w:t>          </w:t>
      </w:r>
      <w:r w:rsidRPr="00A254DF">
        <w:rPr>
          <w:rFonts w:cstheme="minorHAnsi"/>
          <w:color w:val="000000"/>
        </w:rPr>
        <w:tab/>
      </w:r>
      <w:r w:rsidRPr="00A254DF">
        <w:rPr>
          <w:rFonts w:cstheme="minorHAnsi"/>
          <w:color w:val="000000"/>
        </w:rPr>
        <w:tab/>
      </w:r>
      <w:r w:rsidRPr="00A254DF">
        <w:rPr>
          <w:rFonts w:cstheme="minorHAnsi"/>
          <w:color w:val="000000"/>
        </w:rPr>
        <w:t xml:space="preserve">Washington, D.C. 20250-9410; </w:t>
      </w:r>
    </w:p>
    <w:p w:rsidR="00A254DF" w:rsidRPr="00A254DF" w:rsidRDefault="00A254DF" w:rsidP="00A254DF">
      <w:pPr>
        <w:spacing w:after="0" w:line="240" w:lineRule="auto"/>
        <w:contextualSpacing/>
        <w:rPr>
          <w:rFonts w:cstheme="minorHAnsi"/>
        </w:rPr>
      </w:pPr>
      <w:r w:rsidRPr="00A254DF">
        <w:rPr>
          <w:rFonts w:cstheme="minorHAnsi"/>
          <w:color w:val="000000"/>
        </w:rPr>
        <w:t> </w:t>
      </w:r>
    </w:p>
    <w:p w:rsidR="00A254DF" w:rsidRPr="00A254DF" w:rsidRDefault="00A254DF" w:rsidP="00A254DF">
      <w:pPr>
        <w:spacing w:after="0" w:line="240" w:lineRule="auto"/>
        <w:ind w:firstLine="720"/>
        <w:contextualSpacing/>
        <w:rPr>
          <w:rFonts w:cstheme="minorHAnsi"/>
        </w:rPr>
      </w:pPr>
      <w:r w:rsidRPr="00A254DF">
        <w:rPr>
          <w:rFonts w:cstheme="minorHAnsi"/>
          <w:color w:val="000000"/>
        </w:rPr>
        <w:t xml:space="preserve">(2)      fax: (202) 690-7442; or </w:t>
      </w:r>
    </w:p>
    <w:p w:rsidR="00A254DF" w:rsidRPr="00A254DF" w:rsidRDefault="00A254DF" w:rsidP="00A254DF">
      <w:pPr>
        <w:spacing w:after="0" w:line="240" w:lineRule="auto"/>
        <w:contextualSpacing/>
        <w:rPr>
          <w:rFonts w:cstheme="minorHAnsi"/>
        </w:rPr>
      </w:pPr>
      <w:r w:rsidRPr="00A254DF">
        <w:rPr>
          <w:rFonts w:cstheme="minorHAnsi"/>
          <w:color w:val="000000"/>
        </w:rPr>
        <w:t> </w:t>
      </w:r>
    </w:p>
    <w:p w:rsidR="00A254DF" w:rsidRPr="00A254DF" w:rsidRDefault="00A254DF" w:rsidP="00A254DF">
      <w:pPr>
        <w:spacing w:after="0" w:line="240" w:lineRule="auto"/>
        <w:ind w:firstLine="720"/>
        <w:contextualSpacing/>
        <w:rPr>
          <w:rFonts w:cstheme="minorHAnsi"/>
        </w:rPr>
      </w:pPr>
      <w:r w:rsidRPr="00A254DF">
        <w:rPr>
          <w:rFonts w:cstheme="minorHAnsi"/>
          <w:color w:val="000000"/>
        </w:rPr>
        <w:t xml:space="preserve">(3)      email: </w:t>
      </w:r>
      <w:hyperlink r:id="rId10" w:history="1">
        <w:r w:rsidRPr="00A254DF">
          <w:rPr>
            <w:rStyle w:val="Hyperlink"/>
            <w:rFonts w:cstheme="minorHAnsi"/>
          </w:rPr>
          <w:t>program.intake@usda.gov</w:t>
        </w:r>
      </w:hyperlink>
      <w:r w:rsidRPr="00A254DF">
        <w:rPr>
          <w:rFonts w:cstheme="minorHAnsi"/>
          <w:color w:val="0000FF"/>
        </w:rPr>
        <w:t>.</w:t>
      </w:r>
    </w:p>
    <w:p w:rsidR="00A254DF" w:rsidRPr="00A254DF" w:rsidRDefault="00A254DF" w:rsidP="00A254DF">
      <w:pPr>
        <w:spacing w:after="0" w:line="240" w:lineRule="auto"/>
        <w:contextualSpacing/>
        <w:rPr>
          <w:rFonts w:cstheme="minorHAnsi"/>
        </w:rPr>
      </w:pPr>
      <w:r w:rsidRPr="00A254DF">
        <w:rPr>
          <w:rFonts w:cstheme="minorHAnsi"/>
          <w:color w:val="000000"/>
        </w:rPr>
        <w:t> </w:t>
      </w:r>
    </w:p>
    <w:p w:rsidR="00A254DF" w:rsidRPr="00A254DF" w:rsidRDefault="00A254DF" w:rsidP="00A254DF">
      <w:pPr>
        <w:spacing w:after="0" w:line="240" w:lineRule="auto"/>
        <w:ind w:firstLine="360"/>
        <w:contextualSpacing/>
        <w:rPr>
          <w:rFonts w:cstheme="minorHAnsi"/>
        </w:rPr>
      </w:pPr>
      <w:r w:rsidRPr="00A254DF">
        <w:rPr>
          <w:rFonts w:cstheme="minorHAnsi"/>
          <w:color w:val="000000"/>
        </w:rPr>
        <w:t>This institution is an equal opportunity provider.</w:t>
      </w:r>
    </w:p>
    <w:p w:rsidR="005E5DAA" w:rsidRDefault="005E5DAA" w:rsidP="000F78A5">
      <w:pPr>
        <w:autoSpaceDE w:val="0"/>
        <w:autoSpaceDN w:val="0"/>
        <w:adjustRightInd w:val="0"/>
        <w:spacing w:after="0" w:line="240" w:lineRule="auto"/>
        <w:ind w:left="360"/>
        <w:rPr>
          <w:rFonts w:eastAsia="Times New Roman" w:cstheme="minorHAnsi"/>
        </w:rPr>
      </w:pPr>
    </w:p>
    <w:p w:rsidR="00A27606" w:rsidRPr="000F78A5" w:rsidRDefault="006F7007" w:rsidP="000F78A5">
      <w:pPr>
        <w:autoSpaceDE w:val="0"/>
        <w:autoSpaceDN w:val="0"/>
        <w:adjustRightInd w:val="0"/>
        <w:spacing w:after="0" w:line="240" w:lineRule="auto"/>
        <w:ind w:left="360"/>
        <w:rPr>
          <w:rFonts w:eastAsia="Times New Roman" w:cstheme="minorHAnsi"/>
        </w:rPr>
      </w:pPr>
      <w:r w:rsidRPr="000F78A5">
        <w:rPr>
          <w:rFonts w:eastAsia="Times New Roman" w:cstheme="minorHAnsi"/>
        </w:rPr>
        <w:t>T</w:t>
      </w:r>
      <w:r w:rsidR="00A27606" w:rsidRPr="000F78A5">
        <w:rPr>
          <w:rFonts w:cstheme="minorHAnsi"/>
          <w:color w:val="141414"/>
        </w:rPr>
        <w:t>he Maine Human Rights Act prohibits discrimination because of race, color, sex, sexual orientation, age, physical or mental disability, genetic information, religion, ancestry or national origin.</w:t>
      </w:r>
      <w:r w:rsidR="00DE53A2" w:rsidRPr="000F78A5">
        <w:rPr>
          <w:rFonts w:cstheme="minorHAnsi"/>
          <w:color w:val="141414"/>
        </w:rPr>
        <w:t xml:space="preserve"> </w:t>
      </w:r>
      <w:r w:rsidR="00A27606" w:rsidRPr="000F78A5">
        <w:rPr>
          <w:rFonts w:cstheme="minorHAnsi"/>
          <w:color w:val="141414"/>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00A27606" w:rsidRPr="000F78A5">
          <w:rPr>
            <w:rStyle w:val="Hyperlink"/>
            <w:rFonts w:cstheme="minorHAnsi"/>
            <w:color w:val="551A8B"/>
          </w:rPr>
          <w:t>https://www.maine.gov/mhrc/file/instructions</w:t>
        </w:r>
      </w:hyperlink>
      <w:r w:rsidR="00A27606" w:rsidRPr="000F78A5">
        <w:rPr>
          <w:rFonts w:cstheme="minorHAnsi"/>
          <w:color w:val="141414"/>
        </w:rPr>
        <w:t> and complete an intake questionnaire. Maine is an equal opportunity provider and employer.</w:t>
      </w:r>
    </w:p>
    <w:p w:rsidR="00A27606" w:rsidRPr="000F78A5" w:rsidRDefault="00A27606" w:rsidP="000F78A5">
      <w:pPr>
        <w:autoSpaceDE w:val="0"/>
        <w:autoSpaceDN w:val="0"/>
        <w:adjustRightInd w:val="0"/>
        <w:spacing w:after="0" w:line="240" w:lineRule="auto"/>
        <w:ind w:left="480"/>
        <w:rPr>
          <w:rFonts w:eastAsia="Times New Roman" w:cstheme="minorHAnsi"/>
        </w:rPr>
      </w:pPr>
    </w:p>
    <w:p w:rsidR="007B68F1" w:rsidRPr="000F78A5" w:rsidRDefault="007B68F1" w:rsidP="000F78A5">
      <w:pPr>
        <w:pStyle w:val="ListParagraph"/>
        <w:numPr>
          <w:ilvl w:val="0"/>
          <w:numId w:val="3"/>
        </w:numPr>
        <w:spacing w:after="0" w:line="240" w:lineRule="auto"/>
        <w:rPr>
          <w:rFonts w:asciiTheme="minorHAnsi" w:eastAsia="Times New Roman" w:hAnsiTheme="minorHAnsi" w:cstheme="minorHAnsi"/>
          <w:color w:val="000000"/>
        </w:rPr>
      </w:pPr>
      <w:bookmarkStart w:id="1" w:name="_Hlk22295146"/>
      <w:r w:rsidRPr="005E5DAA">
        <w:rPr>
          <w:rFonts w:asciiTheme="minorHAnsi" w:eastAsia="Times New Roman" w:hAnsiTheme="minorHAnsi" w:cstheme="minorHAnsi"/>
          <w:b/>
          <w:bCs/>
          <w:color w:val="000000"/>
        </w:rPr>
        <w:t>Equal Employment Opportunity</w:t>
      </w:r>
      <w:r w:rsidRPr="000F78A5">
        <w:rPr>
          <w:rFonts w:asciiTheme="minorHAnsi" w:eastAsia="Times New Roman" w:hAnsiTheme="minorHAnsi" w:cstheme="minorHAnsi"/>
          <w:color w:val="000000"/>
        </w:rPr>
        <w:t xml:space="preserve">. Except as otherwise provided under 41 CFR Part 60, </w:t>
      </w:r>
      <w:r w:rsidRPr="000F78A5">
        <w:rPr>
          <w:rFonts w:asciiTheme="minorHAnsi" w:eastAsia="Times New Roman" w:hAnsiTheme="minorHAnsi" w:cstheme="minorHAnsi"/>
          <w:color w:val="000000"/>
          <w:u w:val="single"/>
        </w:rPr>
        <w:t xml:space="preserve">all contracts that meet the definition </w:t>
      </w:r>
      <w:r w:rsidRPr="000F78A5">
        <w:rPr>
          <w:rFonts w:asciiTheme="minorHAnsi" w:eastAsia="Times New Roman" w:hAnsiTheme="minorHAnsi" w:cstheme="minorHAnsi"/>
          <w:u w:val="single"/>
        </w:rPr>
        <w:t>of “</w:t>
      </w:r>
      <w:r w:rsidRPr="005E5DAA">
        <w:rPr>
          <w:rFonts w:asciiTheme="minorHAnsi" w:eastAsia="Times New Roman" w:hAnsiTheme="minorHAnsi" w:cstheme="minorHAnsi"/>
          <w:b/>
          <w:u w:val="single"/>
        </w:rPr>
        <w:t>federally assisted construction contract</w:t>
      </w:r>
      <w:r w:rsidRPr="000F78A5">
        <w:rPr>
          <w:rFonts w:asciiTheme="minorHAnsi" w:eastAsia="Times New Roman" w:hAnsiTheme="minorHAnsi" w:cstheme="minorHAnsi"/>
          <w:u w:val="single"/>
        </w:rPr>
        <w:t>”</w:t>
      </w:r>
      <w:r w:rsidRPr="000F78A5">
        <w:rPr>
          <w:rFonts w:asciiTheme="minorHAnsi" w:eastAsia="Times New Roman" w:hAnsiTheme="minorHAnsi" w:cstheme="minorHAnsi"/>
        </w:rPr>
        <w:t xml:space="preserve"> </w:t>
      </w:r>
      <w:r w:rsidRPr="000F78A5">
        <w:rPr>
          <w:rFonts w:asciiTheme="minorHAnsi" w:eastAsia="Times New Roman" w:hAnsiTheme="minorHAnsi" w:cstheme="minorHAnsi"/>
          <w:color w:val="000000"/>
        </w:rPr>
        <w:t xml:space="preserve">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w:t>
      </w:r>
      <w:r w:rsidRPr="000F78A5">
        <w:rPr>
          <w:rFonts w:asciiTheme="minorHAnsi" w:eastAsia="Times New Roman" w:hAnsiTheme="minorHAnsi" w:cstheme="minorHAnsi"/>
          <w:color w:val="000000"/>
        </w:rPr>
        <w:lastRenderedPageBreak/>
        <w:t>Employment Opportunity,” and implementing regulations at 41 CFR part 60, “Office of Federal Contract Compliance Programs, Equal Employment Opportunity, Department of Labor.”</w:t>
      </w:r>
      <w:r w:rsidRPr="000F78A5">
        <w:rPr>
          <w:rFonts w:asciiTheme="minorHAnsi" w:eastAsia="Times New Roman" w:hAnsiTheme="minorHAnsi" w:cstheme="minorHAnsi"/>
          <w:color w:val="000000"/>
        </w:rPr>
        <w:br/>
      </w:r>
    </w:p>
    <w:p w:rsidR="007B68F1" w:rsidRPr="000F78A5" w:rsidRDefault="007B68F1" w:rsidP="000F78A5">
      <w:pPr>
        <w:pStyle w:val="ListParagraph"/>
        <w:numPr>
          <w:ilvl w:val="0"/>
          <w:numId w:val="3"/>
        </w:numPr>
        <w:spacing w:after="0" w:line="240" w:lineRule="auto"/>
        <w:rPr>
          <w:rFonts w:asciiTheme="minorHAnsi" w:eastAsia="Times New Roman" w:hAnsiTheme="minorHAnsi" w:cstheme="minorHAnsi"/>
          <w:color w:val="000000"/>
        </w:rPr>
      </w:pPr>
      <w:r w:rsidRPr="005E5DAA">
        <w:rPr>
          <w:rFonts w:asciiTheme="minorHAnsi" w:eastAsia="Times New Roman" w:hAnsiTheme="minorHAnsi" w:cstheme="minorHAnsi"/>
          <w:b/>
          <w:bCs/>
          <w:color w:val="000000"/>
        </w:rPr>
        <w:t>Rights to Inventions Made Under a Contract or Agreement</w:t>
      </w:r>
      <w:r w:rsidRPr="000F78A5">
        <w:rPr>
          <w:rFonts w:asciiTheme="minorHAnsi" w:eastAsia="Times New Roman" w:hAnsiTheme="minorHAnsi" w:cstheme="minorHAnsi"/>
          <w:color w:val="000000"/>
        </w:rPr>
        <w:t xml:space="preserve">. If the Federal award meets the definition of </w:t>
      </w:r>
      <w:r w:rsidRPr="005E5DAA">
        <w:rPr>
          <w:rFonts w:asciiTheme="minorHAnsi" w:eastAsia="Times New Roman" w:hAnsiTheme="minorHAnsi" w:cstheme="minorHAnsi"/>
          <w:b/>
          <w:color w:val="000000"/>
        </w:rPr>
        <w:t>“funding agreement”</w:t>
      </w:r>
      <w:r w:rsidRPr="000F78A5">
        <w:rPr>
          <w:rFonts w:asciiTheme="minorHAnsi" w:eastAsia="Times New Roman" w:hAnsiTheme="minorHAnsi" w:cstheme="minorHAnsi"/>
          <w:color w:val="000000"/>
        </w:rPr>
        <w:t xml:space="preserve"> under </w:t>
      </w:r>
      <w:hyperlink r:id="rId12" w:history="1">
        <w:r w:rsidRPr="000F78A5">
          <w:rPr>
            <w:rStyle w:val="Hyperlink"/>
            <w:rFonts w:asciiTheme="minorHAnsi" w:eastAsia="Times New Roman" w:hAnsiTheme="minorHAnsi" w:cstheme="minorHAnsi"/>
          </w:rPr>
          <w:t>37 CFR §401.2 (a)</w:t>
        </w:r>
      </w:hyperlink>
      <w:r w:rsidRPr="000F78A5">
        <w:rPr>
          <w:rFonts w:asciiTheme="minorHAnsi" w:eastAsia="Times New Roman" w:hAnsiTheme="minorHAnsi" w:cstheme="minorHAnsi"/>
          <w:color w:val="000000"/>
        </w:rPr>
        <w:t xml:space="preserve">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r w:rsidRPr="000F78A5">
        <w:rPr>
          <w:rFonts w:asciiTheme="minorHAnsi" w:eastAsia="Times New Roman" w:hAnsiTheme="minorHAnsi" w:cstheme="minorHAnsi"/>
          <w:color w:val="000000"/>
        </w:rPr>
        <w:br/>
      </w:r>
    </w:p>
    <w:p w:rsidR="007B68F1" w:rsidRPr="000F78A5" w:rsidRDefault="007B68F1" w:rsidP="000F78A5">
      <w:pPr>
        <w:pStyle w:val="ListParagraph"/>
        <w:numPr>
          <w:ilvl w:val="0"/>
          <w:numId w:val="3"/>
        </w:numPr>
        <w:spacing w:after="0" w:line="240" w:lineRule="auto"/>
        <w:rPr>
          <w:rFonts w:asciiTheme="minorHAnsi" w:eastAsia="Times New Roman" w:hAnsiTheme="minorHAnsi" w:cstheme="minorHAnsi"/>
          <w:color w:val="000000"/>
        </w:rPr>
      </w:pPr>
      <w:r w:rsidRPr="005E5DAA">
        <w:rPr>
          <w:rFonts w:asciiTheme="minorHAnsi" w:eastAsia="Times New Roman" w:hAnsiTheme="minorHAnsi" w:cstheme="minorHAnsi"/>
          <w:b/>
          <w:color w:val="000000"/>
        </w:rPr>
        <w:t>Procurement of recovered materials §200.322</w:t>
      </w:r>
      <w:r w:rsidRPr="000F78A5">
        <w:rPr>
          <w:rFonts w:asciiTheme="minorHAnsi" w:eastAsia="Times New Roman" w:hAnsiTheme="minorHAnsi" w:cstheme="minorHAnsi"/>
          <w:color w:val="000000"/>
        </w:rPr>
        <w:t xml:space="preserve"> </w:t>
      </w:r>
      <w:r w:rsidRPr="005E5DAA">
        <w:rPr>
          <w:rFonts w:asciiTheme="minorHAnsi" w:eastAsia="Times New Roman" w:hAnsiTheme="minorHAnsi" w:cstheme="minorHAnsi"/>
        </w:rPr>
        <w:t>- A </w:t>
      </w:r>
      <w:hyperlink r:id="rId13" w:history="1">
        <w:r w:rsidRPr="005E5DAA">
          <w:rPr>
            <w:rFonts w:asciiTheme="minorHAnsi" w:eastAsia="Times New Roman" w:hAnsiTheme="minorHAnsi" w:cstheme="minorHAnsi"/>
          </w:rPr>
          <w:t>non-Federal entity</w:t>
        </w:r>
      </w:hyperlink>
      <w:r w:rsidRPr="000F78A5">
        <w:rPr>
          <w:rFonts w:asciiTheme="minorHAnsi" w:eastAsia="Times New Roman" w:hAnsiTheme="minorHAnsi" w:cstheme="minorHAnsi"/>
          <w:color w:val="333333"/>
        </w:rPr>
        <w:t> that is a </w:t>
      </w:r>
      <w:hyperlink r:id="rId14" w:history="1">
        <w:r w:rsidRPr="000F78A5">
          <w:rPr>
            <w:rFonts w:asciiTheme="minorHAnsi" w:eastAsia="Times New Roman" w:hAnsiTheme="minorHAnsi" w:cstheme="minorHAnsi"/>
            <w:b/>
            <w:u w:val="single"/>
          </w:rPr>
          <w:t>state</w:t>
        </w:r>
      </w:hyperlink>
      <w:r w:rsidRPr="000F78A5">
        <w:rPr>
          <w:rFonts w:asciiTheme="minorHAnsi" w:eastAsia="Times New Roman" w:hAnsiTheme="minorHAnsi" w:cstheme="minorHAnsi"/>
          <w:b/>
          <w:u w:val="single"/>
        </w:rPr>
        <w:t> agency or agency of a political subdivision of a </w:t>
      </w:r>
      <w:hyperlink r:id="rId15" w:history="1">
        <w:r w:rsidRPr="000F78A5">
          <w:rPr>
            <w:rFonts w:asciiTheme="minorHAnsi" w:eastAsia="Times New Roman" w:hAnsiTheme="minorHAnsi" w:cstheme="minorHAnsi"/>
            <w:b/>
            <w:u w:val="single"/>
          </w:rPr>
          <w:t>state</w:t>
        </w:r>
      </w:hyperlink>
      <w:r w:rsidRPr="000F78A5">
        <w:rPr>
          <w:rFonts w:asciiTheme="minorHAnsi" w:eastAsia="Times New Roman" w:hAnsiTheme="minorHAnsi" w:cstheme="minorHAnsi"/>
          <w:b/>
          <w:u w:val="single"/>
        </w:rPr>
        <w:t> and its </w:t>
      </w:r>
      <w:hyperlink r:id="rId16" w:history="1">
        <w:r w:rsidRPr="000F78A5">
          <w:rPr>
            <w:rFonts w:asciiTheme="minorHAnsi" w:eastAsia="Times New Roman" w:hAnsiTheme="minorHAnsi" w:cstheme="minorHAnsi"/>
            <w:b/>
            <w:u w:val="single"/>
          </w:rPr>
          <w:t>contractors</w:t>
        </w:r>
      </w:hyperlink>
      <w:r w:rsidRPr="000F78A5">
        <w:rPr>
          <w:rFonts w:asciiTheme="minorHAnsi" w:eastAsia="Times New Roman" w:hAnsiTheme="minorHAnsi" w:cstheme="minorHAnsi"/>
          <w:color w:val="333333"/>
        </w:rPr>
        <w:t> must comply with section 6002 of the </w:t>
      </w:r>
      <w:hyperlink r:id="rId17" w:history="1">
        <w:r w:rsidRPr="000F78A5">
          <w:rPr>
            <w:rFonts w:asciiTheme="minorHAnsi" w:eastAsia="Times New Roman" w:hAnsiTheme="minorHAnsi" w:cstheme="minorHAnsi"/>
            <w:color w:val="0068AC"/>
            <w:u w:val="single"/>
          </w:rPr>
          <w:t>Solid Waste Disposal Act</w:t>
        </w:r>
      </w:hyperlink>
      <w:r w:rsidRPr="000F78A5">
        <w:rPr>
          <w:rFonts w:asciiTheme="minorHAnsi" w:eastAsia="Times New Roman" w:hAnsiTheme="minorHAnsi" w:cstheme="minorHAnsi"/>
          <w:color w:val="333333"/>
        </w:rPr>
        <w:t>, as amended by the Resource Conservation and Recovery Act. The requirements of Section 6002 include procuring only items designated in guidelines of the Environmental Protection Agency (EPA) at </w:t>
      </w:r>
      <w:hyperlink r:id="rId18" w:history="1">
        <w:r w:rsidRPr="000F78A5">
          <w:rPr>
            <w:rFonts w:asciiTheme="minorHAnsi" w:eastAsia="Times New Roman" w:hAnsiTheme="minorHAnsi" w:cstheme="minorHAnsi"/>
            <w:color w:val="0068AC"/>
            <w:u w:val="single"/>
          </w:rPr>
          <w:t>40 CFR part 247</w:t>
        </w:r>
      </w:hyperlink>
      <w:r w:rsidRPr="000F78A5">
        <w:rPr>
          <w:rFonts w:asciiTheme="minorHAnsi" w:eastAsia="Times New Roman" w:hAnsiTheme="minorHAnsi" w:cstheme="minorHAnsi"/>
          <w:color w:val="333333"/>
        </w:rPr>
        <w:t>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7B68F1" w:rsidRPr="000F78A5" w:rsidRDefault="007B68F1" w:rsidP="000F78A5">
      <w:pPr>
        <w:shd w:val="clear" w:color="auto" w:fill="FFFFFF"/>
        <w:spacing w:after="0" w:line="240" w:lineRule="auto"/>
        <w:ind w:left="360"/>
        <w:rPr>
          <w:rFonts w:eastAsia="Times New Roman" w:cstheme="minorHAnsi"/>
          <w:color w:val="333333"/>
        </w:rPr>
      </w:pPr>
      <w:r w:rsidRPr="000F78A5">
        <w:rPr>
          <w:rFonts w:eastAsia="Times New Roman" w:cstheme="minorHAnsi"/>
          <w:color w:val="333333"/>
        </w:rPr>
        <w:t>[</w:t>
      </w:r>
      <w:hyperlink r:id="rId19" w:history="1">
        <w:r w:rsidRPr="000F78A5">
          <w:rPr>
            <w:rFonts w:eastAsia="Times New Roman" w:cstheme="minorHAnsi"/>
            <w:color w:val="0068AC"/>
            <w:u w:val="single"/>
          </w:rPr>
          <w:t>78 FR 78608</w:t>
        </w:r>
      </w:hyperlink>
      <w:r w:rsidRPr="000F78A5">
        <w:rPr>
          <w:rFonts w:eastAsia="Times New Roman" w:cstheme="minorHAnsi"/>
          <w:color w:val="333333"/>
        </w:rPr>
        <w:t>, Dec. 26, 2013, as amended at </w:t>
      </w:r>
      <w:hyperlink r:id="rId20" w:history="1">
        <w:r w:rsidRPr="000F78A5">
          <w:rPr>
            <w:rFonts w:eastAsia="Times New Roman" w:cstheme="minorHAnsi"/>
            <w:color w:val="0068AC"/>
            <w:u w:val="single"/>
          </w:rPr>
          <w:t>79 FR 75885</w:t>
        </w:r>
      </w:hyperlink>
      <w:r w:rsidRPr="000F78A5">
        <w:rPr>
          <w:rFonts w:eastAsia="Times New Roman" w:cstheme="minorHAnsi"/>
          <w:color w:val="333333"/>
        </w:rPr>
        <w:t>, Dec. 19, 2014]</w:t>
      </w:r>
      <w:r w:rsidRPr="000F78A5">
        <w:rPr>
          <w:rFonts w:eastAsia="Times New Roman" w:cstheme="minorHAnsi"/>
          <w:color w:val="333333"/>
        </w:rPr>
        <w:br/>
      </w:r>
    </w:p>
    <w:p w:rsidR="0017268A" w:rsidRPr="000F78A5" w:rsidRDefault="00393FEC" w:rsidP="000F78A5">
      <w:pPr>
        <w:pStyle w:val="ListParagraph"/>
        <w:numPr>
          <w:ilvl w:val="0"/>
          <w:numId w:val="3"/>
        </w:numPr>
        <w:spacing w:after="0" w:line="240" w:lineRule="auto"/>
        <w:rPr>
          <w:rFonts w:asciiTheme="minorHAnsi" w:eastAsia="Times New Roman" w:hAnsiTheme="minorHAnsi" w:cstheme="minorHAnsi"/>
          <w:color w:val="000000"/>
        </w:rPr>
      </w:pPr>
      <w:r w:rsidRPr="005E5DAA">
        <w:rPr>
          <w:rFonts w:asciiTheme="minorHAnsi" w:eastAsia="Times New Roman" w:hAnsiTheme="minorHAnsi" w:cstheme="minorHAnsi"/>
          <w:b/>
          <w:bCs/>
          <w:color w:val="000000"/>
        </w:rPr>
        <w:t>Davis-Bacon Act</w:t>
      </w:r>
      <w:r w:rsidRPr="000F78A5">
        <w:rPr>
          <w:rFonts w:asciiTheme="minorHAnsi" w:eastAsia="Times New Roman" w:hAnsiTheme="minorHAnsi" w:cstheme="minorHAnsi"/>
          <w:b/>
          <w:bCs/>
          <w:color w:val="000000"/>
        </w:rPr>
        <w:t>,</w:t>
      </w:r>
      <w:r w:rsidRPr="000F78A5">
        <w:rPr>
          <w:rFonts w:asciiTheme="minorHAnsi" w:eastAsia="Times New Roman" w:hAnsiTheme="minorHAnsi" w:cstheme="minorHAnsi"/>
          <w:color w:val="000000"/>
        </w:rPr>
        <w:t xml:space="preserve"> as amended (40 U.S.C. 3141-3148). When required by Federal program legislation, all prime </w:t>
      </w:r>
      <w:r w:rsidRPr="000F78A5">
        <w:rPr>
          <w:rFonts w:asciiTheme="minorHAnsi" w:eastAsia="Times New Roman" w:hAnsiTheme="minorHAnsi" w:cstheme="minorHAnsi"/>
          <w:b/>
        </w:rPr>
        <w:t>construction contracts</w:t>
      </w:r>
      <w:r w:rsidRPr="000F78A5">
        <w:rPr>
          <w:rFonts w:asciiTheme="minorHAnsi" w:eastAsia="Times New Roman" w:hAnsiTheme="minorHAnsi" w:cstheme="minorHAnsi"/>
        </w:rPr>
        <w:t xml:space="preserve"> </w:t>
      </w:r>
      <w:r w:rsidRPr="000F78A5">
        <w:rPr>
          <w:rFonts w:asciiTheme="minorHAnsi" w:eastAsia="Times New Roman" w:hAnsiTheme="minorHAnsi" w:cstheme="minorHAnsi"/>
          <w:color w:val="000000"/>
        </w:rPr>
        <w:t>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bookmarkEnd w:id="1"/>
      <w:r w:rsidR="0017268A" w:rsidRPr="000F78A5">
        <w:rPr>
          <w:rFonts w:asciiTheme="minorHAnsi" w:eastAsia="Times New Roman" w:hAnsiTheme="minorHAnsi" w:cstheme="minorHAnsi"/>
          <w:color w:val="000000"/>
        </w:rPr>
        <w:br/>
      </w:r>
    </w:p>
    <w:p w:rsidR="0017268A" w:rsidRPr="00C75B05" w:rsidRDefault="0017268A" w:rsidP="000F78A5">
      <w:pPr>
        <w:pStyle w:val="ListParagraph"/>
        <w:numPr>
          <w:ilvl w:val="0"/>
          <w:numId w:val="3"/>
        </w:numPr>
        <w:spacing w:after="0" w:line="240" w:lineRule="auto"/>
        <w:rPr>
          <w:rFonts w:asciiTheme="minorHAnsi" w:eastAsia="Times New Roman" w:hAnsiTheme="minorHAnsi" w:cstheme="minorHAnsi"/>
          <w:color w:val="000000"/>
        </w:rPr>
      </w:pPr>
      <w:r w:rsidRPr="000F78A5">
        <w:rPr>
          <w:rFonts w:asciiTheme="minorHAnsi" w:hAnsiTheme="minorHAnsi" w:cstheme="minorHAnsi"/>
          <w:b/>
          <w:color w:val="000000"/>
        </w:rPr>
        <w:t xml:space="preserve">Contracting With Small And Minority Businesses, Women’s Business Enterprises, And Labor Surplus Area Firms - </w:t>
      </w:r>
      <w:r w:rsidRPr="000F78A5">
        <w:rPr>
          <w:rFonts w:asciiTheme="minorHAnsi" w:hAnsiTheme="minorHAnsi" w:cstheme="minorHAnsi"/>
          <w:color w:val="000000"/>
        </w:rPr>
        <w:t>The non-Federal entity must take all necessary affirmative steps to assure that minority businesses, women's business enterprises, and labor surplus area firms are used when possible. Affirmative steps must include:</w:t>
      </w:r>
      <w:r w:rsidRPr="000F78A5">
        <w:rPr>
          <w:rFonts w:asciiTheme="minorHAnsi" w:hAnsiTheme="minorHAnsi" w:cstheme="minorHAnsi"/>
          <w:color w:val="000000"/>
        </w:rPr>
        <w:br/>
      </w:r>
      <w:r w:rsidRPr="000F78A5">
        <w:rPr>
          <w:rFonts w:asciiTheme="minorHAnsi" w:hAnsiTheme="minorHAnsi" w:cstheme="minorHAnsi"/>
          <w:color w:val="000000"/>
        </w:rPr>
        <w:lastRenderedPageBreak/>
        <w:t>(1) Placing qualified small and minority businesses and women's business enterprises on solicitation lists;</w:t>
      </w:r>
      <w:r w:rsidRPr="000F78A5">
        <w:rPr>
          <w:rFonts w:asciiTheme="minorHAnsi" w:hAnsiTheme="minorHAnsi" w:cstheme="minorHAnsi"/>
          <w:color w:val="000000"/>
        </w:rPr>
        <w:br/>
        <w:t>(2) Assuring that small and minority businesses, and women's business enterprises are solicited whenever they are potential sources;</w:t>
      </w:r>
      <w:r w:rsidRPr="000F78A5">
        <w:rPr>
          <w:rFonts w:asciiTheme="minorHAnsi" w:hAnsiTheme="minorHAnsi" w:cstheme="minorHAnsi"/>
          <w:color w:val="000000"/>
        </w:rPr>
        <w:br/>
        <w:t>(3) Dividing total requirements, when economically feasible, into smaller tasks or quantities to permit maximum participation by small and minority businesses, and women's business enterprises;</w:t>
      </w:r>
      <w:r w:rsidRPr="000F78A5">
        <w:rPr>
          <w:rFonts w:asciiTheme="minorHAnsi" w:hAnsiTheme="minorHAnsi" w:cstheme="minorHAnsi"/>
          <w:color w:val="000000"/>
        </w:rPr>
        <w:br/>
        <w:t>(4) Establishing delivery schedules, where the requirement permits, which encourage participation by small and minority businesses, and women's business enterprises;</w:t>
      </w:r>
      <w:r w:rsidRPr="000F78A5">
        <w:rPr>
          <w:rFonts w:asciiTheme="minorHAnsi" w:hAnsiTheme="minorHAnsi" w:cstheme="minorHAnsi"/>
          <w:color w:val="000000"/>
        </w:rPr>
        <w:br/>
        <w:t>(5) Using the services and assistance, as appropriate, of such organizations as the Small Business Administration and the Minority Business Development Agency of the Department of Commerce; and</w:t>
      </w:r>
      <w:r w:rsidRPr="000F78A5">
        <w:rPr>
          <w:rFonts w:asciiTheme="minorHAnsi" w:hAnsiTheme="minorHAnsi" w:cstheme="minorHAnsi"/>
          <w:color w:val="000000"/>
        </w:rPr>
        <w:br/>
        <w:t>(6) Requiring the prime contractor, if subcontracts are to be let, to take the affirmative steps listed in paragraphs (1) through (5) of this section.</w:t>
      </w:r>
      <w:r w:rsidR="00C75B05">
        <w:rPr>
          <w:rFonts w:asciiTheme="minorHAnsi" w:hAnsiTheme="minorHAnsi" w:cstheme="minorHAnsi"/>
          <w:color w:val="000000"/>
        </w:rPr>
        <w:br/>
      </w:r>
    </w:p>
    <w:p w:rsidR="00C75B05" w:rsidRPr="000F78A5" w:rsidRDefault="00C75B05" w:rsidP="000F78A5">
      <w:pPr>
        <w:pStyle w:val="ListParagraph"/>
        <w:numPr>
          <w:ilvl w:val="0"/>
          <w:numId w:val="3"/>
        </w:numPr>
        <w:spacing w:after="0" w:line="240" w:lineRule="auto"/>
        <w:rPr>
          <w:rFonts w:asciiTheme="minorHAnsi" w:eastAsia="Times New Roman" w:hAnsiTheme="minorHAnsi" w:cstheme="minorHAnsi"/>
          <w:color w:val="000000"/>
        </w:rPr>
      </w:pPr>
      <w:r w:rsidRPr="006A1823">
        <w:rPr>
          <w:rFonts w:asciiTheme="minorHAnsi" w:eastAsia="Times New Roman" w:hAnsiTheme="minorHAnsi" w:cstheme="minorHAnsi"/>
          <w:b/>
          <w:color w:val="000000"/>
        </w:rPr>
        <w:t>Cooperative Agreements “Piggybacking” (if allowing</w:t>
      </w:r>
      <w:r w:rsidR="006A1823">
        <w:rPr>
          <w:rFonts w:asciiTheme="minorHAnsi" w:eastAsia="Times New Roman" w:hAnsiTheme="minorHAnsi" w:cstheme="minorHAnsi"/>
          <w:b/>
          <w:color w:val="000000"/>
        </w:rPr>
        <w:t>)</w:t>
      </w:r>
      <w:r w:rsidR="006A1823">
        <w:rPr>
          <w:rFonts w:asciiTheme="minorHAnsi" w:eastAsia="Times New Roman" w:hAnsiTheme="minorHAnsi" w:cstheme="minorHAnsi"/>
          <w:color w:val="000000"/>
        </w:rPr>
        <w:t xml:space="preserve"> – If the contract allows for an SFA to piggyback on an existing contract, the solicitation and contract must include language for the addition of parties and specified applicable limits. (dollar value/number of additional parties) SP 05-2017</w:t>
      </w:r>
    </w:p>
    <w:p w:rsidR="0017268A" w:rsidRPr="000F78A5" w:rsidRDefault="0017268A" w:rsidP="000F78A5">
      <w:pPr>
        <w:spacing w:after="0" w:line="240" w:lineRule="auto"/>
        <w:rPr>
          <w:rFonts w:eastAsia="Times New Roman" w:cstheme="minorHAnsi"/>
          <w:color w:val="000000"/>
        </w:rPr>
      </w:pPr>
    </w:p>
    <w:p w:rsidR="00841967" w:rsidRPr="005E5DAA" w:rsidRDefault="005E5DAA" w:rsidP="000F78A5">
      <w:pPr>
        <w:spacing w:line="240" w:lineRule="auto"/>
        <w:rPr>
          <w:rFonts w:cstheme="minorHAnsi"/>
          <w:u w:val="single"/>
        </w:rPr>
      </w:pPr>
      <w:r>
        <w:rPr>
          <w:rFonts w:cstheme="minorHAnsi"/>
          <w:b/>
          <w:iCs/>
          <w:u w:val="single"/>
        </w:rPr>
        <w:t>T</w:t>
      </w:r>
      <w:r w:rsidR="007B68F1" w:rsidRPr="005E5DAA">
        <w:rPr>
          <w:rFonts w:cstheme="minorHAnsi"/>
          <w:b/>
          <w:iCs/>
          <w:u w:val="single"/>
        </w:rPr>
        <w:t xml:space="preserve">he following provisions </w:t>
      </w:r>
      <w:r>
        <w:rPr>
          <w:rFonts w:cstheme="minorHAnsi"/>
          <w:b/>
          <w:iCs/>
          <w:u w:val="single"/>
        </w:rPr>
        <w:t>are required for cost-reimbursable contracts:</w:t>
      </w:r>
    </w:p>
    <w:p w:rsidR="00DE53A2" w:rsidRPr="000F78A5" w:rsidRDefault="00841967" w:rsidP="000F78A5">
      <w:pPr>
        <w:pStyle w:val="ListParagraph"/>
        <w:numPr>
          <w:ilvl w:val="0"/>
          <w:numId w:val="4"/>
        </w:numPr>
        <w:spacing w:line="240" w:lineRule="auto"/>
        <w:rPr>
          <w:rFonts w:asciiTheme="minorHAnsi" w:hAnsiTheme="minorHAnsi" w:cstheme="minorHAnsi"/>
        </w:rPr>
      </w:pPr>
      <w:r w:rsidRPr="000F78A5">
        <w:rPr>
          <w:rFonts w:asciiTheme="minorHAnsi" w:hAnsiTheme="minorHAnsi" w:cstheme="minorHAnsi"/>
        </w:rPr>
        <w:t>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p>
    <w:p w:rsidR="00DE53A2" w:rsidRPr="000F78A5" w:rsidRDefault="00841967" w:rsidP="000F78A5">
      <w:pPr>
        <w:pStyle w:val="ListParagraph"/>
        <w:numPr>
          <w:ilvl w:val="0"/>
          <w:numId w:val="4"/>
        </w:numPr>
        <w:spacing w:line="240" w:lineRule="auto"/>
        <w:rPr>
          <w:rFonts w:asciiTheme="minorHAnsi" w:hAnsiTheme="minorHAnsi" w:cstheme="minorHAnsi"/>
        </w:rPr>
      </w:pPr>
      <w:r w:rsidRPr="000F78A5">
        <w:rPr>
          <w:rFonts w:asciiTheme="minorHAnsi" w:hAnsiTheme="minorHAnsi" w:cstheme="minorHAnsi"/>
        </w:rPr>
        <w:t>The contractor must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w:t>
      </w:r>
    </w:p>
    <w:p w:rsidR="00DE53A2" w:rsidRPr="000F78A5" w:rsidRDefault="00841967" w:rsidP="000F78A5">
      <w:pPr>
        <w:pStyle w:val="ListParagraph"/>
        <w:numPr>
          <w:ilvl w:val="0"/>
          <w:numId w:val="4"/>
        </w:numPr>
        <w:spacing w:line="240" w:lineRule="auto"/>
        <w:rPr>
          <w:rFonts w:asciiTheme="minorHAnsi" w:hAnsiTheme="minorHAnsi" w:cstheme="minorHAnsi"/>
        </w:rPr>
      </w:pPr>
      <w:r w:rsidRPr="000F78A5">
        <w:rPr>
          <w:rFonts w:asciiTheme="minorHAnsi" w:hAnsiTheme="minorHAnsi" w:cstheme="minorHAnsi"/>
        </w:rPr>
        <w:t>The contractor must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p>
    <w:p w:rsidR="00CE229E" w:rsidRPr="000F78A5" w:rsidRDefault="00841967" w:rsidP="000F78A5">
      <w:pPr>
        <w:pStyle w:val="ListParagraph"/>
        <w:numPr>
          <w:ilvl w:val="0"/>
          <w:numId w:val="4"/>
        </w:numPr>
        <w:spacing w:line="240" w:lineRule="auto"/>
        <w:rPr>
          <w:rFonts w:asciiTheme="minorHAnsi" w:hAnsiTheme="minorHAnsi" w:cstheme="minorHAnsi"/>
        </w:rPr>
      </w:pPr>
      <w:r w:rsidRPr="000F78A5">
        <w:rPr>
          <w:rFonts w:asciiTheme="minorHAnsi" w:hAnsiTheme="minorHAnsi" w:cstheme="minorHAnsi"/>
        </w:rPr>
        <w:t>The contractor's determination of its allowable costs must be made in compliance with the applicable Departmental and Program regulations and Office of Management and Budget cost circulars;</w:t>
      </w:r>
    </w:p>
    <w:p w:rsidR="00CE229E" w:rsidRPr="000F78A5" w:rsidRDefault="00841967" w:rsidP="000F78A5">
      <w:pPr>
        <w:pStyle w:val="ListParagraph"/>
        <w:numPr>
          <w:ilvl w:val="0"/>
          <w:numId w:val="4"/>
        </w:numPr>
        <w:spacing w:line="240" w:lineRule="auto"/>
        <w:rPr>
          <w:rFonts w:asciiTheme="minorHAnsi" w:hAnsiTheme="minorHAnsi" w:cstheme="minorHAnsi"/>
        </w:rPr>
      </w:pPr>
      <w:r w:rsidRPr="000F78A5">
        <w:rPr>
          <w:rFonts w:asciiTheme="minorHAnsi" w:hAnsiTheme="minorHAnsi" w:cstheme="minorHAnsi"/>
        </w:rPr>
        <w:t>The contractor must identify the amount of each discount, rebate and other applicable credit on bills and invoices presented to the school food authority for payment and individually identify the amount as a discount, rebate, or in the case of other applicable credits, the nature of the credit. If approved by the State agency, the school food authority may permit the contractor to report this information on a less frequent basis than monthly, but no less frequently than annually;</w:t>
      </w:r>
    </w:p>
    <w:p w:rsidR="00CE229E" w:rsidRPr="000F78A5" w:rsidRDefault="00841967" w:rsidP="000F78A5">
      <w:pPr>
        <w:pStyle w:val="ListParagraph"/>
        <w:numPr>
          <w:ilvl w:val="0"/>
          <w:numId w:val="4"/>
        </w:numPr>
        <w:spacing w:line="240" w:lineRule="auto"/>
        <w:rPr>
          <w:rFonts w:asciiTheme="minorHAnsi" w:hAnsiTheme="minorHAnsi" w:cstheme="minorHAnsi"/>
        </w:rPr>
      </w:pPr>
      <w:r w:rsidRPr="000F78A5">
        <w:rPr>
          <w:rFonts w:asciiTheme="minorHAnsi" w:hAnsiTheme="minorHAnsi" w:cstheme="minorHAnsi"/>
        </w:rPr>
        <w:t>The contractor must identify the method by which it will report discounts, rebates and other applicable credits allocable to the contract that are not reported prior to conclusion of the contract; and</w:t>
      </w:r>
    </w:p>
    <w:p w:rsidR="00CE229E" w:rsidRPr="000F78A5" w:rsidRDefault="00841967" w:rsidP="000F78A5">
      <w:pPr>
        <w:pStyle w:val="ListParagraph"/>
        <w:numPr>
          <w:ilvl w:val="0"/>
          <w:numId w:val="4"/>
        </w:numPr>
        <w:spacing w:line="240" w:lineRule="auto"/>
        <w:rPr>
          <w:rFonts w:asciiTheme="minorHAnsi" w:hAnsiTheme="minorHAnsi" w:cstheme="minorHAnsi"/>
        </w:rPr>
      </w:pPr>
      <w:r w:rsidRPr="000F78A5">
        <w:rPr>
          <w:rFonts w:asciiTheme="minorHAnsi" w:hAnsiTheme="minorHAnsi" w:cstheme="minorHAnsi"/>
        </w:rPr>
        <w:t>The contractor must maintain documentation of costs and discounts, rebates and other applicable credits, and must furnish such documentation upon request to the school food authority, the State agency, or the Department.</w:t>
      </w:r>
    </w:p>
    <w:p w:rsidR="008C530B" w:rsidRPr="000F78A5" w:rsidRDefault="00841967" w:rsidP="000F78A5">
      <w:pPr>
        <w:pStyle w:val="ListParagraph"/>
        <w:numPr>
          <w:ilvl w:val="0"/>
          <w:numId w:val="4"/>
        </w:numPr>
        <w:spacing w:after="0" w:line="240" w:lineRule="auto"/>
        <w:rPr>
          <w:rFonts w:asciiTheme="minorHAnsi" w:eastAsia="Times New Roman" w:hAnsiTheme="minorHAnsi" w:cstheme="minorHAnsi"/>
          <w:b/>
          <w:bCs/>
          <w:color w:val="000000"/>
          <w:u w:val="single"/>
        </w:rPr>
      </w:pPr>
      <w:r w:rsidRPr="000F78A5">
        <w:rPr>
          <w:rFonts w:asciiTheme="minorHAnsi" w:hAnsiTheme="minorHAnsi" w:cstheme="minorHAnsi"/>
          <w:iCs/>
        </w:rPr>
        <w:lastRenderedPageBreak/>
        <w:t>Prohibited expenditures.</w:t>
      </w:r>
      <w:r w:rsidRPr="000F78A5">
        <w:rPr>
          <w:rFonts w:asciiTheme="minorHAnsi" w:hAnsiTheme="minorHAnsi" w:cstheme="minorHAnsi"/>
        </w:rPr>
        <w:t> No expenditure may be made from the nonprofit school food service account for any cost resulting from a cost reimbursable contract that fails to include the requirements of this section, nor may any expenditure be made from the nonprofit school food service account that permits or results in the contractor receiving payments in excess of the contractor's actual, net allowable costs.</w:t>
      </w:r>
      <w:r w:rsidR="008C530B" w:rsidRPr="000F78A5">
        <w:rPr>
          <w:rFonts w:asciiTheme="minorHAnsi" w:eastAsia="Times New Roman" w:hAnsiTheme="minorHAnsi" w:cstheme="minorHAnsi"/>
          <w:b/>
          <w:bCs/>
          <w:color w:val="000000"/>
          <w:u w:val="single"/>
        </w:rPr>
        <w:t xml:space="preserve"> </w:t>
      </w:r>
    </w:p>
    <w:p w:rsidR="0017268A" w:rsidRPr="000F78A5" w:rsidRDefault="0017268A" w:rsidP="000F78A5">
      <w:pPr>
        <w:spacing w:after="0" w:line="240" w:lineRule="auto"/>
        <w:rPr>
          <w:rFonts w:eastAsia="Times New Roman" w:cstheme="minorHAnsi"/>
          <w:b/>
          <w:bCs/>
          <w:color w:val="000000"/>
          <w:u w:val="single"/>
        </w:rPr>
      </w:pPr>
    </w:p>
    <w:p w:rsidR="008C530B" w:rsidRPr="000F78A5" w:rsidRDefault="008C530B" w:rsidP="000F78A5">
      <w:pPr>
        <w:spacing w:after="0" w:line="240" w:lineRule="auto"/>
        <w:rPr>
          <w:rFonts w:eastAsia="Times New Roman" w:cstheme="minorHAnsi"/>
          <w:b/>
          <w:bCs/>
          <w:color w:val="000000"/>
          <w:u w:val="single"/>
        </w:rPr>
      </w:pPr>
      <w:r w:rsidRPr="000F78A5">
        <w:rPr>
          <w:rFonts w:eastAsia="Times New Roman" w:cstheme="minorHAnsi"/>
          <w:b/>
          <w:bCs/>
          <w:color w:val="000000"/>
          <w:u w:val="single"/>
        </w:rPr>
        <w:t>Certifications</w:t>
      </w:r>
    </w:p>
    <w:p w:rsidR="008C530B" w:rsidRPr="000F78A5" w:rsidRDefault="008C530B" w:rsidP="000F78A5">
      <w:pPr>
        <w:pStyle w:val="ListParagraph"/>
        <w:numPr>
          <w:ilvl w:val="0"/>
          <w:numId w:val="3"/>
        </w:numPr>
        <w:spacing w:after="0" w:line="240" w:lineRule="auto"/>
        <w:rPr>
          <w:rFonts w:asciiTheme="minorHAnsi" w:eastAsia="Times New Roman" w:hAnsiTheme="minorHAnsi" w:cstheme="minorHAnsi"/>
          <w:color w:val="000000"/>
        </w:rPr>
      </w:pPr>
      <w:r w:rsidRPr="000F78A5">
        <w:rPr>
          <w:rFonts w:asciiTheme="minorHAnsi" w:hAnsiTheme="minorHAnsi" w:cstheme="minorHAnsi"/>
          <w:b/>
        </w:rPr>
        <w:t>Debarment and Suspension</w:t>
      </w:r>
      <w:r w:rsidRPr="000F78A5">
        <w:rPr>
          <w:rFonts w:asciiTheme="minorHAnsi" w:hAnsiTheme="minorHAnsi" w:cstheme="minorHAnsi"/>
        </w:rPr>
        <w:t xml:space="preserve"> (Executive Orders 12549 and 12689)—A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Excluded  Parties  can  be  reviewed  at </w:t>
      </w:r>
      <w:hyperlink r:id="rId21" w:history="1">
        <w:r w:rsidRPr="000F78A5">
          <w:rPr>
            <w:rStyle w:val="Hyperlink"/>
            <w:rFonts w:asciiTheme="minorHAnsi" w:hAnsiTheme="minorHAnsi" w:cstheme="minorHAnsi"/>
          </w:rPr>
          <w:t>https://www.sam.gov/SAM/</w:t>
        </w:r>
      </w:hyperlink>
      <w:r w:rsidRPr="000F78A5">
        <w:rPr>
          <w:rFonts w:asciiTheme="minorHAnsi" w:hAnsiTheme="minorHAnsi" w:cstheme="minorHAnsi"/>
        </w:rPr>
        <w:t xml:space="preserve">  </w:t>
      </w:r>
    </w:p>
    <w:p w:rsidR="008C530B" w:rsidRPr="000F78A5" w:rsidRDefault="008C530B" w:rsidP="000F78A5">
      <w:pPr>
        <w:spacing w:after="0" w:line="240" w:lineRule="auto"/>
        <w:rPr>
          <w:rFonts w:eastAsia="Times New Roman" w:cstheme="minorHAnsi"/>
          <w:color w:val="000000"/>
        </w:rPr>
      </w:pPr>
    </w:p>
    <w:p w:rsidR="008C530B" w:rsidRPr="000F78A5" w:rsidRDefault="008C530B" w:rsidP="000F78A5">
      <w:pPr>
        <w:pStyle w:val="ListParagraph"/>
        <w:numPr>
          <w:ilvl w:val="0"/>
          <w:numId w:val="3"/>
        </w:numPr>
        <w:spacing w:after="0" w:line="240" w:lineRule="auto"/>
        <w:rPr>
          <w:rFonts w:asciiTheme="minorHAnsi" w:eastAsia="Times New Roman" w:hAnsiTheme="minorHAnsi" w:cstheme="minorHAnsi"/>
          <w:color w:val="000000"/>
        </w:rPr>
      </w:pPr>
      <w:r w:rsidRPr="000F78A5">
        <w:rPr>
          <w:rFonts w:asciiTheme="minorHAnsi" w:eastAsia="Times New Roman" w:hAnsiTheme="minorHAnsi" w:cstheme="minorHAnsi"/>
          <w:b/>
          <w:bCs/>
          <w:color w:val="000000"/>
        </w:rPr>
        <w:t>Byrd Anti-Lobbying Amendment</w:t>
      </w:r>
      <w:r w:rsidRPr="000F78A5">
        <w:rPr>
          <w:rFonts w:asciiTheme="minorHAnsi" w:eastAsia="Times New Roman" w:hAnsiTheme="minorHAnsi" w:cstheme="minorHAnsi"/>
          <w:color w:val="000000"/>
        </w:rPr>
        <w:t xml:space="preserve"> (31 U.S.C. 1352)—Contractors that apply or bid for an award </w:t>
      </w:r>
      <w:r w:rsidRPr="000F78A5">
        <w:rPr>
          <w:rFonts w:asciiTheme="minorHAnsi" w:eastAsia="Times New Roman" w:hAnsiTheme="minorHAnsi" w:cstheme="minorHAnsi"/>
          <w:b/>
          <w:bCs/>
          <w:color w:val="000000"/>
        </w:rPr>
        <w:t>exceeding $100,000</w:t>
      </w:r>
      <w:r w:rsidRPr="000F78A5">
        <w:rPr>
          <w:rFonts w:asciiTheme="minorHAnsi" w:eastAsia="Times New Roman" w:hAnsiTheme="minorHAnsi" w:cstheme="minorHAnsi"/>
          <w:color w:val="000000"/>
        </w:rPr>
        <w:t xml:space="preserv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0F78A5">
        <w:rPr>
          <w:rFonts w:asciiTheme="minorHAnsi" w:eastAsia="Times New Roman" w:hAnsiTheme="minorHAnsi" w:cstheme="minorHAnsi"/>
          <w:color w:val="000000"/>
        </w:rPr>
        <w:t>tier</w:t>
      </w:r>
      <w:proofErr w:type="spellEnd"/>
      <w:r w:rsidRPr="000F78A5">
        <w:rPr>
          <w:rFonts w:asciiTheme="minorHAnsi" w:eastAsia="Times New Roman" w:hAnsiTheme="minorHAnsi" w:cstheme="minorHAnsi"/>
          <w:color w:val="000000"/>
        </w:rPr>
        <w:t xml:space="preserve"> up to the non-Federal award.</w:t>
      </w:r>
    </w:p>
    <w:p w:rsidR="00E570C8" w:rsidRPr="000F78A5" w:rsidRDefault="00E570C8" w:rsidP="000F78A5">
      <w:pPr>
        <w:spacing w:line="240" w:lineRule="auto"/>
        <w:rPr>
          <w:rFonts w:cstheme="minorHAnsi"/>
        </w:rPr>
      </w:pPr>
    </w:p>
    <w:sectPr w:rsidR="00E570C8" w:rsidRPr="000F78A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8A5" w:rsidRDefault="000F78A5" w:rsidP="000F78A5">
      <w:pPr>
        <w:spacing w:after="0" w:line="240" w:lineRule="auto"/>
      </w:pPr>
      <w:r>
        <w:separator/>
      </w:r>
    </w:p>
  </w:endnote>
  <w:endnote w:type="continuationSeparator" w:id="0">
    <w:p w:rsidR="000F78A5" w:rsidRDefault="000F78A5" w:rsidP="000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1E" w:rsidRDefault="00DD7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8A5" w:rsidRDefault="000F78A5" w:rsidP="000F78A5">
    <w:pPr>
      <w:pStyle w:val="Footer"/>
      <w:jc w:val="center"/>
    </w:pPr>
    <w:r>
      <w:t>This institution is an equal opportunity provider</w:t>
    </w:r>
    <w:r>
      <w:tab/>
    </w:r>
    <w:r>
      <w:tab/>
      <w:t>11</w:t>
    </w:r>
    <w:r w:rsidR="00DD7C1E">
      <w:t>/</w:t>
    </w:r>
    <w: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1E" w:rsidRDefault="00DD7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8A5" w:rsidRDefault="000F78A5" w:rsidP="000F78A5">
      <w:pPr>
        <w:spacing w:after="0" w:line="240" w:lineRule="auto"/>
      </w:pPr>
      <w:r>
        <w:separator/>
      </w:r>
    </w:p>
  </w:footnote>
  <w:footnote w:type="continuationSeparator" w:id="0">
    <w:p w:rsidR="000F78A5" w:rsidRDefault="000F78A5" w:rsidP="000F7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1E" w:rsidRDefault="00DD7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1E" w:rsidRDefault="00DD7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1E" w:rsidRDefault="00DD7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10F1"/>
    <w:multiLevelType w:val="hybridMultilevel"/>
    <w:tmpl w:val="3C226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A6020"/>
    <w:multiLevelType w:val="multilevel"/>
    <w:tmpl w:val="069625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54631711"/>
    <w:multiLevelType w:val="hybridMultilevel"/>
    <w:tmpl w:val="E1C6F88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5726A8"/>
    <w:multiLevelType w:val="hybridMultilevel"/>
    <w:tmpl w:val="002836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84"/>
    <w:rsid w:val="000F3369"/>
    <w:rsid w:val="000F78A5"/>
    <w:rsid w:val="0017268A"/>
    <w:rsid w:val="001C17F0"/>
    <w:rsid w:val="00266CA6"/>
    <w:rsid w:val="0032478F"/>
    <w:rsid w:val="00393FEC"/>
    <w:rsid w:val="003B3B44"/>
    <w:rsid w:val="003B6311"/>
    <w:rsid w:val="005074F8"/>
    <w:rsid w:val="005E5DAA"/>
    <w:rsid w:val="00636FDA"/>
    <w:rsid w:val="0067005E"/>
    <w:rsid w:val="00692C0F"/>
    <w:rsid w:val="006A1823"/>
    <w:rsid w:val="006B4ECD"/>
    <w:rsid w:val="006E086D"/>
    <w:rsid w:val="006E725E"/>
    <w:rsid w:val="006F7007"/>
    <w:rsid w:val="007131DB"/>
    <w:rsid w:val="007B68F1"/>
    <w:rsid w:val="007E3F1F"/>
    <w:rsid w:val="007F47B6"/>
    <w:rsid w:val="00840B3D"/>
    <w:rsid w:val="00841967"/>
    <w:rsid w:val="00873584"/>
    <w:rsid w:val="008C530B"/>
    <w:rsid w:val="008E4038"/>
    <w:rsid w:val="00914D57"/>
    <w:rsid w:val="009537BC"/>
    <w:rsid w:val="00A254DF"/>
    <w:rsid w:val="00A27606"/>
    <w:rsid w:val="00A77A91"/>
    <w:rsid w:val="00A91B41"/>
    <w:rsid w:val="00AA5557"/>
    <w:rsid w:val="00AC7A1B"/>
    <w:rsid w:val="00AD6B75"/>
    <w:rsid w:val="00BD7B14"/>
    <w:rsid w:val="00C14962"/>
    <w:rsid w:val="00C75B05"/>
    <w:rsid w:val="00C8201E"/>
    <w:rsid w:val="00C873DE"/>
    <w:rsid w:val="00CA4ADD"/>
    <w:rsid w:val="00CB3AA0"/>
    <w:rsid w:val="00CE229E"/>
    <w:rsid w:val="00DA2DCC"/>
    <w:rsid w:val="00DD7C1E"/>
    <w:rsid w:val="00DE53A2"/>
    <w:rsid w:val="00E24CFF"/>
    <w:rsid w:val="00E5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43F2"/>
  <w15:chartTrackingRefBased/>
  <w15:docId w15:val="{49BE1F23-F23F-4C4F-BBA8-75D68B0E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AC7A1B"/>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7A1B"/>
    <w:rPr>
      <w:rFonts w:ascii="Cambria" w:eastAsia="Times New Roman" w:hAnsi="Cambria" w:cs="Times New Roman"/>
      <w:b/>
      <w:bCs/>
      <w:sz w:val="26"/>
      <w:szCs w:val="26"/>
    </w:rPr>
  </w:style>
  <w:style w:type="paragraph" w:customStyle="1" w:styleId="Default">
    <w:name w:val="Default"/>
    <w:rsid w:val="00AC7A1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E570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E570C8"/>
    <w:pPr>
      <w:ind w:left="720"/>
      <w:contextualSpacing/>
    </w:pPr>
    <w:rPr>
      <w:rFonts w:ascii="Calibri" w:eastAsia="Calibri" w:hAnsi="Calibri" w:cs="Times New Roman"/>
    </w:rPr>
  </w:style>
  <w:style w:type="character" w:styleId="Hyperlink">
    <w:name w:val="Hyperlink"/>
    <w:basedOn w:val="DefaultParagraphFont"/>
    <w:uiPriority w:val="99"/>
    <w:unhideWhenUsed/>
    <w:rsid w:val="00A27606"/>
    <w:rPr>
      <w:color w:val="0000FF"/>
      <w:u w:val="single"/>
    </w:rPr>
  </w:style>
  <w:style w:type="character" w:styleId="UnresolvedMention">
    <w:name w:val="Unresolved Mention"/>
    <w:basedOn w:val="DefaultParagraphFont"/>
    <w:uiPriority w:val="99"/>
    <w:semiHidden/>
    <w:unhideWhenUsed/>
    <w:rsid w:val="00AA5557"/>
    <w:rPr>
      <w:color w:val="605E5C"/>
      <w:shd w:val="clear" w:color="auto" w:fill="E1DFDD"/>
    </w:rPr>
  </w:style>
  <w:style w:type="paragraph" w:styleId="Header">
    <w:name w:val="header"/>
    <w:basedOn w:val="Normal"/>
    <w:link w:val="HeaderChar"/>
    <w:uiPriority w:val="99"/>
    <w:unhideWhenUsed/>
    <w:rsid w:val="000F7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8A5"/>
  </w:style>
  <w:style w:type="paragraph" w:styleId="Footer">
    <w:name w:val="footer"/>
    <w:basedOn w:val="Normal"/>
    <w:link w:val="FooterChar"/>
    <w:uiPriority w:val="99"/>
    <w:unhideWhenUsed/>
    <w:rsid w:val="000F7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0143">
      <w:bodyDiv w:val="1"/>
      <w:marLeft w:val="0"/>
      <w:marRight w:val="0"/>
      <w:marTop w:val="0"/>
      <w:marBottom w:val="0"/>
      <w:divBdr>
        <w:top w:val="none" w:sz="0" w:space="0" w:color="auto"/>
        <w:left w:val="none" w:sz="0" w:space="0" w:color="auto"/>
        <w:bottom w:val="none" w:sz="0" w:space="0" w:color="auto"/>
        <w:right w:val="none" w:sz="0" w:space="0" w:color="auto"/>
      </w:divBdr>
    </w:div>
    <w:div w:id="282537456">
      <w:bodyDiv w:val="1"/>
      <w:marLeft w:val="0"/>
      <w:marRight w:val="0"/>
      <w:marTop w:val="0"/>
      <w:marBottom w:val="0"/>
      <w:divBdr>
        <w:top w:val="none" w:sz="0" w:space="0" w:color="auto"/>
        <w:left w:val="none" w:sz="0" w:space="0" w:color="auto"/>
        <w:bottom w:val="none" w:sz="0" w:space="0" w:color="auto"/>
        <w:right w:val="none" w:sz="0" w:space="0" w:color="auto"/>
      </w:divBdr>
    </w:div>
    <w:div w:id="285502715">
      <w:bodyDiv w:val="1"/>
      <w:marLeft w:val="0"/>
      <w:marRight w:val="0"/>
      <w:marTop w:val="0"/>
      <w:marBottom w:val="0"/>
      <w:divBdr>
        <w:top w:val="none" w:sz="0" w:space="0" w:color="auto"/>
        <w:left w:val="none" w:sz="0" w:space="0" w:color="auto"/>
        <w:bottom w:val="none" w:sz="0" w:space="0" w:color="auto"/>
        <w:right w:val="none" w:sz="0" w:space="0" w:color="auto"/>
      </w:divBdr>
      <w:divsChild>
        <w:div w:id="1670712154">
          <w:marLeft w:val="0"/>
          <w:marRight w:val="0"/>
          <w:marTop w:val="0"/>
          <w:marBottom w:val="0"/>
          <w:divBdr>
            <w:top w:val="none" w:sz="0" w:space="0" w:color="auto"/>
            <w:left w:val="none" w:sz="0" w:space="0" w:color="auto"/>
            <w:bottom w:val="none" w:sz="0" w:space="0" w:color="auto"/>
            <w:right w:val="none" w:sz="0" w:space="0" w:color="auto"/>
          </w:divBdr>
        </w:div>
      </w:divsChild>
    </w:div>
    <w:div w:id="430395319">
      <w:bodyDiv w:val="1"/>
      <w:marLeft w:val="0"/>
      <w:marRight w:val="0"/>
      <w:marTop w:val="0"/>
      <w:marBottom w:val="0"/>
      <w:divBdr>
        <w:top w:val="none" w:sz="0" w:space="0" w:color="auto"/>
        <w:left w:val="none" w:sz="0" w:space="0" w:color="auto"/>
        <w:bottom w:val="none" w:sz="0" w:space="0" w:color="auto"/>
        <w:right w:val="none" w:sz="0" w:space="0" w:color="auto"/>
      </w:divBdr>
    </w:div>
    <w:div w:id="558514254">
      <w:bodyDiv w:val="1"/>
      <w:marLeft w:val="0"/>
      <w:marRight w:val="0"/>
      <w:marTop w:val="0"/>
      <w:marBottom w:val="0"/>
      <w:divBdr>
        <w:top w:val="none" w:sz="0" w:space="0" w:color="auto"/>
        <w:left w:val="none" w:sz="0" w:space="0" w:color="auto"/>
        <w:bottom w:val="none" w:sz="0" w:space="0" w:color="auto"/>
        <w:right w:val="none" w:sz="0" w:space="0" w:color="auto"/>
      </w:divBdr>
    </w:div>
    <w:div w:id="644631072">
      <w:bodyDiv w:val="1"/>
      <w:marLeft w:val="0"/>
      <w:marRight w:val="0"/>
      <w:marTop w:val="0"/>
      <w:marBottom w:val="0"/>
      <w:divBdr>
        <w:top w:val="none" w:sz="0" w:space="0" w:color="auto"/>
        <w:left w:val="none" w:sz="0" w:space="0" w:color="auto"/>
        <w:bottom w:val="none" w:sz="0" w:space="0" w:color="auto"/>
        <w:right w:val="none" w:sz="0" w:space="0" w:color="auto"/>
      </w:divBdr>
    </w:div>
    <w:div w:id="754546405">
      <w:bodyDiv w:val="1"/>
      <w:marLeft w:val="0"/>
      <w:marRight w:val="0"/>
      <w:marTop w:val="0"/>
      <w:marBottom w:val="0"/>
      <w:divBdr>
        <w:top w:val="none" w:sz="0" w:space="0" w:color="auto"/>
        <w:left w:val="none" w:sz="0" w:space="0" w:color="auto"/>
        <w:bottom w:val="none" w:sz="0" w:space="0" w:color="auto"/>
        <w:right w:val="none" w:sz="0" w:space="0" w:color="auto"/>
      </w:divBdr>
    </w:div>
    <w:div w:id="881864673">
      <w:bodyDiv w:val="1"/>
      <w:marLeft w:val="0"/>
      <w:marRight w:val="0"/>
      <w:marTop w:val="0"/>
      <w:marBottom w:val="0"/>
      <w:divBdr>
        <w:top w:val="none" w:sz="0" w:space="0" w:color="auto"/>
        <w:left w:val="none" w:sz="0" w:space="0" w:color="auto"/>
        <w:bottom w:val="none" w:sz="0" w:space="0" w:color="auto"/>
        <w:right w:val="none" w:sz="0" w:space="0" w:color="auto"/>
      </w:divBdr>
    </w:div>
    <w:div w:id="984747056">
      <w:bodyDiv w:val="1"/>
      <w:marLeft w:val="0"/>
      <w:marRight w:val="0"/>
      <w:marTop w:val="0"/>
      <w:marBottom w:val="0"/>
      <w:divBdr>
        <w:top w:val="none" w:sz="0" w:space="0" w:color="auto"/>
        <w:left w:val="none" w:sz="0" w:space="0" w:color="auto"/>
        <w:bottom w:val="none" w:sz="0" w:space="0" w:color="auto"/>
        <w:right w:val="none" w:sz="0" w:space="0" w:color="auto"/>
      </w:divBdr>
    </w:div>
    <w:div w:id="1296450023">
      <w:bodyDiv w:val="1"/>
      <w:marLeft w:val="0"/>
      <w:marRight w:val="0"/>
      <w:marTop w:val="0"/>
      <w:marBottom w:val="0"/>
      <w:divBdr>
        <w:top w:val="none" w:sz="0" w:space="0" w:color="auto"/>
        <w:left w:val="none" w:sz="0" w:space="0" w:color="auto"/>
        <w:bottom w:val="none" w:sz="0" w:space="0" w:color="auto"/>
        <w:right w:val="none" w:sz="0" w:space="0" w:color="auto"/>
      </w:divBdr>
    </w:div>
    <w:div w:id="1309364952">
      <w:bodyDiv w:val="1"/>
      <w:marLeft w:val="0"/>
      <w:marRight w:val="0"/>
      <w:marTop w:val="0"/>
      <w:marBottom w:val="0"/>
      <w:divBdr>
        <w:top w:val="none" w:sz="0" w:space="0" w:color="auto"/>
        <w:left w:val="none" w:sz="0" w:space="0" w:color="auto"/>
        <w:bottom w:val="none" w:sz="0" w:space="0" w:color="auto"/>
        <w:right w:val="none" w:sz="0" w:space="0" w:color="auto"/>
      </w:divBdr>
    </w:div>
    <w:div w:id="1475635759">
      <w:bodyDiv w:val="1"/>
      <w:marLeft w:val="0"/>
      <w:marRight w:val="0"/>
      <w:marTop w:val="0"/>
      <w:marBottom w:val="0"/>
      <w:divBdr>
        <w:top w:val="none" w:sz="0" w:space="0" w:color="auto"/>
        <w:left w:val="none" w:sz="0" w:space="0" w:color="auto"/>
        <w:bottom w:val="none" w:sz="0" w:space="0" w:color="auto"/>
        <w:right w:val="none" w:sz="0" w:space="0" w:color="auto"/>
      </w:divBdr>
    </w:div>
    <w:div w:id="1536846837">
      <w:bodyDiv w:val="1"/>
      <w:marLeft w:val="0"/>
      <w:marRight w:val="0"/>
      <w:marTop w:val="0"/>
      <w:marBottom w:val="0"/>
      <w:divBdr>
        <w:top w:val="none" w:sz="0" w:space="0" w:color="auto"/>
        <w:left w:val="none" w:sz="0" w:space="0" w:color="auto"/>
        <w:bottom w:val="none" w:sz="0" w:space="0" w:color="auto"/>
        <w:right w:val="none" w:sz="0" w:space="0" w:color="auto"/>
      </w:divBdr>
    </w:div>
    <w:div w:id="1539512073">
      <w:bodyDiv w:val="1"/>
      <w:marLeft w:val="0"/>
      <w:marRight w:val="0"/>
      <w:marTop w:val="0"/>
      <w:marBottom w:val="0"/>
      <w:divBdr>
        <w:top w:val="none" w:sz="0" w:space="0" w:color="auto"/>
        <w:left w:val="none" w:sz="0" w:space="0" w:color="auto"/>
        <w:bottom w:val="none" w:sz="0" w:space="0" w:color="auto"/>
        <w:right w:val="none" w:sz="0" w:space="0" w:color="auto"/>
      </w:divBdr>
    </w:div>
    <w:div w:id="1544905594">
      <w:bodyDiv w:val="1"/>
      <w:marLeft w:val="0"/>
      <w:marRight w:val="0"/>
      <w:marTop w:val="0"/>
      <w:marBottom w:val="0"/>
      <w:divBdr>
        <w:top w:val="none" w:sz="0" w:space="0" w:color="auto"/>
        <w:left w:val="none" w:sz="0" w:space="0" w:color="auto"/>
        <w:bottom w:val="none" w:sz="0" w:space="0" w:color="auto"/>
        <w:right w:val="none" w:sz="0" w:space="0" w:color="auto"/>
      </w:divBdr>
    </w:div>
    <w:div w:id="1700352589">
      <w:bodyDiv w:val="1"/>
      <w:marLeft w:val="0"/>
      <w:marRight w:val="0"/>
      <w:marTop w:val="0"/>
      <w:marBottom w:val="0"/>
      <w:divBdr>
        <w:top w:val="none" w:sz="0" w:space="0" w:color="auto"/>
        <w:left w:val="none" w:sz="0" w:space="0" w:color="auto"/>
        <w:bottom w:val="none" w:sz="0" w:space="0" w:color="auto"/>
        <w:right w:val="none" w:sz="0" w:space="0" w:color="auto"/>
      </w:divBdr>
    </w:div>
    <w:div w:id="1809661626">
      <w:bodyDiv w:val="1"/>
      <w:marLeft w:val="0"/>
      <w:marRight w:val="0"/>
      <w:marTop w:val="0"/>
      <w:marBottom w:val="0"/>
      <w:divBdr>
        <w:top w:val="none" w:sz="0" w:space="0" w:color="auto"/>
        <w:left w:val="none" w:sz="0" w:space="0" w:color="auto"/>
        <w:bottom w:val="none" w:sz="0" w:space="0" w:color="auto"/>
        <w:right w:val="none" w:sz="0" w:space="0" w:color="auto"/>
      </w:divBdr>
    </w:div>
    <w:div w:id="20516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hyperlink" Target="https://www.law.cornell.edu/cfr/text/2/200.322" TargetMode="External"/><Relationship Id="rId18" Type="http://schemas.openxmlformats.org/officeDocument/2006/relationships/hyperlink" Target="https://www.law.cornell.edu/cfr/text/40/part-24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am.gov/SAM/" TargetMode="External"/><Relationship Id="rId7" Type="http://schemas.openxmlformats.org/officeDocument/2006/relationships/endnotes" Target="endnotes.xml"/><Relationship Id="rId12" Type="http://schemas.openxmlformats.org/officeDocument/2006/relationships/hyperlink" Target="https://www.ecfr.gov/cgi-bin/text-idx?SID=abed1a6e97a811e03dda01bf20ff5f57&amp;mc=true&amp;node=se37.1.401_12&amp;rgn=div8" TargetMode="External"/><Relationship Id="rId17" Type="http://schemas.openxmlformats.org/officeDocument/2006/relationships/hyperlink" Target="https://www.law.cornell.edu/topn/solid_waste_disposal_ac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aw.cornell.edu/cfr/text/2/200.322" TargetMode="External"/><Relationship Id="rId20" Type="http://schemas.openxmlformats.org/officeDocument/2006/relationships/hyperlink" Target="https://www.law.cornell.edu/rio/citation/79_FR_7588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mhrc/file/instructio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w.cornell.edu/cfr/text/2/200.32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program.intake@usda.gov" TargetMode="External"/><Relationship Id="rId19" Type="http://schemas.openxmlformats.org/officeDocument/2006/relationships/hyperlink" Target="https://www.law.cornell.edu/rio/citation/78_FR_78608" TargetMode="External"/><Relationship Id="rId4" Type="http://schemas.openxmlformats.org/officeDocument/2006/relationships/settings" Target="settings.xm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4" Type="http://schemas.openxmlformats.org/officeDocument/2006/relationships/hyperlink" Target="https://www.law.cornell.edu/cfr/text/2/200.322"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69B9-31B3-4D06-993B-FBA3633D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5</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Sarah D</dc:creator>
  <cp:keywords/>
  <dc:description/>
  <cp:lastModifiedBy>Nadeau, Paula</cp:lastModifiedBy>
  <cp:revision>18</cp:revision>
  <dcterms:created xsi:type="dcterms:W3CDTF">2019-10-16T12:48:00Z</dcterms:created>
  <dcterms:modified xsi:type="dcterms:W3CDTF">2020-01-21T15:24:00Z</dcterms:modified>
</cp:coreProperties>
</file>