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5F6C" w14:textId="77777777" w:rsidR="00AB0256" w:rsidRDefault="00A445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  <w:r>
        <w:pict w14:anchorId="43FE01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">
            <o:lock v:ext="edit" selection="t"/>
          </v:shape>
        </w:pict>
      </w:r>
      <w:r>
        <w:pict w14:anchorId="029EFE83"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2D7AA626" w14:textId="77777777" w:rsidR="00AB0256" w:rsidRDefault="00A44577">
      <w:pPr>
        <w:ind w:left="4320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MLTI Advisory Board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br/>
      </w:r>
      <w:r>
        <w:rPr>
          <w:rFonts w:ascii="Arial" w:eastAsia="Arial" w:hAnsi="Arial" w:cs="Arial"/>
          <w:sz w:val="24"/>
          <w:szCs w:val="24"/>
        </w:rPr>
        <w:t>Augusta State Armory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   179 Western Ave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  Augusta ME 04330</w:t>
      </w:r>
    </w:p>
    <w:p w14:paraId="5544D9A5" w14:textId="77777777" w:rsidR="00AB0256" w:rsidRDefault="00A4457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10, 2020</w:t>
      </w:r>
      <w:r>
        <w:rPr>
          <w:rFonts w:ascii="Arial" w:eastAsia="Arial" w:hAnsi="Arial" w:cs="Arial"/>
          <w:b/>
          <w:sz w:val="24"/>
          <w:szCs w:val="24"/>
        </w:rPr>
        <w:br/>
        <w:t>Meeting Summary</w:t>
      </w:r>
    </w:p>
    <w:tbl>
      <w:tblPr>
        <w:tblStyle w:val="a"/>
        <w:tblW w:w="10710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AB0256" w14:paraId="38AD406D" w14:textId="77777777">
        <w:trPr>
          <w:jc w:val="center"/>
        </w:trPr>
        <w:tc>
          <w:tcPr>
            <w:tcW w:w="10710" w:type="dxa"/>
            <w:shd w:val="clear" w:color="auto" w:fill="F2F2F2"/>
          </w:tcPr>
          <w:p w14:paraId="4D5E609D" w14:textId="77777777" w:rsidR="00AB0256" w:rsidRDefault="00AB0256">
            <w:pPr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</w:tc>
      </w:tr>
      <w:tr w:rsidR="00AB0256" w14:paraId="473EB108" w14:textId="77777777">
        <w:trPr>
          <w:jc w:val="center"/>
        </w:trPr>
        <w:tc>
          <w:tcPr>
            <w:tcW w:w="10710" w:type="dxa"/>
          </w:tcPr>
          <w:p w14:paraId="698D63D2" w14:textId="77777777" w:rsidR="00AB0256" w:rsidRDefault="00A445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Introductions</w:t>
            </w:r>
          </w:p>
          <w:p w14:paraId="703B6167" w14:textId="77777777" w:rsidR="00AB0256" w:rsidRDefault="00AB0256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</w:p>
          <w:p w14:paraId="31149EC3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 xml:space="preserve">Time was spent on introductions. Each member introduced themselves including their employer, group/organization they represent, their MLTI story, and related why they made a commitment to be part of the MLTI Advisory Board. </w:t>
            </w:r>
          </w:p>
          <w:p w14:paraId="7F1B5981" w14:textId="77777777" w:rsidR="00AB0256" w:rsidRDefault="00AB0256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</w:p>
          <w:p w14:paraId="5745B2AE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>The committee has approximatel</w:t>
            </w:r>
            <w:r>
              <w:rPr>
                <w:rFonts w:ascii="Arial" w:eastAsia="Arial" w:hAnsi="Arial" w:cs="Arial"/>
                <w:i/>
                <w:color w:val="1F3864"/>
              </w:rPr>
              <w:t>y 31 members consisting of stakeholders representing 16 different education associations, including technology directors, technology integrators/coaches, classroom teachers, computer science teachers, superintendent of schools, principals, curriculum direc</w:t>
            </w:r>
            <w:r>
              <w:rPr>
                <w:rFonts w:ascii="Arial" w:eastAsia="Arial" w:hAnsi="Arial" w:cs="Arial"/>
                <w:i/>
                <w:color w:val="1F3864"/>
              </w:rPr>
              <w:t xml:space="preserve">tors, librarians, school board members, directors of special services, State of Maine OIT, and Network Maine Council. </w:t>
            </w:r>
          </w:p>
          <w:p w14:paraId="27E4B120" w14:textId="77777777" w:rsidR="00AB0256" w:rsidRDefault="00AB0256">
            <w:pPr>
              <w:ind w:left="1440"/>
              <w:rPr>
                <w:rFonts w:ascii="Arial" w:eastAsia="Arial" w:hAnsi="Arial" w:cs="Arial"/>
                <w:i/>
                <w:color w:val="1F3864"/>
              </w:rPr>
            </w:pPr>
          </w:p>
          <w:p w14:paraId="0B6BF265" w14:textId="77777777" w:rsidR="00AB0256" w:rsidRDefault="00AB0256">
            <w:pPr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</w:tc>
      </w:tr>
      <w:tr w:rsidR="00AB0256" w14:paraId="00DE707B" w14:textId="77777777">
        <w:trPr>
          <w:jc w:val="center"/>
        </w:trPr>
        <w:tc>
          <w:tcPr>
            <w:tcW w:w="10710" w:type="dxa"/>
          </w:tcPr>
          <w:p w14:paraId="4B1A5D6B" w14:textId="77777777" w:rsidR="00AB0256" w:rsidRDefault="00A445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MLTI Advisory Board Purpose/Goals/Group Process</w:t>
            </w:r>
          </w:p>
          <w:p w14:paraId="4D7E9FB9" w14:textId="77777777" w:rsidR="00AB0256" w:rsidRDefault="00AB0256">
            <w:pPr>
              <w:rPr>
                <w:rFonts w:ascii="Arial" w:eastAsia="Arial" w:hAnsi="Arial" w:cs="Arial"/>
                <w:b/>
                <w:color w:val="1F3864"/>
                <w:sz w:val="24"/>
                <w:szCs w:val="24"/>
              </w:rPr>
            </w:pPr>
          </w:p>
          <w:p w14:paraId="0DC24B7C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>The advisory board is tasked with reviewing and evaluating the current MLTI</w:t>
            </w:r>
          </w:p>
          <w:p w14:paraId="71D68E43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>program elements for relevance, efficiency, and effectiveness. The Board will</w:t>
            </w:r>
          </w:p>
          <w:p w14:paraId="4F1CA5B6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>recommend a plan for improving and equalizing access to, and use</w:t>
            </w:r>
          </w:p>
          <w:p w14:paraId="190E1D3F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>of, learning technology in all school</w:t>
            </w:r>
            <w:r>
              <w:rPr>
                <w:rFonts w:ascii="Arial" w:eastAsia="Arial" w:hAnsi="Arial" w:cs="Arial"/>
                <w:i/>
                <w:color w:val="1F3864"/>
              </w:rPr>
              <w:t xml:space="preserve">s to improve student learning. The Board will also develop a plan to track and assess the progress of implementing the goals of the MLTI program. </w:t>
            </w:r>
          </w:p>
          <w:p w14:paraId="4D84C377" w14:textId="77777777" w:rsidR="00AB0256" w:rsidRDefault="00AB0256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</w:p>
          <w:p w14:paraId="794B944D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>The Board discussed ideas or types of ideas that should not be included in the recommendation. The only excl</w:t>
            </w:r>
            <w:r>
              <w:rPr>
                <w:rFonts w:ascii="Arial" w:eastAsia="Arial" w:hAnsi="Arial" w:cs="Arial"/>
                <w:i/>
                <w:color w:val="1F3864"/>
              </w:rPr>
              <w:t>usion at this point is that the funding for MLTI cannot be funneled through the EPS funding formula. The Advisory Board was apprised of several constraints including a time constraint. The MLTI v2.0 plan needs to be developed by July 2020 for any RFPs to b</w:t>
            </w:r>
            <w:r>
              <w:rPr>
                <w:rFonts w:ascii="Arial" w:eastAsia="Arial" w:hAnsi="Arial" w:cs="Arial"/>
                <w:i/>
                <w:color w:val="1F3864"/>
              </w:rPr>
              <w:t>e released by October 2020. This provides time for schools to prepare for the school year 2021-22, with the potential for a phase-in period. Additionally, the funding is $14 million annually.</w:t>
            </w:r>
          </w:p>
          <w:p w14:paraId="638559A3" w14:textId="77777777" w:rsidR="00AB0256" w:rsidRDefault="00AB0256">
            <w:pPr>
              <w:ind w:left="1440"/>
              <w:rPr>
                <w:rFonts w:ascii="Arial" w:eastAsia="Arial" w:hAnsi="Arial" w:cs="Arial"/>
                <w:i/>
                <w:color w:val="1F3864"/>
              </w:rPr>
            </w:pPr>
          </w:p>
          <w:p w14:paraId="0DCCB23C" w14:textId="77777777" w:rsidR="00AB0256" w:rsidRDefault="00AB0256">
            <w:pPr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</w:tc>
      </w:tr>
      <w:tr w:rsidR="00AB0256" w14:paraId="2AE97D05" w14:textId="77777777">
        <w:trPr>
          <w:jc w:val="center"/>
        </w:trPr>
        <w:tc>
          <w:tcPr>
            <w:tcW w:w="10710" w:type="dxa"/>
          </w:tcPr>
          <w:p w14:paraId="708DD980" w14:textId="77777777" w:rsidR="00AB0256" w:rsidRDefault="00A445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Advisory Board Decision-Making Process</w:t>
            </w:r>
          </w:p>
          <w:p w14:paraId="0CDDF3E6" w14:textId="77777777" w:rsidR="00AB0256" w:rsidRDefault="00AB02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9E268E4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>The Board’s decisions will be made by consensus.</w:t>
            </w:r>
          </w:p>
          <w:p w14:paraId="3DDEBE5B" w14:textId="77777777" w:rsidR="00AB0256" w:rsidRDefault="00AB02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39867F" w14:textId="77777777" w:rsidR="00AB0256" w:rsidRDefault="00AB0256">
            <w:pPr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</w:tc>
      </w:tr>
      <w:tr w:rsidR="00AB0256" w14:paraId="02FD5096" w14:textId="77777777">
        <w:trPr>
          <w:jc w:val="center"/>
        </w:trPr>
        <w:tc>
          <w:tcPr>
            <w:tcW w:w="10710" w:type="dxa"/>
          </w:tcPr>
          <w:p w14:paraId="5A6DFC36" w14:textId="77777777" w:rsidR="00AB0256" w:rsidRDefault="00A445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History of MLTI and Program Elements </w:t>
            </w:r>
          </w:p>
          <w:p w14:paraId="487183D3" w14:textId="77777777" w:rsidR="00AB0256" w:rsidRDefault="00AB0256">
            <w:pPr>
              <w:ind w:left="1440"/>
              <w:rPr>
                <w:rFonts w:ascii="Arial" w:eastAsia="Arial" w:hAnsi="Arial" w:cs="Arial"/>
                <w:i/>
              </w:rPr>
            </w:pPr>
          </w:p>
          <w:p w14:paraId="45DB182F" w14:textId="77777777" w:rsidR="00AB0256" w:rsidRDefault="00A44577">
            <w:pPr>
              <w:ind w:left="1440"/>
              <w:rPr>
                <w:rFonts w:ascii="Arial" w:eastAsia="Arial" w:hAnsi="Arial" w:cs="Arial"/>
                <w:i/>
                <w:color w:val="1F3864"/>
              </w:rPr>
            </w:pPr>
            <w:hyperlink r:id="rId10">
              <w:r>
                <w:rPr>
                  <w:rFonts w:ascii="Arial" w:eastAsia="Arial" w:hAnsi="Arial" w:cs="Arial"/>
                  <w:i/>
                  <w:color w:val="0563C1"/>
                  <w:u w:val="single"/>
                </w:rPr>
                <w:t>MLTI History Infographic</w:t>
              </w:r>
            </w:hyperlink>
          </w:p>
          <w:p w14:paraId="013B9773" w14:textId="77777777" w:rsidR="00AB0256" w:rsidRDefault="00AB0256">
            <w:pPr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  <w:p w14:paraId="662DB81E" w14:textId="77777777" w:rsidR="00AB0256" w:rsidRDefault="00AB0256">
            <w:pPr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</w:tc>
      </w:tr>
      <w:tr w:rsidR="00AB0256" w14:paraId="2B6C8748" w14:textId="77777777">
        <w:trPr>
          <w:jc w:val="center"/>
        </w:trPr>
        <w:tc>
          <w:tcPr>
            <w:tcW w:w="10710" w:type="dxa"/>
          </w:tcPr>
          <w:p w14:paraId="4B0948D5" w14:textId="77777777" w:rsidR="00AB0256" w:rsidRDefault="00A4457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MLTI Original Guiding Principles </w:t>
            </w:r>
          </w:p>
          <w:p w14:paraId="3E3BF204" w14:textId="77777777" w:rsidR="00AB0256" w:rsidRDefault="00AB0256">
            <w:pPr>
              <w:ind w:left="1440"/>
              <w:rPr>
                <w:rFonts w:ascii="Arial" w:eastAsia="Arial" w:hAnsi="Arial" w:cs="Arial"/>
                <w:i/>
                <w:color w:val="1F3864"/>
              </w:rPr>
            </w:pPr>
          </w:p>
          <w:p w14:paraId="1CC05DBF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 xml:space="preserve">Board members were provided a copy of the original </w:t>
            </w:r>
            <w:hyperlink r:id="rId11">
              <w:r>
                <w:rPr>
                  <w:rFonts w:ascii="Arial" w:eastAsia="Arial" w:hAnsi="Arial" w:cs="Arial"/>
                  <w:i/>
                  <w:color w:val="0563C1"/>
                  <w:u w:val="single"/>
                </w:rPr>
                <w:t>2001 MLTI Task Force Final Report</w:t>
              </w:r>
            </w:hyperlink>
            <w:r>
              <w:rPr>
                <w:rFonts w:ascii="Arial" w:eastAsia="Arial" w:hAnsi="Arial" w:cs="Arial"/>
                <w:i/>
                <w:color w:val="1F3864"/>
              </w:rPr>
              <w:t xml:space="preserve">  along with an extract of the five original MLTI Guiding Principles including justifications and reasoning. The group worked to explore the original Guiding Principles in 2020 co</w:t>
            </w:r>
            <w:r>
              <w:rPr>
                <w:rFonts w:ascii="Arial" w:eastAsia="Arial" w:hAnsi="Arial" w:cs="Arial"/>
                <w:i/>
                <w:color w:val="1F3864"/>
              </w:rPr>
              <w:t xml:space="preserve">ntext, looked for ideas/concerns, collected ideas and had a broad range discussion. </w:t>
            </w:r>
          </w:p>
          <w:p w14:paraId="1AD91725" w14:textId="77777777" w:rsidR="00AB0256" w:rsidRDefault="00AB0256">
            <w:pPr>
              <w:ind w:left="1440"/>
              <w:rPr>
                <w:rFonts w:ascii="Arial" w:eastAsia="Arial" w:hAnsi="Arial" w:cs="Arial"/>
                <w:i/>
                <w:color w:val="1F3864"/>
              </w:rPr>
            </w:pPr>
          </w:p>
          <w:p w14:paraId="1559A71C" w14:textId="77777777" w:rsidR="00AB0256" w:rsidRDefault="00AB0256">
            <w:pPr>
              <w:jc w:val="center"/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</w:tc>
      </w:tr>
      <w:tr w:rsidR="00AB0256" w14:paraId="74103539" w14:textId="77777777">
        <w:trPr>
          <w:jc w:val="center"/>
        </w:trPr>
        <w:tc>
          <w:tcPr>
            <w:tcW w:w="10710" w:type="dxa"/>
          </w:tcPr>
          <w:p w14:paraId="7D8EB224" w14:textId="77777777" w:rsidR="00AB0256" w:rsidRDefault="00A44577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MLTI Advisory Board Timeline</w:t>
            </w:r>
          </w:p>
          <w:p w14:paraId="6654F8E0" w14:textId="77777777" w:rsidR="00AB0256" w:rsidRDefault="00AB0256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</w:p>
          <w:p w14:paraId="64DC957F" w14:textId="77777777" w:rsidR="00AB0256" w:rsidRDefault="00A44577">
            <w:pPr>
              <w:ind w:left="720"/>
              <w:rPr>
                <w:rFonts w:ascii="Arial" w:eastAsia="Arial" w:hAnsi="Arial" w:cs="Arial"/>
                <w:i/>
                <w:color w:val="1F3864"/>
              </w:rPr>
            </w:pPr>
            <w:r>
              <w:rPr>
                <w:rFonts w:ascii="Arial" w:eastAsia="Arial" w:hAnsi="Arial" w:cs="Arial"/>
                <w:i/>
                <w:color w:val="1F3864"/>
              </w:rPr>
              <w:t xml:space="preserve">A draft recommendation must be submitted </w:t>
            </w:r>
            <w:proofErr w:type="spellStart"/>
            <w:r>
              <w:rPr>
                <w:rFonts w:ascii="Arial" w:eastAsia="Arial" w:hAnsi="Arial" w:cs="Arial"/>
                <w:i/>
                <w:color w:val="1F3864"/>
              </w:rPr>
              <w:t>tot</w:t>
            </w:r>
            <w:proofErr w:type="spellEnd"/>
            <w:r>
              <w:rPr>
                <w:rFonts w:ascii="Arial" w:eastAsia="Arial" w:hAnsi="Arial" w:cs="Arial"/>
                <w:i/>
                <w:color w:val="1F3864"/>
              </w:rPr>
              <w:t xml:space="preserve"> the Commissioner by July 2020. The group will need to release any RFPs by October 2020 so the plan can be put into place by school year 2021-22.</w:t>
            </w:r>
          </w:p>
          <w:p w14:paraId="7D600718" w14:textId="77777777" w:rsidR="00AB0256" w:rsidRDefault="00AB0256">
            <w:pPr>
              <w:ind w:left="1440"/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  <w:p w14:paraId="67FD1B61" w14:textId="77777777" w:rsidR="00AB0256" w:rsidRDefault="00AB0256">
            <w:pPr>
              <w:rPr>
                <w:rFonts w:ascii="Arial" w:eastAsia="Arial" w:hAnsi="Arial" w:cs="Arial"/>
                <w:color w:val="1F3864"/>
                <w:sz w:val="24"/>
                <w:szCs w:val="24"/>
              </w:rPr>
            </w:pPr>
          </w:p>
        </w:tc>
      </w:tr>
    </w:tbl>
    <w:p w14:paraId="2CD6B582" w14:textId="77777777" w:rsidR="00AB0256" w:rsidRDefault="00AB0256"/>
    <w:sectPr w:rsidR="00AB0256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D2F2" w14:textId="77777777" w:rsidR="00000000" w:rsidRDefault="00A44577">
      <w:pPr>
        <w:spacing w:after="0" w:line="240" w:lineRule="auto"/>
      </w:pPr>
      <w:r>
        <w:separator/>
      </w:r>
    </w:p>
  </w:endnote>
  <w:endnote w:type="continuationSeparator" w:id="0">
    <w:p w14:paraId="3FFFB194" w14:textId="77777777" w:rsidR="00000000" w:rsidRDefault="00A4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E666" w14:textId="77777777" w:rsidR="00AB0256" w:rsidRDefault="00AB02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AB0256" w14:paraId="63516D37" w14:textId="77777777">
      <w:tc>
        <w:tcPr>
          <w:tcW w:w="3120" w:type="dxa"/>
        </w:tcPr>
        <w:p w14:paraId="5DE8CA71" w14:textId="77777777" w:rsidR="00AB0256" w:rsidRDefault="00AB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46AB46C3" w14:textId="77777777" w:rsidR="00AB0256" w:rsidRDefault="00AB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33C68E64" w14:textId="77777777" w:rsidR="00AB0256" w:rsidRDefault="00AB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45D7BD7B" w14:textId="77777777" w:rsidR="00AB0256" w:rsidRDefault="00AB0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9287" w14:textId="77777777" w:rsidR="00000000" w:rsidRDefault="00A44577">
      <w:pPr>
        <w:spacing w:after="0" w:line="240" w:lineRule="auto"/>
      </w:pPr>
      <w:r>
        <w:separator/>
      </w:r>
    </w:p>
  </w:footnote>
  <w:footnote w:type="continuationSeparator" w:id="0">
    <w:p w14:paraId="4FE3C9B0" w14:textId="77777777" w:rsidR="00000000" w:rsidRDefault="00A4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7C53" w14:textId="77777777" w:rsidR="00AB0256" w:rsidRDefault="00AB0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9972" w14:textId="77777777" w:rsidR="00AB0256" w:rsidRDefault="00AB025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AB0256" w14:paraId="0966E933" w14:textId="77777777">
      <w:tc>
        <w:tcPr>
          <w:tcW w:w="3120" w:type="dxa"/>
        </w:tcPr>
        <w:p w14:paraId="6C0F9E53" w14:textId="77777777" w:rsidR="00AB0256" w:rsidRDefault="00AB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2E39D65B" w14:textId="77777777" w:rsidR="00AB0256" w:rsidRDefault="00AB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7BE132CD" w14:textId="77777777" w:rsidR="00AB0256" w:rsidRDefault="00AB02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4C0CED6B" w14:textId="77777777" w:rsidR="00AB0256" w:rsidRDefault="00A445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DAD6E5" wp14:editId="1B72F001">
          <wp:simplePos x="0" y="0"/>
          <wp:positionH relativeFrom="column">
            <wp:posOffset>5953125</wp:posOffset>
          </wp:positionH>
          <wp:positionV relativeFrom="paragraph">
            <wp:posOffset>-574674</wp:posOffset>
          </wp:positionV>
          <wp:extent cx="904875" cy="523875"/>
          <wp:effectExtent l="0" t="0" r="0" b="0"/>
          <wp:wrapSquare wrapText="bothSides" distT="0" distB="0" distL="114300" distR="114300"/>
          <wp:docPr id="165171060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36E0904" wp14:editId="4F5CB033">
          <wp:simplePos x="0" y="0"/>
          <wp:positionH relativeFrom="column">
            <wp:posOffset>1</wp:posOffset>
          </wp:positionH>
          <wp:positionV relativeFrom="paragraph">
            <wp:posOffset>-511174</wp:posOffset>
          </wp:positionV>
          <wp:extent cx="1266825" cy="463329"/>
          <wp:effectExtent l="0" t="0" r="0" b="0"/>
          <wp:wrapSquare wrapText="bothSides" distT="0" distB="0" distL="114300" distR="114300"/>
          <wp:docPr id="165171060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63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5347" w14:textId="77777777" w:rsidR="00AB0256" w:rsidRDefault="00AB02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6"/>
    <w:rsid w:val="00A44577"/>
    <w:rsid w:val="00A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F0F293"/>
  <w15:docId w15:val="{DE6AD81E-6FCA-4B6C-8A81-F72EBB2C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F7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34001D"/>
  </w:style>
  <w:style w:type="paragraph" w:styleId="NormalWeb">
    <w:name w:val="Normal (Web)"/>
    <w:basedOn w:val="Normal"/>
    <w:uiPriority w:val="99"/>
    <w:semiHidden/>
    <w:unhideWhenUsed/>
    <w:rsid w:val="00B2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08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3b88ZHFqg8ToXrYZchA4PbtrOT_RVCPW/view?usp=sharin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open?id=1xOmkAtGXPZD4LuOIH4y1w13woY4yYtu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b85aq81Km33yvD+dqz+NG5p0g==">AMUW2mXSL2MGD4YaJ2+YzNNuJ9FT6+K3VYTgI27Hn8q1/CqtchhggPInbuVFZmqpccLu4emsOA7Iwiu36gMfxnGthDaBS6k8NFXIjx6lBvUfnCnJQuPKASrNOtSmur85utEEARZ2toJg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AB533E805B64D851071204563D394" ma:contentTypeVersion="13" ma:contentTypeDescription="Create a new document." ma:contentTypeScope="" ma:versionID="5ae9eb6c2d0812faa0498aa1ef269f69">
  <xsd:schema xmlns:xsd="http://www.w3.org/2001/XMLSchema" xmlns:xs="http://www.w3.org/2001/XMLSchema" xmlns:p="http://schemas.microsoft.com/office/2006/metadata/properties" xmlns:ns3="3e50a189-af3a-4238-a356-26f9a0a06970" xmlns:ns4="e460443f-5ab9-4173-b02f-085fc9113c3d" targetNamespace="http://schemas.microsoft.com/office/2006/metadata/properties" ma:root="true" ma:fieldsID="f5b3aa0d9271edda4dd3f873176b7800" ns3:_="" ns4:_="">
    <xsd:import namespace="3e50a189-af3a-4238-a356-26f9a0a06970"/>
    <xsd:import namespace="e460443f-5ab9-4173-b02f-085fc9113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a189-af3a-4238-a356-26f9a0a06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443f-5ab9-4173-b02f-085fc9113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037E04D-6800-48FE-AE1A-BF90D0278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0a189-af3a-4238-a356-26f9a0a06970"/>
    <ds:schemaRef ds:uri="e460443f-5ab9-4173-b02f-085fc9113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9BE6B-0DAF-4BEF-A924-DE07BE9D7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70DEB-7370-44F2-AAB9-34180AAD68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50a189-af3a-4238-a356-26f9a0a06970"/>
    <ds:schemaRef ds:uri="http://schemas.microsoft.com/office/2006/documentManagement/types"/>
    <ds:schemaRef ds:uri="http://schemas.microsoft.com/office/infopath/2007/PartnerControls"/>
    <ds:schemaRef ds:uri="e460443f-5ab9-4173-b02f-085fc9113c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Deborah J</dc:creator>
  <cp:lastModifiedBy>Cota, Brandi M</cp:lastModifiedBy>
  <cp:revision>2</cp:revision>
  <dcterms:created xsi:type="dcterms:W3CDTF">2020-09-29T15:19:00Z</dcterms:created>
  <dcterms:modified xsi:type="dcterms:W3CDTF">2020-09-29T15:19:00Z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0x01010057FAB533E805B64D851071204563D394</vt:lpwstr>
  </property>
</Properties>
</file>