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7C1" w:rsidRDefault="005C57C1">
      <w:pPr>
        <w:rPr>
          <w:rFonts w:ascii="Georgia" w:eastAsia="Times New Roman" w:hAnsi="Georgia" w:cs="Times New Roman"/>
          <w:b/>
          <w:bCs/>
          <w:color w:val="000000"/>
          <w:sz w:val="28"/>
          <w:szCs w:val="28"/>
        </w:rPr>
      </w:pPr>
    </w:p>
    <w:p w:rsidR="003F67D4" w:rsidRDefault="003F67D4" w:rsidP="003F67D4">
      <w:pPr>
        <w:spacing w:after="0" w:line="240" w:lineRule="auto"/>
        <w:jc w:val="center"/>
        <w:outlineLvl w:val="1"/>
        <w:rPr>
          <w:rFonts w:ascii="Georgia" w:eastAsia="Times New Roman" w:hAnsi="Georgia" w:cs="Times New Roman"/>
          <w:b/>
          <w:bCs/>
          <w:color w:val="000000"/>
          <w:sz w:val="28"/>
          <w:szCs w:val="28"/>
        </w:rPr>
      </w:pPr>
      <w:r>
        <w:rPr>
          <w:noProof/>
          <w:color w:val="003366"/>
        </w:rPr>
        <w:drawing>
          <wp:inline distT="0" distB="0" distL="0" distR="0" wp14:anchorId="569FC89C" wp14:editId="4ADFDBEB">
            <wp:extent cx="2984500" cy="1168400"/>
            <wp:effectExtent l="19050" t="0" r="6350" b="0"/>
            <wp:docPr id="4" name="Picture 4" descr="MCDC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Clogo-color"/>
                    <pic:cNvPicPr>
                      <a:picLocks noChangeAspect="1" noChangeArrowheads="1"/>
                    </pic:cNvPicPr>
                  </pic:nvPicPr>
                  <pic:blipFill>
                    <a:blip r:embed="rId7" cstate="print"/>
                    <a:srcRect/>
                    <a:stretch>
                      <a:fillRect/>
                    </a:stretch>
                  </pic:blipFill>
                  <pic:spPr bwMode="auto">
                    <a:xfrm>
                      <a:off x="0" y="0"/>
                      <a:ext cx="2984500" cy="1168400"/>
                    </a:xfrm>
                    <a:prstGeom prst="rect">
                      <a:avLst/>
                    </a:prstGeom>
                    <a:noFill/>
                    <a:ln w="9525">
                      <a:noFill/>
                      <a:miter lim="800000"/>
                      <a:headEnd/>
                      <a:tailEnd/>
                    </a:ln>
                  </pic:spPr>
                </pic:pic>
              </a:graphicData>
            </a:graphic>
          </wp:inline>
        </w:drawing>
      </w:r>
    </w:p>
    <w:p w:rsidR="003F67D4" w:rsidRDefault="003F67D4" w:rsidP="005D4878">
      <w:pPr>
        <w:spacing w:after="0" w:line="240" w:lineRule="auto"/>
        <w:outlineLvl w:val="1"/>
        <w:rPr>
          <w:rFonts w:ascii="Georgia" w:eastAsia="Times New Roman" w:hAnsi="Georgia" w:cs="Times New Roman"/>
          <w:b/>
          <w:bCs/>
          <w:color w:val="000000"/>
          <w:sz w:val="28"/>
          <w:szCs w:val="28"/>
        </w:rPr>
      </w:pPr>
    </w:p>
    <w:p w:rsidR="00C25427" w:rsidRDefault="00C25427" w:rsidP="00C25427">
      <w:pPr>
        <w:spacing w:after="0" w:line="240" w:lineRule="auto"/>
        <w:jc w:val="center"/>
        <w:rPr>
          <w:rStyle w:val="Strong"/>
          <w:rFonts w:cstheme="minorHAnsi"/>
          <w:color w:val="000000"/>
          <w:sz w:val="28"/>
          <w:szCs w:val="17"/>
        </w:rPr>
      </w:pPr>
      <w:r w:rsidRPr="009B0B7D">
        <w:rPr>
          <w:rStyle w:val="Strong"/>
          <w:rFonts w:cstheme="minorHAnsi"/>
          <w:color w:val="000000"/>
          <w:sz w:val="28"/>
          <w:szCs w:val="17"/>
        </w:rPr>
        <w:t xml:space="preserve">Summary of </w:t>
      </w:r>
      <w:proofErr w:type="spellStart"/>
      <w:r w:rsidRPr="009B0B7D">
        <w:rPr>
          <w:rStyle w:val="Strong"/>
          <w:rFonts w:cstheme="minorHAnsi"/>
          <w:color w:val="000000"/>
          <w:sz w:val="28"/>
          <w:szCs w:val="17"/>
        </w:rPr>
        <w:t>DTaP</w:t>
      </w:r>
      <w:proofErr w:type="spellEnd"/>
      <w:r w:rsidRPr="009B0B7D">
        <w:rPr>
          <w:rStyle w:val="Strong"/>
          <w:rFonts w:cstheme="minorHAnsi"/>
          <w:color w:val="000000"/>
          <w:sz w:val="28"/>
          <w:szCs w:val="17"/>
        </w:rPr>
        <w:t xml:space="preserve"> and </w:t>
      </w:r>
      <w:proofErr w:type="spellStart"/>
      <w:r w:rsidRPr="009B0B7D">
        <w:rPr>
          <w:rStyle w:val="Strong"/>
          <w:rFonts w:cstheme="minorHAnsi"/>
          <w:color w:val="000000"/>
          <w:sz w:val="28"/>
          <w:szCs w:val="17"/>
        </w:rPr>
        <w:t>Tdap</w:t>
      </w:r>
      <w:proofErr w:type="spellEnd"/>
      <w:r w:rsidRPr="009B0B7D">
        <w:rPr>
          <w:rStyle w:val="Strong"/>
          <w:rFonts w:cstheme="minorHAnsi"/>
          <w:color w:val="000000"/>
          <w:sz w:val="28"/>
          <w:szCs w:val="17"/>
        </w:rPr>
        <w:t xml:space="preserve"> Vaccine Recommendations across the Lifespan</w:t>
      </w:r>
    </w:p>
    <w:p w:rsidR="00C25427" w:rsidRDefault="000005C7" w:rsidP="00C25427">
      <w:pPr>
        <w:spacing w:after="0" w:line="240" w:lineRule="auto"/>
        <w:jc w:val="center"/>
        <w:rPr>
          <w:rFonts w:cstheme="minorHAnsi"/>
          <w:szCs w:val="28"/>
        </w:rPr>
      </w:pPr>
      <w:hyperlink r:id="rId8" w:history="1">
        <w:r w:rsidR="00C25427" w:rsidRPr="00E80D97">
          <w:rPr>
            <w:rStyle w:val="Hyperlink"/>
            <w:rFonts w:cstheme="minorHAnsi"/>
          </w:rPr>
          <w:t>http://www.cdc.gov/vaccines/vpd-vac/pertussis/recs-summary.htm</w:t>
        </w:r>
      </w:hyperlink>
      <w:r w:rsidR="00C25427" w:rsidRPr="00E80D97">
        <w:rPr>
          <w:rFonts w:cstheme="minorHAnsi"/>
          <w:szCs w:val="28"/>
        </w:rPr>
        <w:t xml:space="preserve"> </w:t>
      </w:r>
    </w:p>
    <w:p w:rsidR="00C25427" w:rsidRPr="00E80D97" w:rsidRDefault="00C25427" w:rsidP="00C25427">
      <w:pPr>
        <w:spacing w:after="0" w:line="240" w:lineRule="auto"/>
        <w:jc w:val="center"/>
        <w:rPr>
          <w:rFonts w:cstheme="minorHAnsi"/>
          <w:szCs w:val="28"/>
        </w:rPr>
      </w:pPr>
    </w:p>
    <w:tbl>
      <w:tblPr>
        <w:tblW w:w="10080"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Description w:val="summary or vaccine reommendations"/>
      </w:tblPr>
      <w:tblGrid>
        <w:gridCol w:w="1416"/>
        <w:gridCol w:w="8664"/>
      </w:tblGrid>
      <w:tr w:rsidR="00C25427" w:rsidTr="00C25427">
        <w:trPr>
          <w:tblCellSpacing w:w="0" w:type="dxa"/>
        </w:trPr>
        <w:tc>
          <w:tcPr>
            <w:tcW w:w="1650" w:type="dxa"/>
            <w:tcBorders>
              <w:top w:val="outset" w:sz="6" w:space="0" w:color="CCCCCC"/>
              <w:left w:val="outset" w:sz="6" w:space="0" w:color="CCCCCC"/>
              <w:bottom w:val="outset" w:sz="6" w:space="0" w:color="CCCCCC"/>
              <w:right w:val="outset" w:sz="6" w:space="0" w:color="CCCCCC"/>
            </w:tcBorders>
            <w:shd w:val="clear" w:color="auto" w:fill="ECFFEC"/>
            <w:vAlign w:val="center"/>
            <w:hideMark/>
          </w:tcPr>
          <w:p w:rsidR="00C25427" w:rsidRDefault="00C25427" w:rsidP="00C25427">
            <w:pPr>
              <w:spacing w:after="0" w:line="240" w:lineRule="auto"/>
              <w:rPr>
                <w:rFonts w:ascii="Verdana" w:hAnsi="Verdana" w:cs="Arial"/>
                <w:b/>
                <w:bCs/>
                <w:color w:val="000000"/>
                <w:sz w:val="14"/>
                <w:szCs w:val="14"/>
              </w:rPr>
            </w:pPr>
            <w:r>
              <w:rPr>
                <w:rFonts w:ascii="Verdana" w:hAnsi="Verdana" w:cs="Arial"/>
                <w:b/>
                <w:bCs/>
                <w:color w:val="000000"/>
                <w:sz w:val="14"/>
                <w:szCs w:val="14"/>
              </w:rPr>
              <w:t xml:space="preserve">Age/Status </w:t>
            </w:r>
          </w:p>
        </w:tc>
        <w:tc>
          <w:tcPr>
            <w:tcW w:w="4800" w:type="dxa"/>
            <w:tcBorders>
              <w:top w:val="outset" w:sz="6" w:space="0" w:color="CCCCCC"/>
              <w:left w:val="outset" w:sz="6" w:space="0" w:color="CCCCCC"/>
              <w:bottom w:val="outset" w:sz="6" w:space="0" w:color="CCCCCC"/>
              <w:right w:val="outset" w:sz="6" w:space="0" w:color="CCCCCC"/>
            </w:tcBorders>
            <w:shd w:val="clear" w:color="auto" w:fill="ECFFEC"/>
            <w:vAlign w:val="center"/>
            <w:hideMark/>
          </w:tcPr>
          <w:p w:rsidR="00C25427" w:rsidRDefault="00C25427" w:rsidP="00C25427">
            <w:pPr>
              <w:spacing w:after="0" w:line="240" w:lineRule="auto"/>
              <w:rPr>
                <w:rFonts w:ascii="Verdana" w:hAnsi="Verdana" w:cs="Arial"/>
                <w:b/>
                <w:bCs/>
                <w:color w:val="000000"/>
                <w:sz w:val="14"/>
                <w:szCs w:val="14"/>
              </w:rPr>
            </w:pPr>
            <w:r>
              <w:rPr>
                <w:rFonts w:ascii="Verdana" w:hAnsi="Verdana" w:cs="Arial"/>
                <w:b/>
                <w:bCs/>
                <w:color w:val="000000"/>
                <w:sz w:val="14"/>
                <w:szCs w:val="14"/>
              </w:rPr>
              <w:t xml:space="preserve">Recommendations </w:t>
            </w:r>
          </w:p>
        </w:tc>
      </w:tr>
      <w:tr w:rsidR="00C25427" w:rsidTr="00C2542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25427" w:rsidRDefault="00C25427" w:rsidP="00C25427">
            <w:pPr>
              <w:spacing w:after="0" w:line="240" w:lineRule="auto"/>
              <w:rPr>
                <w:rFonts w:ascii="Verdana" w:hAnsi="Verdana" w:cs="Arial"/>
                <w:color w:val="000000"/>
                <w:sz w:val="14"/>
                <w:szCs w:val="14"/>
              </w:rPr>
            </w:pPr>
            <w:r>
              <w:rPr>
                <w:rFonts w:ascii="Verdana" w:hAnsi="Verdana" w:cs="Arial"/>
                <w:color w:val="000000"/>
                <w:sz w:val="14"/>
                <w:szCs w:val="14"/>
              </w:rPr>
              <w:t>Birth through 6 years</w:t>
            </w:r>
          </w:p>
        </w:tc>
        <w:tc>
          <w:tcPr>
            <w:tcW w:w="0" w:type="auto"/>
            <w:tcBorders>
              <w:top w:val="single" w:sz="6" w:space="0" w:color="000000"/>
              <w:left w:val="single" w:sz="6" w:space="0" w:color="000000"/>
              <w:bottom w:val="single" w:sz="6" w:space="0" w:color="000000"/>
              <w:right w:val="single" w:sz="6" w:space="0" w:color="000000"/>
            </w:tcBorders>
            <w:hideMark/>
          </w:tcPr>
          <w:p w:rsidR="00C25427" w:rsidRDefault="00C25427" w:rsidP="00C25427">
            <w:pPr>
              <w:spacing w:after="0" w:line="240" w:lineRule="auto"/>
              <w:rPr>
                <w:rFonts w:ascii="Verdana" w:hAnsi="Verdana" w:cs="Arial"/>
                <w:color w:val="000000"/>
                <w:sz w:val="14"/>
                <w:szCs w:val="14"/>
              </w:rPr>
            </w:pPr>
            <w:proofErr w:type="spellStart"/>
            <w:r>
              <w:rPr>
                <w:rFonts w:ascii="Verdana" w:hAnsi="Verdana" w:cs="Arial"/>
                <w:color w:val="000000"/>
                <w:sz w:val="14"/>
                <w:szCs w:val="14"/>
              </w:rPr>
              <w:t>DTaP</w:t>
            </w:r>
            <w:proofErr w:type="spellEnd"/>
            <w:r>
              <w:rPr>
                <w:rFonts w:ascii="Verdana" w:hAnsi="Verdana" w:cs="Arial"/>
                <w:color w:val="000000"/>
                <w:sz w:val="14"/>
                <w:szCs w:val="14"/>
              </w:rPr>
              <w:t xml:space="preserve"> is routinely recommended at 2, 4, and 6 months, at 15 through 18 months, and at 4 through 6 years.</w:t>
            </w:r>
          </w:p>
        </w:tc>
      </w:tr>
      <w:tr w:rsidR="00C25427" w:rsidTr="00C2542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25427" w:rsidRDefault="00C25427" w:rsidP="00C25427">
            <w:pPr>
              <w:spacing w:after="0" w:line="240" w:lineRule="auto"/>
              <w:rPr>
                <w:rFonts w:ascii="Verdana" w:hAnsi="Verdana" w:cs="Arial"/>
                <w:color w:val="000000"/>
                <w:sz w:val="14"/>
                <w:szCs w:val="14"/>
              </w:rPr>
            </w:pPr>
            <w:r>
              <w:rPr>
                <w:rFonts w:ascii="Verdana" w:hAnsi="Verdana" w:cs="Arial"/>
                <w:color w:val="000000"/>
                <w:sz w:val="14"/>
                <w:szCs w:val="14"/>
              </w:rPr>
              <w:t>7 through 10 years</w:t>
            </w:r>
          </w:p>
          <w:p w:rsidR="00C25427" w:rsidRDefault="00C25427" w:rsidP="00C25427">
            <w:pPr>
              <w:spacing w:after="0" w:line="240" w:lineRule="auto"/>
              <w:rPr>
                <w:rFonts w:ascii="Verdana" w:hAnsi="Verdana" w:cs="Arial"/>
                <w:color w:val="000000"/>
                <w:sz w:val="14"/>
                <w:szCs w:val="14"/>
              </w:rPr>
            </w:pPr>
          </w:p>
          <w:p w:rsidR="00C25427" w:rsidRDefault="00C25427" w:rsidP="00C25427">
            <w:pPr>
              <w:spacing w:after="0" w:line="240" w:lineRule="auto"/>
              <w:rPr>
                <w:rFonts w:ascii="Verdana" w:hAnsi="Verdana" w:cs="Arial"/>
                <w:color w:val="000000"/>
                <w:sz w:val="14"/>
                <w:szCs w:val="14"/>
              </w:rPr>
            </w:pPr>
          </w:p>
          <w:p w:rsidR="00C25427" w:rsidRDefault="00C25427" w:rsidP="00C25427">
            <w:pPr>
              <w:spacing w:after="0" w:line="240" w:lineRule="auto"/>
              <w:rPr>
                <w:rFonts w:ascii="Verdana" w:hAnsi="Verdana" w:cs="Arial"/>
                <w:color w:val="000000"/>
                <w:sz w:val="14"/>
                <w:szCs w:val="14"/>
              </w:rPr>
            </w:pPr>
            <w:r>
              <w:rPr>
                <w:rStyle w:val="moreinfo1"/>
                <w:rFonts w:ascii="Verdana" w:hAnsi="Verdana" w:cs="Arial"/>
                <w:sz w:val="12"/>
                <w:szCs w:val="12"/>
              </w:rPr>
              <w:t>UPDATED JAN 2011</w:t>
            </w:r>
          </w:p>
        </w:tc>
        <w:tc>
          <w:tcPr>
            <w:tcW w:w="0" w:type="auto"/>
            <w:tcBorders>
              <w:top w:val="single" w:sz="6" w:space="0" w:color="000000"/>
              <w:left w:val="single" w:sz="6" w:space="0" w:color="000000"/>
              <w:bottom w:val="single" w:sz="6" w:space="0" w:color="000000"/>
              <w:right w:val="single" w:sz="6" w:space="0" w:color="000000"/>
            </w:tcBorders>
            <w:hideMark/>
          </w:tcPr>
          <w:p w:rsidR="00C25427" w:rsidRDefault="00C25427" w:rsidP="00C25427">
            <w:pPr>
              <w:spacing w:after="0" w:line="240" w:lineRule="auto"/>
              <w:rPr>
                <w:rFonts w:ascii="Verdana" w:hAnsi="Verdana" w:cs="Arial"/>
                <w:color w:val="000000"/>
                <w:sz w:val="14"/>
                <w:szCs w:val="14"/>
              </w:rPr>
            </w:pPr>
            <w:proofErr w:type="spellStart"/>
            <w:r>
              <w:rPr>
                <w:rFonts w:ascii="Verdana" w:hAnsi="Verdana" w:cs="Arial"/>
                <w:color w:val="000000"/>
                <w:sz w:val="14"/>
                <w:szCs w:val="14"/>
              </w:rPr>
              <w:t>Tdap</w:t>
            </w:r>
            <w:proofErr w:type="spellEnd"/>
            <w:r>
              <w:rPr>
                <w:rFonts w:ascii="Verdana" w:hAnsi="Verdana" w:cs="Arial"/>
                <w:color w:val="000000"/>
                <w:sz w:val="14"/>
                <w:szCs w:val="14"/>
              </w:rPr>
              <w:t xml:space="preserve"> is recommended for children ages 7 through 10 years who are not fully vaccinated (</w:t>
            </w:r>
            <w:hyperlink r:id="rId9" w:anchor="note1" w:history="1">
              <w:r>
                <w:rPr>
                  <w:rStyle w:val="Hyperlink"/>
                  <w:rFonts w:ascii="Verdana" w:hAnsi="Verdana" w:cs="Arial"/>
                  <w:sz w:val="14"/>
                  <w:szCs w:val="14"/>
                </w:rPr>
                <w:t>see note 1</w:t>
              </w:r>
            </w:hyperlink>
            <w:r>
              <w:rPr>
                <w:rFonts w:ascii="Verdana" w:hAnsi="Verdana" w:cs="Arial"/>
                <w:color w:val="000000"/>
                <w:sz w:val="14"/>
                <w:szCs w:val="14"/>
              </w:rPr>
              <w:t>) against pertussis:</w:t>
            </w:r>
          </w:p>
          <w:p w:rsidR="00C25427" w:rsidRDefault="00C25427" w:rsidP="00C25427">
            <w:pPr>
              <w:numPr>
                <w:ilvl w:val="0"/>
                <w:numId w:val="7"/>
              </w:numPr>
              <w:spacing w:after="0" w:line="240" w:lineRule="auto"/>
              <w:ind w:left="300" w:hanging="186"/>
              <w:rPr>
                <w:rFonts w:ascii="Verdana" w:hAnsi="Verdana" w:cs="Arial"/>
                <w:color w:val="000000"/>
                <w:sz w:val="14"/>
                <w:szCs w:val="14"/>
              </w:rPr>
            </w:pPr>
            <w:r>
              <w:rPr>
                <w:rFonts w:ascii="Verdana" w:hAnsi="Verdana" w:cs="Arial"/>
                <w:color w:val="000000"/>
                <w:sz w:val="14"/>
                <w:szCs w:val="14"/>
              </w:rPr>
              <w:t xml:space="preserve">Single dose of </w:t>
            </w:r>
            <w:proofErr w:type="spellStart"/>
            <w:r>
              <w:rPr>
                <w:rFonts w:ascii="Verdana" w:hAnsi="Verdana" w:cs="Arial"/>
                <w:color w:val="000000"/>
                <w:sz w:val="14"/>
                <w:szCs w:val="14"/>
              </w:rPr>
              <w:t>Tdap</w:t>
            </w:r>
            <w:proofErr w:type="spellEnd"/>
            <w:r>
              <w:rPr>
                <w:rFonts w:ascii="Verdana" w:hAnsi="Verdana" w:cs="Arial"/>
                <w:color w:val="000000"/>
                <w:sz w:val="14"/>
                <w:szCs w:val="14"/>
              </w:rPr>
              <w:t xml:space="preserve"> for those not fully vaccinated (</w:t>
            </w:r>
            <w:hyperlink r:id="rId10" w:anchor="note1" w:history="1">
              <w:r>
                <w:rPr>
                  <w:rStyle w:val="Hyperlink"/>
                  <w:rFonts w:ascii="Verdana" w:hAnsi="Verdana" w:cs="Arial"/>
                  <w:sz w:val="14"/>
                  <w:szCs w:val="14"/>
                </w:rPr>
                <w:t>see note 1</w:t>
              </w:r>
            </w:hyperlink>
            <w:r>
              <w:rPr>
                <w:rFonts w:ascii="Verdana" w:hAnsi="Verdana" w:cs="Arial"/>
                <w:color w:val="000000"/>
                <w:sz w:val="14"/>
                <w:szCs w:val="14"/>
              </w:rPr>
              <w:t xml:space="preserve">) </w:t>
            </w:r>
            <w:r>
              <w:rPr>
                <w:rStyle w:val="Strong"/>
                <w:rFonts w:ascii="Verdana" w:hAnsi="Verdana" w:cs="Arial"/>
                <w:color w:val="000000"/>
                <w:sz w:val="14"/>
                <w:szCs w:val="14"/>
              </w:rPr>
              <w:t>or</w:t>
            </w:r>
            <w:r>
              <w:rPr>
                <w:rFonts w:ascii="Verdana" w:hAnsi="Verdana" w:cs="Arial"/>
                <w:color w:val="000000"/>
                <w:sz w:val="14"/>
                <w:szCs w:val="14"/>
              </w:rPr>
              <w:t xml:space="preserve"> </w:t>
            </w:r>
          </w:p>
          <w:p w:rsidR="00C25427" w:rsidRPr="00E80D97" w:rsidRDefault="00C25427" w:rsidP="00C25427">
            <w:pPr>
              <w:numPr>
                <w:ilvl w:val="0"/>
                <w:numId w:val="7"/>
              </w:numPr>
              <w:spacing w:after="0" w:line="240" w:lineRule="auto"/>
              <w:ind w:left="300" w:hanging="186"/>
              <w:rPr>
                <w:rFonts w:ascii="Verdana" w:hAnsi="Verdana" w:cs="Arial"/>
                <w:color w:val="000000"/>
                <w:sz w:val="14"/>
                <w:szCs w:val="14"/>
              </w:rPr>
            </w:pPr>
            <w:r>
              <w:rPr>
                <w:rFonts w:ascii="Verdana" w:hAnsi="Verdana" w:cs="Arial"/>
                <w:color w:val="000000"/>
                <w:sz w:val="14"/>
                <w:szCs w:val="14"/>
              </w:rPr>
              <w:t xml:space="preserve">If additional doses of tetanus and diphtheria toxoid-containing vaccines are needed, then children aged 7 through 10 years should be vaccinated according to the </w:t>
            </w:r>
            <w:hyperlink r:id="rId11" w:anchor="printable" w:history="1">
              <w:r>
                <w:rPr>
                  <w:rStyle w:val="Hyperlink"/>
                  <w:rFonts w:ascii="Verdana" w:hAnsi="Verdana" w:cs="Arial"/>
                  <w:sz w:val="14"/>
                  <w:szCs w:val="14"/>
                </w:rPr>
                <w:t>catch-up schedule</w:t>
              </w:r>
            </w:hyperlink>
            <w:r>
              <w:rPr>
                <w:rFonts w:ascii="Verdana" w:hAnsi="Verdana" w:cs="Arial"/>
                <w:color w:val="000000"/>
                <w:sz w:val="14"/>
                <w:szCs w:val="14"/>
              </w:rPr>
              <w:t xml:space="preserve">, with </w:t>
            </w:r>
            <w:proofErr w:type="spellStart"/>
            <w:r>
              <w:rPr>
                <w:rFonts w:ascii="Verdana" w:hAnsi="Verdana" w:cs="Arial"/>
                <w:color w:val="000000"/>
                <w:sz w:val="14"/>
                <w:szCs w:val="14"/>
              </w:rPr>
              <w:t>Tdap</w:t>
            </w:r>
            <w:proofErr w:type="spellEnd"/>
            <w:r>
              <w:rPr>
                <w:rFonts w:ascii="Verdana" w:hAnsi="Verdana" w:cs="Arial"/>
                <w:color w:val="000000"/>
                <w:sz w:val="14"/>
                <w:szCs w:val="14"/>
              </w:rPr>
              <w:t xml:space="preserve"> preferred as the first dose. </w:t>
            </w:r>
          </w:p>
        </w:tc>
      </w:tr>
      <w:tr w:rsidR="00C25427" w:rsidTr="00C2542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25427" w:rsidRDefault="00C25427" w:rsidP="00C25427">
            <w:pPr>
              <w:spacing w:after="0" w:line="240" w:lineRule="auto"/>
              <w:rPr>
                <w:rFonts w:ascii="Verdana" w:hAnsi="Verdana" w:cs="Arial"/>
                <w:color w:val="000000"/>
                <w:sz w:val="14"/>
                <w:szCs w:val="14"/>
              </w:rPr>
            </w:pPr>
            <w:r>
              <w:rPr>
                <w:rFonts w:ascii="Verdana" w:hAnsi="Verdana" w:cs="Arial"/>
                <w:color w:val="000000"/>
                <w:sz w:val="14"/>
                <w:szCs w:val="14"/>
              </w:rPr>
              <w:t>11 through 18 years</w:t>
            </w:r>
          </w:p>
          <w:p w:rsidR="00C25427" w:rsidRDefault="00C25427" w:rsidP="00C25427">
            <w:pPr>
              <w:spacing w:after="0" w:line="240" w:lineRule="auto"/>
              <w:rPr>
                <w:rFonts w:ascii="Verdana" w:hAnsi="Verdana" w:cs="Arial"/>
                <w:color w:val="000000"/>
                <w:sz w:val="14"/>
                <w:szCs w:val="14"/>
              </w:rPr>
            </w:pPr>
            <w:r>
              <w:rPr>
                <w:rFonts w:ascii="Verdana" w:hAnsi="Verdana" w:cs="Arial"/>
                <w:color w:val="000000"/>
                <w:sz w:val="14"/>
                <w:szCs w:val="14"/>
              </w:rPr>
              <w:t> </w:t>
            </w:r>
          </w:p>
        </w:tc>
        <w:tc>
          <w:tcPr>
            <w:tcW w:w="0" w:type="auto"/>
            <w:tcBorders>
              <w:top w:val="single" w:sz="6" w:space="0" w:color="000000"/>
              <w:left w:val="single" w:sz="6" w:space="0" w:color="000000"/>
              <w:bottom w:val="single" w:sz="6" w:space="0" w:color="000000"/>
              <w:right w:val="single" w:sz="6" w:space="0" w:color="000000"/>
            </w:tcBorders>
            <w:hideMark/>
          </w:tcPr>
          <w:p w:rsidR="00C25427" w:rsidRDefault="00C25427" w:rsidP="00C25427">
            <w:pPr>
              <w:spacing w:after="0" w:line="240" w:lineRule="auto"/>
              <w:rPr>
                <w:rFonts w:ascii="Verdana" w:hAnsi="Verdana" w:cs="Arial"/>
                <w:color w:val="000000"/>
                <w:sz w:val="14"/>
                <w:szCs w:val="14"/>
              </w:rPr>
            </w:pPr>
            <w:proofErr w:type="spellStart"/>
            <w:r>
              <w:rPr>
                <w:rFonts w:ascii="Verdana" w:hAnsi="Verdana" w:cs="Arial"/>
                <w:color w:val="000000"/>
                <w:sz w:val="14"/>
                <w:szCs w:val="14"/>
              </w:rPr>
              <w:t>Tdap</w:t>
            </w:r>
            <w:proofErr w:type="spellEnd"/>
            <w:r>
              <w:rPr>
                <w:rFonts w:ascii="Verdana" w:hAnsi="Verdana" w:cs="Arial"/>
                <w:color w:val="000000"/>
                <w:sz w:val="14"/>
                <w:szCs w:val="14"/>
              </w:rPr>
              <w:t xml:space="preserve"> is routinely recommended as a single dose for those 11 through 18 years of age with preferred administration at 11 through 12 years of age. </w:t>
            </w:r>
          </w:p>
          <w:p w:rsidR="00C25427" w:rsidRDefault="00C25427" w:rsidP="00C25427">
            <w:pPr>
              <w:spacing w:after="0" w:line="240" w:lineRule="auto"/>
              <w:rPr>
                <w:rFonts w:ascii="Verdana" w:hAnsi="Verdana" w:cs="Arial"/>
                <w:color w:val="000000"/>
                <w:sz w:val="14"/>
                <w:szCs w:val="14"/>
              </w:rPr>
            </w:pPr>
            <w:r>
              <w:rPr>
                <w:rFonts w:ascii="Verdana" w:hAnsi="Verdana" w:cs="Arial"/>
                <w:color w:val="000000"/>
                <w:sz w:val="14"/>
                <w:szCs w:val="14"/>
              </w:rPr>
              <w:t>If adolescent was not fully vaccinated (</w:t>
            </w:r>
            <w:hyperlink r:id="rId12" w:anchor="note1" w:history="1">
              <w:r>
                <w:rPr>
                  <w:rStyle w:val="Hyperlink"/>
                  <w:rFonts w:ascii="Verdana" w:hAnsi="Verdana" w:cs="Arial"/>
                  <w:sz w:val="14"/>
                  <w:szCs w:val="14"/>
                </w:rPr>
                <w:t>see note 1</w:t>
              </w:r>
            </w:hyperlink>
            <w:r>
              <w:rPr>
                <w:rFonts w:ascii="Verdana" w:hAnsi="Verdana" w:cs="Arial"/>
                <w:color w:val="000000"/>
                <w:sz w:val="14"/>
                <w:szCs w:val="14"/>
              </w:rPr>
              <w:t xml:space="preserve">) as a child, check the </w:t>
            </w:r>
            <w:hyperlink r:id="rId13" w:history="1">
              <w:r>
                <w:rPr>
                  <w:rStyle w:val="Hyperlink"/>
                  <w:rFonts w:ascii="Verdana" w:hAnsi="Verdana" w:cs="Arial"/>
                  <w:sz w:val="14"/>
                  <w:szCs w:val="14"/>
                </w:rPr>
                <w:t>ACIP recommendations</w:t>
              </w:r>
            </w:hyperlink>
            <w:r>
              <w:rPr>
                <w:rFonts w:ascii="Verdana" w:hAnsi="Verdana" w:cs="Arial"/>
                <w:color w:val="000000"/>
                <w:sz w:val="14"/>
                <w:szCs w:val="14"/>
              </w:rPr>
              <w:t xml:space="preserve"> and </w:t>
            </w:r>
            <w:hyperlink r:id="rId14" w:anchor="printable" w:history="1">
              <w:r>
                <w:rPr>
                  <w:rStyle w:val="Hyperlink"/>
                  <w:rFonts w:ascii="Verdana" w:hAnsi="Verdana" w:cs="Arial"/>
                  <w:sz w:val="14"/>
                  <w:szCs w:val="14"/>
                </w:rPr>
                <w:t>catch-up schedule</w:t>
              </w:r>
            </w:hyperlink>
            <w:r>
              <w:rPr>
                <w:rFonts w:ascii="Verdana" w:hAnsi="Verdana" w:cs="Arial"/>
                <w:color w:val="000000"/>
                <w:sz w:val="14"/>
                <w:szCs w:val="14"/>
              </w:rPr>
              <w:t xml:space="preserve"> to determine what’s indicated. </w:t>
            </w:r>
          </w:p>
          <w:p w:rsidR="00C25427" w:rsidRDefault="00C25427" w:rsidP="00C25427">
            <w:pPr>
              <w:spacing w:after="0" w:line="240" w:lineRule="auto"/>
              <w:rPr>
                <w:rFonts w:ascii="Verdana" w:hAnsi="Verdana" w:cs="Arial"/>
                <w:color w:val="000000"/>
                <w:sz w:val="14"/>
                <w:szCs w:val="14"/>
              </w:rPr>
            </w:pPr>
            <w:r>
              <w:rPr>
                <w:rFonts w:ascii="Verdana" w:hAnsi="Verdana" w:cs="Arial"/>
                <w:color w:val="000000"/>
                <w:sz w:val="14"/>
                <w:szCs w:val="14"/>
              </w:rPr>
              <w:t xml:space="preserve">If adolescents (13 through 18 years) missed getting </w:t>
            </w:r>
            <w:proofErr w:type="spellStart"/>
            <w:r>
              <w:rPr>
                <w:rFonts w:ascii="Verdana" w:hAnsi="Verdana" w:cs="Arial"/>
                <w:color w:val="000000"/>
                <w:sz w:val="14"/>
                <w:szCs w:val="14"/>
              </w:rPr>
              <w:t>Tdap</w:t>
            </w:r>
            <w:proofErr w:type="spellEnd"/>
            <w:r>
              <w:rPr>
                <w:rFonts w:ascii="Verdana" w:hAnsi="Verdana" w:cs="Arial"/>
                <w:color w:val="000000"/>
                <w:sz w:val="14"/>
                <w:szCs w:val="14"/>
              </w:rPr>
              <w:t xml:space="preserve"> at 11 to 12 years of age, administer at the next patient encounter or sooner if adolescent will have close contact with infants.</w:t>
            </w:r>
          </w:p>
        </w:tc>
      </w:tr>
      <w:tr w:rsidR="00C25427" w:rsidTr="00C2542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25427" w:rsidRDefault="00C25427" w:rsidP="00C25427">
            <w:pPr>
              <w:spacing w:after="0" w:line="240" w:lineRule="auto"/>
              <w:rPr>
                <w:rFonts w:ascii="Verdana" w:hAnsi="Verdana" w:cs="Arial"/>
                <w:color w:val="000000"/>
                <w:sz w:val="14"/>
                <w:szCs w:val="14"/>
              </w:rPr>
            </w:pPr>
            <w:r>
              <w:rPr>
                <w:rFonts w:ascii="Verdana" w:hAnsi="Verdana" w:cs="Arial"/>
                <w:color w:val="000000"/>
                <w:sz w:val="14"/>
                <w:szCs w:val="14"/>
              </w:rPr>
              <w:t>19 years and older</w:t>
            </w:r>
          </w:p>
          <w:p w:rsidR="00C25427" w:rsidRDefault="00C25427" w:rsidP="00C25427">
            <w:pPr>
              <w:spacing w:after="0" w:line="240" w:lineRule="auto"/>
              <w:rPr>
                <w:rFonts w:ascii="Verdana" w:hAnsi="Verdana" w:cs="Arial"/>
                <w:color w:val="000000"/>
                <w:sz w:val="14"/>
                <w:szCs w:val="14"/>
              </w:rPr>
            </w:pPr>
          </w:p>
          <w:p w:rsidR="00C25427" w:rsidRDefault="00C25427" w:rsidP="00C25427">
            <w:pPr>
              <w:spacing w:after="0" w:line="240" w:lineRule="auto"/>
              <w:rPr>
                <w:rFonts w:ascii="Verdana" w:hAnsi="Verdana" w:cs="Arial"/>
                <w:color w:val="000000"/>
                <w:sz w:val="14"/>
                <w:szCs w:val="14"/>
              </w:rPr>
            </w:pPr>
          </w:p>
          <w:p w:rsidR="00C25427" w:rsidRDefault="00C25427" w:rsidP="00C25427">
            <w:pPr>
              <w:spacing w:after="0" w:line="240" w:lineRule="auto"/>
              <w:rPr>
                <w:rFonts w:ascii="Verdana" w:hAnsi="Verdana" w:cs="Arial"/>
                <w:color w:val="000000"/>
                <w:sz w:val="14"/>
                <w:szCs w:val="14"/>
              </w:rPr>
            </w:pPr>
          </w:p>
          <w:p w:rsidR="00C25427" w:rsidRDefault="00C25427" w:rsidP="00C25427">
            <w:pPr>
              <w:spacing w:after="0" w:line="240" w:lineRule="auto"/>
              <w:rPr>
                <w:rFonts w:ascii="Verdana" w:hAnsi="Verdana" w:cs="Arial"/>
                <w:color w:val="000000"/>
                <w:sz w:val="14"/>
                <w:szCs w:val="14"/>
              </w:rPr>
            </w:pPr>
          </w:p>
          <w:p w:rsidR="00C25427" w:rsidRDefault="00C25427" w:rsidP="00C25427">
            <w:pPr>
              <w:spacing w:after="0" w:line="240" w:lineRule="auto"/>
              <w:rPr>
                <w:rFonts w:ascii="Verdana" w:hAnsi="Verdana" w:cs="Arial"/>
                <w:color w:val="000000"/>
                <w:sz w:val="14"/>
                <w:szCs w:val="14"/>
              </w:rPr>
            </w:pPr>
          </w:p>
          <w:p w:rsidR="00C25427" w:rsidRDefault="00C25427" w:rsidP="00C25427">
            <w:pPr>
              <w:spacing w:after="0" w:line="240" w:lineRule="auto"/>
              <w:rPr>
                <w:rFonts w:ascii="Verdana" w:hAnsi="Verdana" w:cs="Arial"/>
                <w:color w:val="000000"/>
                <w:sz w:val="14"/>
                <w:szCs w:val="14"/>
              </w:rPr>
            </w:pPr>
          </w:p>
          <w:p w:rsidR="00C25427" w:rsidRDefault="00C25427" w:rsidP="00C25427">
            <w:pPr>
              <w:spacing w:after="0" w:line="240" w:lineRule="auto"/>
              <w:rPr>
                <w:rFonts w:ascii="Verdana" w:hAnsi="Verdana" w:cs="Arial"/>
                <w:color w:val="000000"/>
                <w:sz w:val="14"/>
                <w:szCs w:val="14"/>
              </w:rPr>
            </w:pPr>
            <w:r>
              <w:rPr>
                <w:rStyle w:val="moreinfo1"/>
                <w:rFonts w:ascii="Verdana" w:hAnsi="Verdana" w:cs="Arial"/>
                <w:sz w:val="12"/>
                <w:szCs w:val="12"/>
              </w:rPr>
              <w:t>UPDATED JUN 2012</w:t>
            </w:r>
          </w:p>
        </w:tc>
        <w:tc>
          <w:tcPr>
            <w:tcW w:w="0" w:type="auto"/>
            <w:tcBorders>
              <w:top w:val="single" w:sz="6" w:space="0" w:color="000000"/>
              <w:left w:val="single" w:sz="6" w:space="0" w:color="000000"/>
              <w:bottom w:val="single" w:sz="6" w:space="0" w:color="000000"/>
              <w:right w:val="single" w:sz="6" w:space="0" w:color="000000"/>
            </w:tcBorders>
            <w:hideMark/>
          </w:tcPr>
          <w:p w:rsidR="00C25427" w:rsidRDefault="00C25427" w:rsidP="00C25427">
            <w:pPr>
              <w:spacing w:after="0" w:line="240" w:lineRule="auto"/>
              <w:rPr>
                <w:rFonts w:ascii="Verdana" w:hAnsi="Verdana" w:cs="Arial"/>
                <w:color w:val="000000"/>
                <w:sz w:val="14"/>
                <w:szCs w:val="14"/>
              </w:rPr>
            </w:pPr>
            <w:r>
              <w:rPr>
                <w:rFonts w:ascii="Verdana" w:hAnsi="Verdana" w:cs="Arial"/>
                <w:color w:val="000000"/>
                <w:sz w:val="14"/>
                <w:szCs w:val="14"/>
              </w:rPr>
              <w:t xml:space="preserve">Any adult 19 years of age and older who has not received a dose of </w:t>
            </w:r>
            <w:proofErr w:type="spellStart"/>
            <w:r>
              <w:rPr>
                <w:rFonts w:ascii="Verdana" w:hAnsi="Verdana" w:cs="Arial"/>
                <w:color w:val="000000"/>
                <w:sz w:val="14"/>
                <w:szCs w:val="14"/>
              </w:rPr>
              <w:t>Tdap</w:t>
            </w:r>
            <w:proofErr w:type="spellEnd"/>
            <w:r>
              <w:rPr>
                <w:rFonts w:ascii="Verdana" w:hAnsi="Verdana" w:cs="Arial"/>
                <w:color w:val="000000"/>
                <w:sz w:val="14"/>
                <w:szCs w:val="14"/>
              </w:rPr>
              <w:t xml:space="preserve"> should get one as soon as feasible – to protect themselves and infants. This </w:t>
            </w:r>
            <w:proofErr w:type="spellStart"/>
            <w:r>
              <w:rPr>
                <w:rFonts w:ascii="Verdana" w:hAnsi="Verdana" w:cs="Arial"/>
                <w:color w:val="000000"/>
                <w:sz w:val="14"/>
                <w:szCs w:val="14"/>
              </w:rPr>
              <w:t>Tdap</w:t>
            </w:r>
            <w:proofErr w:type="spellEnd"/>
            <w:r>
              <w:rPr>
                <w:rFonts w:ascii="Verdana" w:hAnsi="Verdana" w:cs="Arial"/>
                <w:color w:val="000000"/>
                <w:sz w:val="14"/>
                <w:szCs w:val="14"/>
              </w:rPr>
              <w:t xml:space="preserve"> booster dose can replace one of the 10-year Td booster doses. </w:t>
            </w:r>
            <w:proofErr w:type="spellStart"/>
            <w:r>
              <w:rPr>
                <w:rFonts w:ascii="Verdana" w:hAnsi="Verdana" w:cs="Arial"/>
                <w:color w:val="000000"/>
                <w:sz w:val="14"/>
                <w:szCs w:val="14"/>
              </w:rPr>
              <w:t>Tdap</w:t>
            </w:r>
            <w:proofErr w:type="spellEnd"/>
            <w:r>
              <w:rPr>
                <w:rFonts w:ascii="Verdana" w:hAnsi="Verdana" w:cs="Arial"/>
                <w:color w:val="000000"/>
                <w:sz w:val="14"/>
                <w:szCs w:val="14"/>
              </w:rPr>
              <w:t xml:space="preserve"> can be administered regardless of interval since the previous Td dose. Shorter intervals between </w:t>
            </w:r>
            <w:proofErr w:type="spellStart"/>
            <w:r>
              <w:rPr>
                <w:rFonts w:ascii="Verdana" w:hAnsi="Verdana" w:cs="Arial"/>
                <w:color w:val="000000"/>
                <w:sz w:val="14"/>
                <w:szCs w:val="14"/>
              </w:rPr>
              <w:t>Tdap</w:t>
            </w:r>
            <w:proofErr w:type="spellEnd"/>
            <w:r>
              <w:rPr>
                <w:rFonts w:ascii="Verdana" w:hAnsi="Verdana" w:cs="Arial"/>
                <w:color w:val="000000"/>
                <w:sz w:val="14"/>
                <w:szCs w:val="14"/>
              </w:rPr>
              <w:t xml:space="preserve"> and last Td may increase the risk of mild local </w:t>
            </w:r>
            <w:proofErr w:type="spellStart"/>
            <w:r>
              <w:rPr>
                <w:rFonts w:ascii="Verdana" w:hAnsi="Verdana" w:cs="Arial"/>
                <w:color w:val="000000"/>
                <w:sz w:val="14"/>
                <w:szCs w:val="14"/>
              </w:rPr>
              <w:t>reactogenicity</w:t>
            </w:r>
            <w:proofErr w:type="spellEnd"/>
            <w:r>
              <w:rPr>
                <w:rFonts w:ascii="Verdana" w:hAnsi="Verdana" w:cs="Arial"/>
                <w:color w:val="000000"/>
                <w:sz w:val="14"/>
                <w:szCs w:val="14"/>
              </w:rPr>
              <w:t xml:space="preserve"> but may be appropriate if your patient is at high risk for contracting pertussis, such as during an outbreak, or has close contact with infants.</w:t>
            </w:r>
          </w:p>
          <w:p w:rsidR="00C25427" w:rsidRDefault="00C25427" w:rsidP="00C25427">
            <w:pPr>
              <w:spacing w:after="0" w:line="240" w:lineRule="auto"/>
              <w:rPr>
                <w:rFonts w:ascii="Verdana" w:hAnsi="Verdana" w:cs="Arial"/>
                <w:color w:val="000000"/>
                <w:sz w:val="14"/>
                <w:szCs w:val="14"/>
              </w:rPr>
            </w:pPr>
            <w:r>
              <w:rPr>
                <w:rFonts w:ascii="Verdana" w:hAnsi="Verdana" w:cs="Arial"/>
                <w:color w:val="000000"/>
                <w:sz w:val="14"/>
                <w:szCs w:val="14"/>
              </w:rPr>
              <w:t xml:space="preserve">When feasible, </w:t>
            </w:r>
            <w:proofErr w:type="spellStart"/>
            <w:r>
              <w:rPr>
                <w:rFonts w:ascii="Verdana" w:hAnsi="Verdana" w:cs="Arial"/>
                <w:color w:val="000000"/>
                <w:sz w:val="14"/>
                <w:szCs w:val="14"/>
              </w:rPr>
              <w:t>Boostrix</w:t>
            </w:r>
            <w:proofErr w:type="spellEnd"/>
            <w:r>
              <w:rPr>
                <w:rFonts w:ascii="Verdana" w:hAnsi="Verdana" w:cs="Arial"/>
                <w:color w:val="000000"/>
                <w:sz w:val="14"/>
                <w:szCs w:val="14"/>
              </w:rPr>
              <w:t xml:space="preserve"> (GSK) should be used for adults 65 years and older; however, either vaccine product administered to a person 65 years or older provides protection and may be considered valid. Providers should not miss an opportunity to vaccinate persons aged 65 years and older with </w:t>
            </w:r>
            <w:proofErr w:type="spellStart"/>
            <w:r>
              <w:rPr>
                <w:rFonts w:ascii="Verdana" w:hAnsi="Verdana" w:cs="Arial"/>
                <w:color w:val="000000"/>
                <w:sz w:val="14"/>
                <w:szCs w:val="14"/>
              </w:rPr>
              <w:t>Tdap</w:t>
            </w:r>
            <w:proofErr w:type="spellEnd"/>
            <w:r>
              <w:rPr>
                <w:rFonts w:ascii="Verdana" w:hAnsi="Verdana" w:cs="Arial"/>
                <w:color w:val="000000"/>
                <w:sz w:val="14"/>
                <w:szCs w:val="14"/>
              </w:rPr>
              <w:t xml:space="preserve">. Therefore, providers may administer the </w:t>
            </w:r>
            <w:proofErr w:type="spellStart"/>
            <w:r>
              <w:rPr>
                <w:rFonts w:ascii="Verdana" w:hAnsi="Verdana" w:cs="Arial"/>
                <w:color w:val="000000"/>
                <w:sz w:val="14"/>
                <w:szCs w:val="14"/>
              </w:rPr>
              <w:t>Tdap</w:t>
            </w:r>
            <w:proofErr w:type="spellEnd"/>
            <w:r>
              <w:rPr>
                <w:rFonts w:ascii="Verdana" w:hAnsi="Verdana" w:cs="Arial"/>
                <w:color w:val="000000"/>
                <w:sz w:val="14"/>
                <w:szCs w:val="14"/>
              </w:rPr>
              <w:t xml:space="preserve"> vaccine they have available.</w:t>
            </w:r>
          </w:p>
        </w:tc>
      </w:tr>
      <w:tr w:rsidR="00C25427" w:rsidTr="00C2542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25427" w:rsidRDefault="00C25427" w:rsidP="00C25427">
            <w:pPr>
              <w:spacing w:after="0" w:line="240" w:lineRule="auto"/>
              <w:rPr>
                <w:rFonts w:ascii="Verdana" w:hAnsi="Verdana" w:cs="Arial"/>
                <w:color w:val="000000"/>
                <w:sz w:val="14"/>
                <w:szCs w:val="14"/>
              </w:rPr>
            </w:pPr>
            <w:r>
              <w:rPr>
                <w:rFonts w:ascii="Verdana" w:hAnsi="Verdana" w:cs="Arial"/>
                <w:color w:val="000000"/>
                <w:sz w:val="14"/>
                <w:szCs w:val="14"/>
              </w:rPr>
              <w:t>Pregnant women</w:t>
            </w:r>
          </w:p>
          <w:p w:rsidR="00C25427" w:rsidRDefault="00C25427" w:rsidP="00C25427">
            <w:pPr>
              <w:spacing w:after="0" w:line="240" w:lineRule="auto"/>
              <w:rPr>
                <w:rFonts w:ascii="Verdana" w:hAnsi="Verdana" w:cs="Arial"/>
                <w:color w:val="000000"/>
                <w:sz w:val="14"/>
                <w:szCs w:val="14"/>
              </w:rPr>
            </w:pPr>
          </w:p>
          <w:p w:rsidR="00C25427" w:rsidRDefault="00C25427" w:rsidP="00C25427">
            <w:pPr>
              <w:spacing w:after="0" w:line="240" w:lineRule="auto"/>
              <w:rPr>
                <w:rFonts w:ascii="Verdana" w:hAnsi="Verdana" w:cs="Arial"/>
                <w:color w:val="000000"/>
                <w:sz w:val="14"/>
                <w:szCs w:val="14"/>
              </w:rPr>
            </w:pPr>
          </w:p>
          <w:p w:rsidR="00C25427" w:rsidRDefault="00C25427" w:rsidP="00C25427">
            <w:pPr>
              <w:spacing w:after="0" w:line="240" w:lineRule="auto"/>
              <w:rPr>
                <w:rFonts w:ascii="Verdana" w:hAnsi="Verdana" w:cs="Arial"/>
                <w:color w:val="000000"/>
                <w:sz w:val="14"/>
                <w:szCs w:val="14"/>
              </w:rPr>
            </w:pPr>
          </w:p>
          <w:p w:rsidR="00C25427" w:rsidRDefault="00C25427" w:rsidP="00C25427">
            <w:pPr>
              <w:spacing w:after="0" w:line="240" w:lineRule="auto"/>
              <w:rPr>
                <w:rFonts w:ascii="Verdana" w:hAnsi="Verdana" w:cs="Arial"/>
                <w:color w:val="000000"/>
                <w:sz w:val="14"/>
                <w:szCs w:val="14"/>
              </w:rPr>
            </w:pPr>
          </w:p>
          <w:p w:rsidR="00C25427" w:rsidRDefault="00C25427" w:rsidP="00C25427">
            <w:pPr>
              <w:spacing w:after="0" w:line="240" w:lineRule="auto"/>
              <w:rPr>
                <w:rFonts w:ascii="Verdana" w:hAnsi="Verdana" w:cs="Arial"/>
                <w:color w:val="000000"/>
                <w:sz w:val="14"/>
                <w:szCs w:val="14"/>
              </w:rPr>
            </w:pPr>
          </w:p>
          <w:p w:rsidR="00C25427" w:rsidRDefault="00C25427" w:rsidP="00C25427">
            <w:pPr>
              <w:spacing w:after="0" w:line="240" w:lineRule="auto"/>
              <w:rPr>
                <w:rFonts w:ascii="Verdana" w:hAnsi="Verdana" w:cs="Arial"/>
                <w:color w:val="000000"/>
                <w:sz w:val="14"/>
                <w:szCs w:val="14"/>
              </w:rPr>
            </w:pPr>
          </w:p>
          <w:p w:rsidR="00C25427" w:rsidRDefault="00C25427" w:rsidP="00C25427">
            <w:pPr>
              <w:spacing w:after="0" w:line="240" w:lineRule="auto"/>
              <w:rPr>
                <w:rFonts w:ascii="Verdana" w:hAnsi="Verdana" w:cs="Arial"/>
                <w:color w:val="000000"/>
                <w:sz w:val="14"/>
                <w:szCs w:val="14"/>
              </w:rPr>
            </w:pPr>
            <w:r>
              <w:rPr>
                <w:rStyle w:val="moreinfo1"/>
                <w:rFonts w:ascii="Verdana" w:hAnsi="Verdana" w:cs="Arial"/>
                <w:sz w:val="12"/>
                <w:szCs w:val="12"/>
              </w:rPr>
              <w:t>UPDATED OCT 2011</w:t>
            </w:r>
          </w:p>
        </w:tc>
        <w:tc>
          <w:tcPr>
            <w:tcW w:w="0" w:type="auto"/>
            <w:tcBorders>
              <w:top w:val="single" w:sz="6" w:space="0" w:color="000000"/>
              <w:left w:val="single" w:sz="6" w:space="0" w:color="000000"/>
              <w:bottom w:val="single" w:sz="6" w:space="0" w:color="000000"/>
              <w:right w:val="single" w:sz="6" w:space="0" w:color="000000"/>
            </w:tcBorders>
            <w:hideMark/>
          </w:tcPr>
          <w:p w:rsidR="00C25427" w:rsidRDefault="00C25427" w:rsidP="00C25427">
            <w:pPr>
              <w:spacing w:after="0" w:line="240" w:lineRule="auto"/>
              <w:rPr>
                <w:rFonts w:ascii="Verdana" w:hAnsi="Verdana" w:cs="Arial"/>
                <w:color w:val="000000"/>
                <w:sz w:val="14"/>
                <w:szCs w:val="14"/>
              </w:rPr>
            </w:pPr>
            <w:r>
              <w:rPr>
                <w:rFonts w:ascii="Verdana" w:hAnsi="Verdana" w:cs="Arial"/>
                <w:color w:val="000000"/>
                <w:sz w:val="14"/>
                <w:szCs w:val="14"/>
              </w:rPr>
              <w:t xml:space="preserve">Pregnant women who have not been previously vaccinated with </w:t>
            </w:r>
            <w:proofErr w:type="spellStart"/>
            <w:r>
              <w:rPr>
                <w:rFonts w:ascii="Verdana" w:hAnsi="Verdana" w:cs="Arial"/>
                <w:color w:val="000000"/>
                <w:sz w:val="14"/>
                <w:szCs w:val="14"/>
              </w:rPr>
              <w:t>Tdap</w:t>
            </w:r>
            <w:proofErr w:type="spellEnd"/>
            <w:r>
              <w:rPr>
                <w:rFonts w:ascii="Verdana" w:hAnsi="Verdana" w:cs="Arial"/>
                <w:color w:val="000000"/>
                <w:sz w:val="14"/>
                <w:szCs w:val="14"/>
              </w:rPr>
              <w:t xml:space="preserve"> should get one dose of </w:t>
            </w:r>
            <w:proofErr w:type="spellStart"/>
            <w:r>
              <w:rPr>
                <w:rFonts w:ascii="Verdana" w:hAnsi="Verdana" w:cs="Arial"/>
                <w:color w:val="000000"/>
                <w:sz w:val="14"/>
                <w:szCs w:val="14"/>
              </w:rPr>
              <w:t>Tdap</w:t>
            </w:r>
            <w:proofErr w:type="spellEnd"/>
            <w:r>
              <w:rPr>
                <w:rFonts w:ascii="Verdana" w:hAnsi="Verdana" w:cs="Arial"/>
                <w:color w:val="000000"/>
                <w:sz w:val="14"/>
                <w:szCs w:val="14"/>
              </w:rPr>
              <w:t xml:space="preserve"> during the third trimester or late second trimester. </w:t>
            </w:r>
            <w:proofErr w:type="spellStart"/>
            <w:r>
              <w:rPr>
                <w:rFonts w:ascii="Verdana" w:hAnsi="Verdana" w:cs="Arial"/>
                <w:color w:val="000000"/>
                <w:sz w:val="14"/>
                <w:szCs w:val="14"/>
              </w:rPr>
              <w:t>Tdap</w:t>
            </w:r>
            <w:proofErr w:type="spellEnd"/>
            <w:r>
              <w:rPr>
                <w:rFonts w:ascii="Verdana" w:hAnsi="Verdana" w:cs="Arial"/>
                <w:color w:val="000000"/>
                <w:sz w:val="14"/>
                <w:szCs w:val="14"/>
              </w:rPr>
              <w:t xml:space="preserve"> is recommended in the immediate postpartum period before discharge from hospital or birthing center for new mothers who were not previously vaccinated or whose vaccination status is unknown. By getting </w:t>
            </w:r>
            <w:proofErr w:type="spellStart"/>
            <w:r>
              <w:rPr>
                <w:rFonts w:ascii="Verdana" w:hAnsi="Verdana" w:cs="Arial"/>
                <w:color w:val="000000"/>
                <w:sz w:val="14"/>
                <w:szCs w:val="14"/>
              </w:rPr>
              <w:t>Tdap</w:t>
            </w:r>
            <w:proofErr w:type="spellEnd"/>
            <w:r>
              <w:rPr>
                <w:rFonts w:ascii="Verdana" w:hAnsi="Verdana" w:cs="Arial"/>
                <w:color w:val="000000"/>
                <w:sz w:val="14"/>
                <w:szCs w:val="14"/>
              </w:rPr>
              <w:t xml:space="preserve"> during pregnancy, maternal pertussis antibodies transfer to the newborn, </w:t>
            </w:r>
            <w:proofErr w:type="gramStart"/>
            <w:r>
              <w:rPr>
                <w:rFonts w:ascii="Verdana" w:hAnsi="Verdana" w:cs="Arial"/>
                <w:color w:val="000000"/>
                <w:sz w:val="14"/>
                <w:szCs w:val="14"/>
              </w:rPr>
              <w:t>likely</w:t>
            </w:r>
            <w:proofErr w:type="gramEnd"/>
            <w:r>
              <w:rPr>
                <w:rFonts w:ascii="Verdana" w:hAnsi="Verdana" w:cs="Arial"/>
                <w:color w:val="000000"/>
                <w:sz w:val="14"/>
                <w:szCs w:val="14"/>
              </w:rPr>
              <w:t xml:space="preserve"> providing protection against pertussis in early life, before the baby starts getting </w:t>
            </w:r>
            <w:proofErr w:type="spellStart"/>
            <w:r>
              <w:rPr>
                <w:rFonts w:ascii="Verdana" w:hAnsi="Verdana" w:cs="Arial"/>
                <w:color w:val="000000"/>
                <w:sz w:val="14"/>
                <w:szCs w:val="14"/>
              </w:rPr>
              <w:t>DTaP</w:t>
            </w:r>
            <w:proofErr w:type="spellEnd"/>
            <w:r>
              <w:rPr>
                <w:rFonts w:ascii="Verdana" w:hAnsi="Verdana" w:cs="Arial"/>
                <w:color w:val="000000"/>
                <w:sz w:val="14"/>
                <w:szCs w:val="14"/>
              </w:rPr>
              <w:t xml:space="preserve"> vaccines. </w:t>
            </w:r>
            <w:proofErr w:type="spellStart"/>
            <w:r>
              <w:rPr>
                <w:rFonts w:ascii="Verdana" w:hAnsi="Verdana" w:cs="Arial"/>
                <w:color w:val="000000"/>
                <w:sz w:val="14"/>
                <w:szCs w:val="14"/>
              </w:rPr>
              <w:t>Tdap</w:t>
            </w:r>
            <w:proofErr w:type="spellEnd"/>
            <w:r>
              <w:rPr>
                <w:rFonts w:ascii="Verdana" w:hAnsi="Verdana" w:cs="Arial"/>
                <w:color w:val="000000"/>
                <w:sz w:val="14"/>
                <w:szCs w:val="14"/>
              </w:rPr>
              <w:t xml:space="preserve"> will also protect the mother at time of delivery, making her less likely to transmit pertussis to her infant. </w:t>
            </w:r>
            <w:proofErr w:type="spellStart"/>
            <w:r>
              <w:rPr>
                <w:rFonts w:ascii="Verdana" w:hAnsi="Verdana" w:cs="Arial"/>
                <w:color w:val="000000"/>
                <w:sz w:val="14"/>
                <w:szCs w:val="14"/>
              </w:rPr>
              <w:t>DTaP</w:t>
            </w:r>
            <w:proofErr w:type="spellEnd"/>
            <w:r>
              <w:rPr>
                <w:rFonts w:ascii="Verdana" w:hAnsi="Verdana" w:cs="Arial"/>
                <w:color w:val="000000"/>
                <w:sz w:val="14"/>
                <w:szCs w:val="14"/>
              </w:rPr>
              <w:t xml:space="preserve"> or </w:t>
            </w:r>
            <w:proofErr w:type="spellStart"/>
            <w:r>
              <w:rPr>
                <w:rFonts w:ascii="Verdana" w:hAnsi="Verdana" w:cs="Arial"/>
                <w:color w:val="000000"/>
                <w:sz w:val="14"/>
                <w:szCs w:val="14"/>
              </w:rPr>
              <w:t>Tdap</w:t>
            </w:r>
            <w:proofErr w:type="spellEnd"/>
            <w:r>
              <w:rPr>
                <w:rFonts w:ascii="Verdana" w:hAnsi="Verdana" w:cs="Arial"/>
                <w:color w:val="000000"/>
                <w:sz w:val="14"/>
                <w:szCs w:val="14"/>
              </w:rPr>
              <w:t xml:space="preserve"> (depending on age) is recommended for all family members and caregivers of the infant – at least two weeks before coming into close contact with the infant.</w:t>
            </w:r>
          </w:p>
        </w:tc>
      </w:tr>
      <w:tr w:rsidR="00C25427" w:rsidTr="00C2542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25427" w:rsidRDefault="00C25427" w:rsidP="00C25427">
            <w:pPr>
              <w:spacing w:after="0" w:line="240" w:lineRule="auto"/>
              <w:rPr>
                <w:rFonts w:ascii="Verdana" w:hAnsi="Verdana" w:cs="Arial"/>
                <w:color w:val="000000"/>
                <w:sz w:val="14"/>
                <w:szCs w:val="14"/>
              </w:rPr>
            </w:pPr>
            <w:r>
              <w:rPr>
                <w:rFonts w:ascii="Verdana" w:hAnsi="Verdana" w:cs="Arial"/>
                <w:color w:val="000000"/>
                <w:sz w:val="14"/>
                <w:szCs w:val="14"/>
              </w:rPr>
              <w:t>Health care personnel (</w:t>
            </w:r>
            <w:hyperlink r:id="rId15" w:anchor="note2" w:history="1">
              <w:r>
                <w:rPr>
                  <w:rStyle w:val="Hyperlink"/>
                  <w:rFonts w:ascii="Verdana" w:hAnsi="Verdana" w:cs="Arial"/>
                  <w:sz w:val="14"/>
                  <w:szCs w:val="14"/>
                </w:rPr>
                <w:t>see note 2</w:t>
              </w:r>
            </w:hyperlink>
            <w:r>
              <w:rPr>
                <w:rFonts w:ascii="Verdana" w:hAnsi="Verdana" w:cs="Arial"/>
                <w:color w:val="000000"/>
                <w:sz w:val="14"/>
                <w:szCs w:val="14"/>
              </w:rPr>
              <w:t>)</w:t>
            </w:r>
          </w:p>
        </w:tc>
        <w:tc>
          <w:tcPr>
            <w:tcW w:w="0" w:type="auto"/>
            <w:tcBorders>
              <w:top w:val="single" w:sz="6" w:space="0" w:color="000000"/>
              <w:left w:val="single" w:sz="6" w:space="0" w:color="000000"/>
              <w:bottom w:val="single" w:sz="6" w:space="0" w:color="000000"/>
              <w:right w:val="single" w:sz="6" w:space="0" w:color="000000"/>
            </w:tcBorders>
            <w:hideMark/>
          </w:tcPr>
          <w:p w:rsidR="00C25427" w:rsidRDefault="00C25427" w:rsidP="00C25427">
            <w:pPr>
              <w:spacing w:after="0" w:line="240" w:lineRule="auto"/>
              <w:rPr>
                <w:rFonts w:ascii="Verdana" w:hAnsi="Verdana" w:cs="Arial"/>
                <w:color w:val="000000"/>
                <w:sz w:val="14"/>
                <w:szCs w:val="14"/>
              </w:rPr>
            </w:pPr>
            <w:r>
              <w:rPr>
                <w:rFonts w:ascii="Verdana" w:hAnsi="Verdana" w:cs="Arial"/>
                <w:color w:val="000000"/>
                <w:sz w:val="14"/>
                <w:szCs w:val="14"/>
              </w:rPr>
              <w:t xml:space="preserve">A single dose of </w:t>
            </w:r>
            <w:proofErr w:type="spellStart"/>
            <w:r>
              <w:rPr>
                <w:rFonts w:ascii="Verdana" w:hAnsi="Verdana" w:cs="Arial"/>
                <w:color w:val="000000"/>
                <w:sz w:val="14"/>
                <w:szCs w:val="14"/>
              </w:rPr>
              <w:t>Tdap</w:t>
            </w:r>
            <w:proofErr w:type="spellEnd"/>
            <w:r>
              <w:rPr>
                <w:rFonts w:ascii="Verdana" w:hAnsi="Verdana" w:cs="Arial"/>
                <w:color w:val="000000"/>
                <w:sz w:val="14"/>
                <w:szCs w:val="14"/>
              </w:rPr>
              <w:t xml:space="preserve"> is recommended for health care personnel who have not previously received </w:t>
            </w:r>
            <w:proofErr w:type="spellStart"/>
            <w:r>
              <w:rPr>
                <w:rFonts w:ascii="Verdana" w:hAnsi="Verdana" w:cs="Arial"/>
                <w:color w:val="000000"/>
                <w:sz w:val="14"/>
                <w:szCs w:val="14"/>
              </w:rPr>
              <w:t>Tdap</w:t>
            </w:r>
            <w:proofErr w:type="spellEnd"/>
            <w:r>
              <w:rPr>
                <w:rFonts w:ascii="Verdana" w:hAnsi="Verdana" w:cs="Arial"/>
                <w:color w:val="000000"/>
                <w:sz w:val="14"/>
                <w:szCs w:val="14"/>
              </w:rPr>
              <w:t xml:space="preserve"> as an adult and who have direct patient contact. </w:t>
            </w:r>
            <w:proofErr w:type="spellStart"/>
            <w:r>
              <w:rPr>
                <w:rFonts w:ascii="Verdana" w:hAnsi="Verdana" w:cs="Arial"/>
                <w:color w:val="000000"/>
                <w:sz w:val="14"/>
                <w:szCs w:val="14"/>
              </w:rPr>
              <w:t>Tdap</w:t>
            </w:r>
            <w:proofErr w:type="spellEnd"/>
            <w:r>
              <w:rPr>
                <w:rFonts w:ascii="Verdana" w:hAnsi="Verdana" w:cs="Arial"/>
                <w:color w:val="000000"/>
                <w:sz w:val="14"/>
                <w:szCs w:val="14"/>
              </w:rPr>
              <w:t xml:space="preserve"> vaccination can protect health care personnel against pertussis and help reduce transmission to others. Priority should be given to vaccinating those who have direct contact with babies younger than 12 months of age.</w:t>
            </w:r>
          </w:p>
          <w:p w:rsidR="00C25427" w:rsidRDefault="00C25427" w:rsidP="00C25427">
            <w:pPr>
              <w:spacing w:after="0" w:line="240" w:lineRule="auto"/>
              <w:rPr>
                <w:rFonts w:ascii="Verdana" w:hAnsi="Verdana" w:cs="Arial"/>
                <w:color w:val="000000"/>
                <w:sz w:val="14"/>
                <w:szCs w:val="14"/>
              </w:rPr>
            </w:pPr>
            <w:proofErr w:type="spellStart"/>
            <w:r>
              <w:rPr>
                <w:rFonts w:ascii="Verdana" w:hAnsi="Verdana" w:cs="Arial"/>
                <w:color w:val="000000"/>
                <w:sz w:val="14"/>
                <w:szCs w:val="14"/>
              </w:rPr>
              <w:t>Tdap</w:t>
            </w:r>
            <w:proofErr w:type="spellEnd"/>
            <w:r>
              <w:rPr>
                <w:rFonts w:ascii="Verdana" w:hAnsi="Verdana" w:cs="Arial"/>
                <w:color w:val="000000"/>
                <w:sz w:val="14"/>
                <w:szCs w:val="14"/>
              </w:rPr>
              <w:t xml:space="preserve"> can be administered regardless of interval since the previous Td dose. However, shorter intervals between </w:t>
            </w:r>
            <w:proofErr w:type="spellStart"/>
            <w:r>
              <w:rPr>
                <w:rFonts w:ascii="Verdana" w:hAnsi="Verdana" w:cs="Arial"/>
                <w:color w:val="000000"/>
                <w:sz w:val="14"/>
                <w:szCs w:val="14"/>
              </w:rPr>
              <w:t>Tdap</w:t>
            </w:r>
            <w:proofErr w:type="spellEnd"/>
            <w:r>
              <w:rPr>
                <w:rFonts w:ascii="Verdana" w:hAnsi="Verdana" w:cs="Arial"/>
                <w:color w:val="000000"/>
                <w:sz w:val="14"/>
                <w:szCs w:val="14"/>
              </w:rPr>
              <w:t xml:space="preserve"> and last Td may increase the risk of mild local </w:t>
            </w:r>
            <w:proofErr w:type="spellStart"/>
            <w:r>
              <w:rPr>
                <w:rFonts w:ascii="Verdana" w:hAnsi="Verdana" w:cs="Arial"/>
                <w:color w:val="000000"/>
                <w:sz w:val="14"/>
                <w:szCs w:val="14"/>
              </w:rPr>
              <w:t>reactogenicity</w:t>
            </w:r>
            <w:proofErr w:type="spellEnd"/>
            <w:r>
              <w:rPr>
                <w:rFonts w:ascii="Verdana" w:hAnsi="Verdana" w:cs="Arial"/>
                <w:color w:val="000000"/>
                <w:sz w:val="14"/>
                <w:szCs w:val="14"/>
              </w:rPr>
              <w:t>.</w:t>
            </w:r>
          </w:p>
        </w:tc>
        <w:bookmarkStart w:id="0" w:name="_GoBack"/>
        <w:bookmarkEnd w:id="0"/>
      </w:tr>
    </w:tbl>
    <w:p w:rsidR="00C25427" w:rsidRPr="00E80D97" w:rsidRDefault="00C25427" w:rsidP="00C25427">
      <w:pPr>
        <w:spacing w:after="0" w:line="240" w:lineRule="auto"/>
        <w:rPr>
          <w:rFonts w:ascii="Verdana" w:hAnsi="Verdana" w:cs="Arial"/>
          <w:color w:val="000000"/>
          <w:sz w:val="16"/>
          <w:szCs w:val="17"/>
        </w:rPr>
      </w:pPr>
      <w:r>
        <w:rPr>
          <w:rFonts w:ascii="Verdana" w:hAnsi="Verdana" w:cs="Arial"/>
          <w:color w:val="000000"/>
          <w:sz w:val="17"/>
          <w:szCs w:val="17"/>
        </w:rPr>
        <w:br/>
      </w:r>
      <w:r w:rsidRPr="00E80D97">
        <w:rPr>
          <w:rFonts w:ascii="Verdana" w:hAnsi="Verdana" w:cs="Arial"/>
          <w:color w:val="000000"/>
          <w:sz w:val="16"/>
          <w:szCs w:val="17"/>
        </w:rPr>
        <w:t xml:space="preserve">Abbreviation: ACIP - </w:t>
      </w:r>
      <w:hyperlink r:id="rId16" w:history="1">
        <w:r w:rsidRPr="00E80D97">
          <w:rPr>
            <w:rStyle w:val="Hyperlink"/>
            <w:rFonts w:ascii="Verdana" w:hAnsi="Verdana" w:cs="Arial"/>
            <w:sz w:val="16"/>
            <w:szCs w:val="17"/>
          </w:rPr>
          <w:t>Advisory Committee on Immunization Practices</w:t>
        </w:r>
      </w:hyperlink>
      <w:r w:rsidRPr="00E80D97">
        <w:rPr>
          <w:rFonts w:ascii="Verdana" w:hAnsi="Verdana" w:cs="Arial"/>
          <w:color w:val="000000"/>
          <w:sz w:val="16"/>
          <w:szCs w:val="17"/>
        </w:rPr>
        <w:t xml:space="preserve"> </w:t>
      </w:r>
    </w:p>
    <w:p w:rsidR="00C25427" w:rsidRPr="00E80D97" w:rsidRDefault="00C25427" w:rsidP="00C25427">
      <w:pPr>
        <w:spacing w:after="0" w:line="240" w:lineRule="auto"/>
        <w:rPr>
          <w:rFonts w:ascii="Verdana" w:hAnsi="Verdana" w:cs="Arial"/>
          <w:color w:val="000000"/>
          <w:sz w:val="14"/>
          <w:szCs w:val="17"/>
        </w:rPr>
      </w:pPr>
      <w:bookmarkStart w:id="1" w:name="note1"/>
      <w:bookmarkEnd w:id="1"/>
      <w:r w:rsidRPr="00E80D97">
        <w:rPr>
          <w:rStyle w:val="Strong"/>
          <w:rFonts w:ascii="Verdana" w:hAnsi="Verdana" w:cs="Arial"/>
          <w:color w:val="000000"/>
          <w:sz w:val="14"/>
          <w:szCs w:val="17"/>
        </w:rPr>
        <w:t>Note 1:</w:t>
      </w:r>
      <w:r w:rsidRPr="00E80D97">
        <w:rPr>
          <w:rFonts w:ascii="Verdana" w:hAnsi="Verdana" w:cs="Arial"/>
          <w:color w:val="000000"/>
          <w:sz w:val="14"/>
          <w:szCs w:val="17"/>
        </w:rPr>
        <w:t xml:space="preserve"> Fully vaccinated is defined as 5 doses of </w:t>
      </w:r>
      <w:proofErr w:type="spellStart"/>
      <w:r w:rsidRPr="00E80D97">
        <w:rPr>
          <w:rFonts w:ascii="Verdana" w:hAnsi="Verdana" w:cs="Arial"/>
          <w:color w:val="000000"/>
          <w:sz w:val="14"/>
          <w:szCs w:val="17"/>
        </w:rPr>
        <w:t>DTaP</w:t>
      </w:r>
      <w:proofErr w:type="spellEnd"/>
      <w:r w:rsidRPr="00E80D97">
        <w:rPr>
          <w:rFonts w:ascii="Verdana" w:hAnsi="Verdana" w:cs="Arial"/>
          <w:color w:val="000000"/>
          <w:sz w:val="14"/>
          <w:szCs w:val="17"/>
        </w:rPr>
        <w:t xml:space="preserve"> or 4 doses of </w:t>
      </w:r>
      <w:proofErr w:type="spellStart"/>
      <w:r w:rsidRPr="00E80D97">
        <w:rPr>
          <w:rFonts w:ascii="Verdana" w:hAnsi="Verdana" w:cs="Arial"/>
          <w:color w:val="000000"/>
          <w:sz w:val="14"/>
          <w:szCs w:val="17"/>
        </w:rPr>
        <w:t>DTaP</w:t>
      </w:r>
      <w:proofErr w:type="spellEnd"/>
      <w:r w:rsidRPr="00E80D97">
        <w:rPr>
          <w:rFonts w:ascii="Verdana" w:hAnsi="Verdana" w:cs="Arial"/>
          <w:color w:val="000000"/>
          <w:sz w:val="14"/>
          <w:szCs w:val="17"/>
        </w:rPr>
        <w:t xml:space="preserve"> if the fourth dose was administered on or after the fourth birthday. </w:t>
      </w:r>
    </w:p>
    <w:p w:rsidR="00C25427" w:rsidRPr="00E80D97" w:rsidRDefault="00C25427" w:rsidP="00C25427">
      <w:pPr>
        <w:spacing w:after="0" w:line="240" w:lineRule="auto"/>
        <w:rPr>
          <w:rFonts w:ascii="Verdana" w:hAnsi="Verdana" w:cs="Arial"/>
          <w:color w:val="000000"/>
          <w:sz w:val="14"/>
          <w:szCs w:val="17"/>
        </w:rPr>
      </w:pPr>
      <w:bookmarkStart w:id="2" w:name="note2"/>
      <w:bookmarkEnd w:id="2"/>
      <w:r w:rsidRPr="00E80D97">
        <w:rPr>
          <w:rStyle w:val="Strong"/>
          <w:rFonts w:ascii="Verdana" w:hAnsi="Verdana" w:cs="Arial"/>
          <w:color w:val="000000"/>
          <w:sz w:val="14"/>
          <w:szCs w:val="17"/>
        </w:rPr>
        <w:t xml:space="preserve">Note 2: </w:t>
      </w:r>
      <w:r w:rsidRPr="00E80D97">
        <w:rPr>
          <w:rFonts w:ascii="Verdana" w:hAnsi="Verdana" w:cs="Arial"/>
          <w:color w:val="000000"/>
          <w:sz w:val="14"/>
          <w:szCs w:val="17"/>
        </w:rPr>
        <w:t xml:space="preserve">Health care personnel include but are not limited to physicians, other primary care providers, nurses, aides, respiratory therapists, radiology technicians, students (e.g., medical, nursing, and pharmaceutical), dentists, social workers, chaplains, volunteers, and dietary and clerical workers. For more detailed information, see </w:t>
      </w:r>
      <w:bookmarkStart w:id="3" w:name="rec"/>
      <w:bookmarkEnd w:id="3"/>
      <w:r w:rsidRPr="00E80D97">
        <w:rPr>
          <w:rFonts w:ascii="Verdana" w:hAnsi="Verdana" w:cs="Arial"/>
          <w:color w:val="000000"/>
          <w:sz w:val="14"/>
          <w:szCs w:val="17"/>
        </w:rPr>
        <w:fldChar w:fldCharType="begin"/>
      </w:r>
      <w:r w:rsidRPr="00E80D97">
        <w:rPr>
          <w:rFonts w:ascii="Verdana" w:hAnsi="Verdana" w:cs="Arial"/>
          <w:color w:val="000000"/>
          <w:sz w:val="14"/>
          <w:szCs w:val="17"/>
        </w:rPr>
        <w:instrText xml:space="preserve"> HYPERLINK "http://www.cdc.gov/mmwr/preview/mmwrhtml/00050577.htm" </w:instrText>
      </w:r>
      <w:r w:rsidRPr="00E80D97">
        <w:rPr>
          <w:rFonts w:ascii="Verdana" w:hAnsi="Verdana" w:cs="Arial"/>
          <w:color w:val="000000"/>
          <w:sz w:val="14"/>
          <w:szCs w:val="17"/>
        </w:rPr>
        <w:fldChar w:fldCharType="separate"/>
      </w:r>
      <w:r w:rsidRPr="00E80D97">
        <w:rPr>
          <w:rStyle w:val="Hyperlink"/>
          <w:rFonts w:ascii="Verdana" w:hAnsi="Verdana" w:cs="Arial"/>
          <w:sz w:val="14"/>
          <w:szCs w:val="17"/>
        </w:rPr>
        <w:t>Immunization of Health-Care Workers: Recommendations of the Advisory Committee for Immunization Practices (ACIP) and the Hospital Infection Control Practices Advisory Committee (HICPAC)</w:t>
      </w:r>
      <w:r w:rsidRPr="00E80D97">
        <w:rPr>
          <w:rFonts w:ascii="Verdana" w:hAnsi="Verdana" w:cs="Arial"/>
          <w:color w:val="000000"/>
          <w:sz w:val="14"/>
          <w:szCs w:val="17"/>
        </w:rPr>
        <w:fldChar w:fldCharType="end"/>
      </w:r>
      <w:r w:rsidRPr="00E80D97">
        <w:rPr>
          <w:rFonts w:ascii="Verdana" w:hAnsi="Verdana" w:cs="Arial"/>
          <w:color w:val="000000"/>
          <w:sz w:val="14"/>
          <w:szCs w:val="17"/>
        </w:rPr>
        <w:t xml:space="preserve">. </w:t>
      </w:r>
    </w:p>
    <w:p w:rsidR="00A202B3" w:rsidRPr="00585CA7" w:rsidRDefault="00A202B3" w:rsidP="00585CA7">
      <w:pPr>
        <w:rPr>
          <w:rFonts w:ascii="Georgia" w:eastAsia="Times New Roman" w:hAnsi="Georgia" w:cs="Times New Roman"/>
          <w:b/>
          <w:bCs/>
          <w:color w:val="000000"/>
          <w:sz w:val="28"/>
          <w:szCs w:val="28"/>
        </w:rPr>
      </w:pPr>
    </w:p>
    <w:sectPr w:rsidR="00A202B3" w:rsidRPr="00585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73C4"/>
    <w:multiLevelType w:val="hybridMultilevel"/>
    <w:tmpl w:val="C810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3015D"/>
    <w:multiLevelType w:val="hybridMultilevel"/>
    <w:tmpl w:val="094889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BF0314"/>
    <w:multiLevelType w:val="hybridMultilevel"/>
    <w:tmpl w:val="A29A6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91696"/>
    <w:multiLevelType w:val="hybridMultilevel"/>
    <w:tmpl w:val="35FC70A6"/>
    <w:lvl w:ilvl="0" w:tplc="EB4673BA">
      <w:start w:val="3"/>
      <w:numFmt w:val="bullet"/>
      <w:lvlText w:val="-"/>
      <w:lvlJc w:val="left"/>
      <w:pPr>
        <w:ind w:left="435" w:hanging="360"/>
      </w:pPr>
      <w:rPr>
        <w:rFonts w:ascii="Georgia" w:eastAsia="Times New Roman" w:hAnsi="Georgia"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596423A2"/>
    <w:multiLevelType w:val="hybridMultilevel"/>
    <w:tmpl w:val="E58482B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5">
    <w:nsid w:val="6BB70930"/>
    <w:multiLevelType w:val="multilevel"/>
    <w:tmpl w:val="2AA4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9D0562"/>
    <w:multiLevelType w:val="hybridMultilevel"/>
    <w:tmpl w:val="49886292"/>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F8"/>
    <w:rsid w:val="000005C7"/>
    <w:rsid w:val="0027138D"/>
    <w:rsid w:val="002D1FE8"/>
    <w:rsid w:val="0030615D"/>
    <w:rsid w:val="003F5BFC"/>
    <w:rsid w:val="003F67D4"/>
    <w:rsid w:val="00441C3F"/>
    <w:rsid w:val="005509A9"/>
    <w:rsid w:val="00585CA7"/>
    <w:rsid w:val="005C57C1"/>
    <w:rsid w:val="005D4878"/>
    <w:rsid w:val="00742B4C"/>
    <w:rsid w:val="0075482B"/>
    <w:rsid w:val="007641D2"/>
    <w:rsid w:val="00773D73"/>
    <w:rsid w:val="008815F8"/>
    <w:rsid w:val="008A4292"/>
    <w:rsid w:val="008C5A3F"/>
    <w:rsid w:val="00982FF6"/>
    <w:rsid w:val="00A202B3"/>
    <w:rsid w:val="00A649F3"/>
    <w:rsid w:val="00C0081F"/>
    <w:rsid w:val="00C25427"/>
    <w:rsid w:val="00FE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15F8"/>
    <w:pPr>
      <w:spacing w:before="100" w:beforeAutospacing="1" w:after="96" w:line="280" w:lineRule="atLeast"/>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15F8"/>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8815F8"/>
    <w:rPr>
      <w:color w:val="3366CC"/>
      <w:u w:val="single"/>
    </w:rPr>
  </w:style>
  <w:style w:type="character" w:styleId="Emphasis">
    <w:name w:val="Emphasis"/>
    <w:basedOn w:val="DefaultParagraphFont"/>
    <w:uiPriority w:val="20"/>
    <w:qFormat/>
    <w:rsid w:val="008815F8"/>
    <w:rPr>
      <w:i/>
      <w:iCs/>
    </w:rPr>
  </w:style>
  <w:style w:type="character" w:styleId="CommentReference">
    <w:name w:val="annotation reference"/>
    <w:basedOn w:val="DefaultParagraphFont"/>
    <w:uiPriority w:val="99"/>
    <w:semiHidden/>
    <w:unhideWhenUsed/>
    <w:rsid w:val="002D1FE8"/>
    <w:rPr>
      <w:sz w:val="16"/>
      <w:szCs w:val="16"/>
    </w:rPr>
  </w:style>
  <w:style w:type="paragraph" w:styleId="CommentText">
    <w:name w:val="annotation text"/>
    <w:basedOn w:val="Normal"/>
    <w:link w:val="CommentTextChar"/>
    <w:uiPriority w:val="99"/>
    <w:semiHidden/>
    <w:unhideWhenUsed/>
    <w:rsid w:val="002D1FE8"/>
    <w:pPr>
      <w:spacing w:line="240" w:lineRule="auto"/>
    </w:pPr>
    <w:rPr>
      <w:sz w:val="20"/>
      <w:szCs w:val="20"/>
    </w:rPr>
  </w:style>
  <w:style w:type="character" w:customStyle="1" w:styleId="CommentTextChar">
    <w:name w:val="Comment Text Char"/>
    <w:basedOn w:val="DefaultParagraphFont"/>
    <w:link w:val="CommentText"/>
    <w:uiPriority w:val="99"/>
    <w:semiHidden/>
    <w:rsid w:val="002D1FE8"/>
    <w:rPr>
      <w:sz w:val="20"/>
      <w:szCs w:val="20"/>
    </w:rPr>
  </w:style>
  <w:style w:type="paragraph" w:styleId="CommentSubject">
    <w:name w:val="annotation subject"/>
    <w:basedOn w:val="CommentText"/>
    <w:next w:val="CommentText"/>
    <w:link w:val="CommentSubjectChar"/>
    <w:uiPriority w:val="99"/>
    <w:semiHidden/>
    <w:unhideWhenUsed/>
    <w:rsid w:val="002D1FE8"/>
    <w:rPr>
      <w:b/>
      <w:bCs/>
    </w:rPr>
  </w:style>
  <w:style w:type="character" w:customStyle="1" w:styleId="CommentSubjectChar">
    <w:name w:val="Comment Subject Char"/>
    <w:basedOn w:val="CommentTextChar"/>
    <w:link w:val="CommentSubject"/>
    <w:uiPriority w:val="99"/>
    <w:semiHidden/>
    <w:rsid w:val="002D1FE8"/>
    <w:rPr>
      <w:b/>
      <w:bCs/>
      <w:sz w:val="20"/>
      <w:szCs w:val="20"/>
    </w:rPr>
  </w:style>
  <w:style w:type="paragraph" w:styleId="BalloonText">
    <w:name w:val="Balloon Text"/>
    <w:basedOn w:val="Normal"/>
    <w:link w:val="BalloonTextChar"/>
    <w:uiPriority w:val="99"/>
    <w:semiHidden/>
    <w:unhideWhenUsed/>
    <w:rsid w:val="002D1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FE8"/>
    <w:rPr>
      <w:rFonts w:ascii="Tahoma" w:hAnsi="Tahoma" w:cs="Tahoma"/>
      <w:sz w:val="16"/>
      <w:szCs w:val="16"/>
    </w:rPr>
  </w:style>
  <w:style w:type="paragraph" w:styleId="ListParagraph">
    <w:name w:val="List Paragraph"/>
    <w:basedOn w:val="Normal"/>
    <w:uiPriority w:val="34"/>
    <w:qFormat/>
    <w:rsid w:val="005D4878"/>
    <w:pPr>
      <w:ind w:left="720"/>
      <w:contextualSpacing/>
    </w:pPr>
  </w:style>
  <w:style w:type="paragraph" w:customStyle="1" w:styleId="Default">
    <w:name w:val="Default"/>
    <w:rsid w:val="005D4878"/>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5">
    <w:name w:val="Pa5"/>
    <w:basedOn w:val="Default"/>
    <w:next w:val="Default"/>
    <w:uiPriority w:val="99"/>
    <w:rsid w:val="005D4878"/>
    <w:pPr>
      <w:spacing w:line="321" w:lineRule="atLeast"/>
    </w:pPr>
    <w:rPr>
      <w:rFonts w:cstheme="minorBidi"/>
      <w:color w:val="auto"/>
    </w:rPr>
  </w:style>
  <w:style w:type="character" w:styleId="Strong">
    <w:name w:val="Strong"/>
    <w:basedOn w:val="DefaultParagraphFont"/>
    <w:uiPriority w:val="22"/>
    <w:qFormat/>
    <w:rsid w:val="00C25427"/>
    <w:rPr>
      <w:b/>
      <w:bCs/>
    </w:rPr>
  </w:style>
  <w:style w:type="character" w:customStyle="1" w:styleId="moreinfo1">
    <w:name w:val="more_info1"/>
    <w:basedOn w:val="DefaultParagraphFont"/>
    <w:rsid w:val="00C25427"/>
    <w:rPr>
      <w:b w:val="0"/>
      <w:bCs w:val="0"/>
      <w:color w:val="999999"/>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15F8"/>
    <w:pPr>
      <w:spacing w:before="100" w:beforeAutospacing="1" w:after="96" w:line="280" w:lineRule="atLeast"/>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15F8"/>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8815F8"/>
    <w:rPr>
      <w:color w:val="3366CC"/>
      <w:u w:val="single"/>
    </w:rPr>
  </w:style>
  <w:style w:type="character" w:styleId="Emphasis">
    <w:name w:val="Emphasis"/>
    <w:basedOn w:val="DefaultParagraphFont"/>
    <w:uiPriority w:val="20"/>
    <w:qFormat/>
    <w:rsid w:val="008815F8"/>
    <w:rPr>
      <w:i/>
      <w:iCs/>
    </w:rPr>
  </w:style>
  <w:style w:type="character" w:styleId="CommentReference">
    <w:name w:val="annotation reference"/>
    <w:basedOn w:val="DefaultParagraphFont"/>
    <w:uiPriority w:val="99"/>
    <w:semiHidden/>
    <w:unhideWhenUsed/>
    <w:rsid w:val="002D1FE8"/>
    <w:rPr>
      <w:sz w:val="16"/>
      <w:szCs w:val="16"/>
    </w:rPr>
  </w:style>
  <w:style w:type="paragraph" w:styleId="CommentText">
    <w:name w:val="annotation text"/>
    <w:basedOn w:val="Normal"/>
    <w:link w:val="CommentTextChar"/>
    <w:uiPriority w:val="99"/>
    <w:semiHidden/>
    <w:unhideWhenUsed/>
    <w:rsid w:val="002D1FE8"/>
    <w:pPr>
      <w:spacing w:line="240" w:lineRule="auto"/>
    </w:pPr>
    <w:rPr>
      <w:sz w:val="20"/>
      <w:szCs w:val="20"/>
    </w:rPr>
  </w:style>
  <w:style w:type="character" w:customStyle="1" w:styleId="CommentTextChar">
    <w:name w:val="Comment Text Char"/>
    <w:basedOn w:val="DefaultParagraphFont"/>
    <w:link w:val="CommentText"/>
    <w:uiPriority w:val="99"/>
    <w:semiHidden/>
    <w:rsid w:val="002D1FE8"/>
    <w:rPr>
      <w:sz w:val="20"/>
      <w:szCs w:val="20"/>
    </w:rPr>
  </w:style>
  <w:style w:type="paragraph" w:styleId="CommentSubject">
    <w:name w:val="annotation subject"/>
    <w:basedOn w:val="CommentText"/>
    <w:next w:val="CommentText"/>
    <w:link w:val="CommentSubjectChar"/>
    <w:uiPriority w:val="99"/>
    <w:semiHidden/>
    <w:unhideWhenUsed/>
    <w:rsid w:val="002D1FE8"/>
    <w:rPr>
      <w:b/>
      <w:bCs/>
    </w:rPr>
  </w:style>
  <w:style w:type="character" w:customStyle="1" w:styleId="CommentSubjectChar">
    <w:name w:val="Comment Subject Char"/>
    <w:basedOn w:val="CommentTextChar"/>
    <w:link w:val="CommentSubject"/>
    <w:uiPriority w:val="99"/>
    <w:semiHidden/>
    <w:rsid w:val="002D1FE8"/>
    <w:rPr>
      <w:b/>
      <w:bCs/>
      <w:sz w:val="20"/>
      <w:szCs w:val="20"/>
    </w:rPr>
  </w:style>
  <w:style w:type="paragraph" w:styleId="BalloonText">
    <w:name w:val="Balloon Text"/>
    <w:basedOn w:val="Normal"/>
    <w:link w:val="BalloonTextChar"/>
    <w:uiPriority w:val="99"/>
    <w:semiHidden/>
    <w:unhideWhenUsed/>
    <w:rsid w:val="002D1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FE8"/>
    <w:rPr>
      <w:rFonts w:ascii="Tahoma" w:hAnsi="Tahoma" w:cs="Tahoma"/>
      <w:sz w:val="16"/>
      <w:szCs w:val="16"/>
    </w:rPr>
  </w:style>
  <w:style w:type="paragraph" w:styleId="ListParagraph">
    <w:name w:val="List Paragraph"/>
    <w:basedOn w:val="Normal"/>
    <w:uiPriority w:val="34"/>
    <w:qFormat/>
    <w:rsid w:val="005D4878"/>
    <w:pPr>
      <w:ind w:left="720"/>
      <w:contextualSpacing/>
    </w:pPr>
  </w:style>
  <w:style w:type="paragraph" w:customStyle="1" w:styleId="Default">
    <w:name w:val="Default"/>
    <w:rsid w:val="005D4878"/>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5">
    <w:name w:val="Pa5"/>
    <w:basedOn w:val="Default"/>
    <w:next w:val="Default"/>
    <w:uiPriority w:val="99"/>
    <w:rsid w:val="005D4878"/>
    <w:pPr>
      <w:spacing w:line="321" w:lineRule="atLeast"/>
    </w:pPr>
    <w:rPr>
      <w:rFonts w:cstheme="minorBidi"/>
      <w:color w:val="auto"/>
    </w:rPr>
  </w:style>
  <w:style w:type="character" w:styleId="Strong">
    <w:name w:val="Strong"/>
    <w:basedOn w:val="DefaultParagraphFont"/>
    <w:uiPriority w:val="22"/>
    <w:qFormat/>
    <w:rsid w:val="00C25427"/>
    <w:rPr>
      <w:b/>
      <w:bCs/>
    </w:rPr>
  </w:style>
  <w:style w:type="character" w:customStyle="1" w:styleId="moreinfo1">
    <w:name w:val="more_info1"/>
    <w:basedOn w:val="DefaultParagraphFont"/>
    <w:rsid w:val="00C25427"/>
    <w:rPr>
      <w:b w:val="0"/>
      <w:bCs w:val="0"/>
      <w:color w:val="99999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2705">
      <w:bodyDiv w:val="1"/>
      <w:marLeft w:val="0"/>
      <w:marRight w:val="0"/>
      <w:marTop w:val="0"/>
      <w:marBottom w:val="0"/>
      <w:divBdr>
        <w:top w:val="none" w:sz="0" w:space="0" w:color="auto"/>
        <w:left w:val="none" w:sz="0" w:space="0" w:color="auto"/>
        <w:bottom w:val="none" w:sz="0" w:space="0" w:color="auto"/>
        <w:right w:val="none" w:sz="0" w:space="0" w:color="auto"/>
      </w:divBdr>
    </w:div>
    <w:div w:id="1139151162">
      <w:bodyDiv w:val="1"/>
      <w:marLeft w:val="4"/>
      <w:marRight w:val="4"/>
      <w:marTop w:val="4"/>
      <w:marBottom w:val="4"/>
      <w:divBdr>
        <w:top w:val="none" w:sz="0" w:space="0" w:color="auto"/>
        <w:left w:val="none" w:sz="0" w:space="0" w:color="auto"/>
        <w:bottom w:val="none" w:sz="0" w:space="0" w:color="auto"/>
        <w:right w:val="none" w:sz="0" w:space="0" w:color="auto"/>
      </w:divBdr>
      <w:divsChild>
        <w:div w:id="601957977">
          <w:marLeft w:val="0"/>
          <w:marRight w:val="0"/>
          <w:marTop w:val="0"/>
          <w:marBottom w:val="0"/>
          <w:divBdr>
            <w:top w:val="none" w:sz="0" w:space="0" w:color="auto"/>
            <w:left w:val="none" w:sz="0" w:space="0" w:color="auto"/>
            <w:bottom w:val="none" w:sz="0" w:space="0" w:color="auto"/>
            <w:right w:val="none" w:sz="0" w:space="0" w:color="auto"/>
          </w:divBdr>
          <w:divsChild>
            <w:div w:id="1485660771">
              <w:marLeft w:val="0"/>
              <w:marRight w:val="0"/>
              <w:marTop w:val="0"/>
              <w:marBottom w:val="0"/>
              <w:divBdr>
                <w:top w:val="none" w:sz="0" w:space="0" w:color="auto"/>
                <w:left w:val="none" w:sz="0" w:space="0" w:color="auto"/>
                <w:bottom w:val="none" w:sz="0" w:space="0" w:color="auto"/>
                <w:right w:val="none" w:sz="0" w:space="0" w:color="auto"/>
              </w:divBdr>
              <w:divsChild>
                <w:div w:id="854079681">
                  <w:marLeft w:val="0"/>
                  <w:marRight w:val="0"/>
                  <w:marTop w:val="0"/>
                  <w:marBottom w:val="180"/>
                  <w:divBdr>
                    <w:top w:val="none" w:sz="0" w:space="0" w:color="auto"/>
                    <w:left w:val="none" w:sz="0" w:space="0" w:color="auto"/>
                    <w:bottom w:val="none" w:sz="0" w:space="0" w:color="auto"/>
                    <w:right w:val="none" w:sz="0" w:space="0" w:color="auto"/>
                  </w:divBdr>
                  <w:divsChild>
                    <w:div w:id="2141989896">
                      <w:marLeft w:val="0"/>
                      <w:marRight w:val="0"/>
                      <w:marTop w:val="0"/>
                      <w:marBottom w:val="0"/>
                      <w:divBdr>
                        <w:top w:val="none" w:sz="0" w:space="0" w:color="auto"/>
                        <w:left w:val="none" w:sz="0" w:space="0" w:color="auto"/>
                        <w:bottom w:val="none" w:sz="0" w:space="0" w:color="auto"/>
                        <w:right w:val="none" w:sz="0" w:space="0" w:color="auto"/>
                      </w:divBdr>
                      <w:divsChild>
                        <w:div w:id="268196850">
                          <w:marLeft w:val="0"/>
                          <w:marRight w:val="0"/>
                          <w:marTop w:val="150"/>
                          <w:marBottom w:val="0"/>
                          <w:divBdr>
                            <w:top w:val="none" w:sz="0" w:space="0" w:color="auto"/>
                            <w:left w:val="none" w:sz="0" w:space="0" w:color="auto"/>
                            <w:bottom w:val="none" w:sz="0" w:space="0" w:color="auto"/>
                            <w:right w:val="none" w:sz="0" w:space="0" w:color="auto"/>
                          </w:divBdr>
                          <w:divsChild>
                            <w:div w:id="2069961403">
                              <w:marLeft w:val="0"/>
                              <w:marRight w:val="0"/>
                              <w:marTop w:val="0"/>
                              <w:marBottom w:val="0"/>
                              <w:divBdr>
                                <w:top w:val="none" w:sz="0" w:space="0" w:color="auto"/>
                                <w:left w:val="none" w:sz="0" w:space="0" w:color="auto"/>
                                <w:bottom w:val="none" w:sz="0" w:space="0" w:color="auto"/>
                                <w:right w:val="none" w:sz="0" w:space="0" w:color="auto"/>
                              </w:divBdr>
                              <w:divsChild>
                                <w:div w:id="1109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504359">
      <w:bodyDiv w:val="1"/>
      <w:marLeft w:val="0"/>
      <w:marRight w:val="0"/>
      <w:marTop w:val="0"/>
      <w:marBottom w:val="0"/>
      <w:divBdr>
        <w:top w:val="none" w:sz="0" w:space="0" w:color="auto"/>
        <w:left w:val="none" w:sz="0" w:space="0" w:color="auto"/>
        <w:bottom w:val="none" w:sz="0" w:space="0" w:color="auto"/>
        <w:right w:val="none" w:sz="0" w:space="0" w:color="auto"/>
      </w:divBdr>
      <w:divsChild>
        <w:div w:id="1907451264">
          <w:marLeft w:val="0"/>
          <w:marRight w:val="0"/>
          <w:marTop w:val="0"/>
          <w:marBottom w:val="0"/>
          <w:divBdr>
            <w:top w:val="none" w:sz="0" w:space="0" w:color="auto"/>
            <w:left w:val="none" w:sz="0" w:space="0" w:color="auto"/>
            <w:bottom w:val="none" w:sz="0" w:space="0" w:color="auto"/>
            <w:right w:val="none" w:sz="0" w:space="0" w:color="auto"/>
          </w:divBdr>
        </w:div>
      </w:divsChild>
    </w:div>
    <w:div w:id="1881357583">
      <w:bodyDiv w:val="1"/>
      <w:marLeft w:val="0"/>
      <w:marRight w:val="0"/>
      <w:marTop w:val="0"/>
      <w:marBottom w:val="0"/>
      <w:divBdr>
        <w:top w:val="none" w:sz="0" w:space="0" w:color="auto"/>
        <w:left w:val="none" w:sz="0" w:space="0" w:color="auto"/>
        <w:bottom w:val="none" w:sz="0" w:space="0" w:color="auto"/>
        <w:right w:val="none" w:sz="0" w:space="0" w:color="auto"/>
      </w:divBdr>
    </w:div>
    <w:div w:id="2144811788">
      <w:bodyDiv w:val="1"/>
      <w:marLeft w:val="4"/>
      <w:marRight w:val="4"/>
      <w:marTop w:val="4"/>
      <w:marBottom w:val="4"/>
      <w:divBdr>
        <w:top w:val="none" w:sz="0" w:space="0" w:color="auto"/>
        <w:left w:val="none" w:sz="0" w:space="0" w:color="auto"/>
        <w:bottom w:val="none" w:sz="0" w:space="0" w:color="auto"/>
        <w:right w:val="none" w:sz="0" w:space="0" w:color="auto"/>
      </w:divBdr>
      <w:divsChild>
        <w:div w:id="1869491860">
          <w:marLeft w:val="0"/>
          <w:marRight w:val="0"/>
          <w:marTop w:val="0"/>
          <w:marBottom w:val="0"/>
          <w:divBdr>
            <w:top w:val="none" w:sz="0" w:space="0" w:color="auto"/>
            <w:left w:val="none" w:sz="0" w:space="0" w:color="auto"/>
            <w:bottom w:val="none" w:sz="0" w:space="0" w:color="auto"/>
            <w:right w:val="none" w:sz="0" w:space="0" w:color="auto"/>
          </w:divBdr>
          <w:divsChild>
            <w:div w:id="1250579802">
              <w:marLeft w:val="0"/>
              <w:marRight w:val="0"/>
              <w:marTop w:val="0"/>
              <w:marBottom w:val="0"/>
              <w:divBdr>
                <w:top w:val="none" w:sz="0" w:space="0" w:color="auto"/>
                <w:left w:val="none" w:sz="0" w:space="0" w:color="auto"/>
                <w:bottom w:val="none" w:sz="0" w:space="0" w:color="auto"/>
                <w:right w:val="none" w:sz="0" w:space="0" w:color="auto"/>
              </w:divBdr>
              <w:divsChild>
                <w:div w:id="456870962">
                  <w:marLeft w:val="0"/>
                  <w:marRight w:val="0"/>
                  <w:marTop w:val="0"/>
                  <w:marBottom w:val="180"/>
                  <w:divBdr>
                    <w:top w:val="none" w:sz="0" w:space="0" w:color="auto"/>
                    <w:left w:val="none" w:sz="0" w:space="0" w:color="auto"/>
                    <w:bottom w:val="none" w:sz="0" w:space="0" w:color="auto"/>
                    <w:right w:val="none" w:sz="0" w:space="0" w:color="auto"/>
                  </w:divBdr>
                  <w:divsChild>
                    <w:div w:id="1542939802">
                      <w:marLeft w:val="0"/>
                      <w:marRight w:val="0"/>
                      <w:marTop w:val="0"/>
                      <w:marBottom w:val="0"/>
                      <w:divBdr>
                        <w:top w:val="none" w:sz="0" w:space="0" w:color="auto"/>
                        <w:left w:val="none" w:sz="0" w:space="0" w:color="auto"/>
                        <w:bottom w:val="none" w:sz="0" w:space="0" w:color="auto"/>
                        <w:right w:val="none" w:sz="0" w:space="0" w:color="auto"/>
                      </w:divBdr>
                      <w:divsChild>
                        <w:div w:id="1625237486">
                          <w:marLeft w:val="0"/>
                          <w:marRight w:val="0"/>
                          <w:marTop w:val="150"/>
                          <w:marBottom w:val="0"/>
                          <w:divBdr>
                            <w:top w:val="none" w:sz="0" w:space="0" w:color="auto"/>
                            <w:left w:val="none" w:sz="0" w:space="0" w:color="auto"/>
                            <w:bottom w:val="none" w:sz="0" w:space="0" w:color="auto"/>
                            <w:right w:val="none" w:sz="0" w:space="0" w:color="auto"/>
                          </w:divBdr>
                          <w:divsChild>
                            <w:div w:id="2107923745">
                              <w:marLeft w:val="0"/>
                              <w:marRight w:val="0"/>
                              <w:marTop w:val="0"/>
                              <w:marBottom w:val="0"/>
                              <w:divBdr>
                                <w:top w:val="none" w:sz="0" w:space="0" w:color="auto"/>
                                <w:left w:val="none" w:sz="0" w:space="0" w:color="auto"/>
                                <w:bottom w:val="none" w:sz="0" w:space="0" w:color="auto"/>
                                <w:right w:val="none" w:sz="0" w:space="0" w:color="auto"/>
                              </w:divBdr>
                              <w:divsChild>
                                <w:div w:id="5083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vaccines/vpd-vac/pertussis/recs-summary.htm" TargetMode="External"/><Relationship Id="rId13" Type="http://schemas.openxmlformats.org/officeDocument/2006/relationships/hyperlink" Target="http://www.cdc.gov/mmwr/preview/mmwrhtml/rr5503a1.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cdc.gov/vaccines/vpd-vac/pertussis/recs-summary.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c.gov/vaccines/acip/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vaccines/schedules/hcp/child-adolescent.html" TargetMode="External"/><Relationship Id="rId5" Type="http://schemas.openxmlformats.org/officeDocument/2006/relationships/settings" Target="settings.xml"/><Relationship Id="rId15" Type="http://schemas.openxmlformats.org/officeDocument/2006/relationships/hyperlink" Target="http://www.cdc.gov/vaccines/vpd-vac/pertussis/recs-summary.htm" TargetMode="External"/><Relationship Id="rId10" Type="http://schemas.openxmlformats.org/officeDocument/2006/relationships/hyperlink" Target="http://www.cdc.gov/vaccines/vpd-vac/pertussis/recs-summary.htm" TargetMode="External"/><Relationship Id="rId4" Type="http://schemas.microsoft.com/office/2007/relationships/stylesWithEffects" Target="stylesWithEffects.xml"/><Relationship Id="rId9" Type="http://schemas.openxmlformats.org/officeDocument/2006/relationships/hyperlink" Target="http://www.cdc.gov/vaccines/vpd-vac/pertussis/recs-summary.htm" TargetMode="External"/><Relationship Id="rId14" Type="http://schemas.openxmlformats.org/officeDocument/2006/relationships/hyperlink" Target="http://www.cdc.gov/vaccines/schedules/hcp/child-adolesc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3940E-BEED-4E31-9F62-753238B7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Lauren.Ball</dc:creator>
  <cp:keywords/>
  <dc:description/>
  <cp:lastModifiedBy>Lauren.Ball</cp:lastModifiedBy>
  <cp:revision>3</cp:revision>
  <dcterms:created xsi:type="dcterms:W3CDTF">2012-12-04T15:07:00Z</dcterms:created>
  <dcterms:modified xsi:type="dcterms:W3CDTF">2012-12-04T15:09:00Z</dcterms:modified>
</cp:coreProperties>
</file>