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E32CAD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E32CAD" w:rsidRPr="00E32CAD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  <w:r>
        <w:rPr>
          <w:rFonts w:ascii="Calibri" w:hAnsi="Calibri"/>
        </w:rPr>
        <w:tab/>
      </w:r>
      <w:r w:rsidRPr="00E32CAD">
        <w:rPr>
          <w:rFonts w:ascii="Times New Roman" w:hAnsi="Times New Roman" w:cs="Times New Roman"/>
        </w:rPr>
        <w:t xml:space="preserve">TO: </w:t>
      </w:r>
      <w:r w:rsidRPr="00E32CAD">
        <w:rPr>
          <w:rFonts w:ascii="Times New Roman" w:hAnsi="Times New Roman" w:cs="Times New Roman"/>
        </w:rPr>
        <w:tab/>
        <w:t xml:space="preserve">     Maine Immunization Providers</w:t>
      </w:r>
    </w:p>
    <w:p w:rsidR="00E32CAD" w:rsidRPr="00E32CAD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</w:p>
    <w:p w:rsidR="00E32CAD" w:rsidRPr="00E32CAD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  <w:r w:rsidRPr="00E32CAD">
        <w:rPr>
          <w:rFonts w:ascii="Times New Roman" w:hAnsi="Times New Roman" w:cs="Times New Roman"/>
        </w:rPr>
        <w:tab/>
        <w:t xml:space="preserve">FROM:      Maine Immunization Program </w:t>
      </w:r>
    </w:p>
    <w:p w:rsidR="00E32CAD" w:rsidRPr="00E32CAD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</w:p>
    <w:p w:rsidR="00E32CAD" w:rsidRPr="00E32CAD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  <w:r w:rsidRPr="00E32CAD">
        <w:rPr>
          <w:rFonts w:ascii="Times New Roman" w:hAnsi="Times New Roman" w:cs="Times New Roman"/>
        </w:rPr>
        <w:tab/>
        <w:t xml:space="preserve">DATE:        July 8, 2013 </w:t>
      </w:r>
    </w:p>
    <w:p w:rsidR="00E32CAD" w:rsidRPr="00E32CAD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</w:p>
    <w:p w:rsidR="00E32CAD" w:rsidRPr="00E32CAD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  <w:r w:rsidRPr="00E32CAD">
        <w:rPr>
          <w:rFonts w:ascii="Times New Roman" w:hAnsi="Times New Roman" w:cs="Times New Roman"/>
        </w:rPr>
        <w:tab/>
        <w:t xml:space="preserve">SUBJECT:  New Guidance </w:t>
      </w:r>
      <w:r w:rsidR="00E506E1" w:rsidRPr="00E32CAD">
        <w:rPr>
          <w:rFonts w:ascii="Times New Roman" w:hAnsi="Times New Roman" w:cs="Times New Roman"/>
        </w:rPr>
        <w:t>regarding</w:t>
      </w:r>
      <w:r w:rsidRPr="00E32CAD">
        <w:rPr>
          <w:rFonts w:ascii="Times New Roman" w:hAnsi="Times New Roman" w:cs="Times New Roman"/>
        </w:rPr>
        <w:t xml:space="preserve"> </w:t>
      </w:r>
      <w:r w:rsidR="00E506E1" w:rsidRPr="00E32CAD">
        <w:rPr>
          <w:rFonts w:ascii="Times New Roman" w:hAnsi="Times New Roman" w:cs="Times New Roman"/>
        </w:rPr>
        <w:t>Measles</w:t>
      </w:r>
      <w:r w:rsidRPr="00E32CAD">
        <w:rPr>
          <w:rFonts w:ascii="Times New Roman" w:hAnsi="Times New Roman" w:cs="Times New Roman"/>
        </w:rPr>
        <w:t xml:space="preserve">, Mumps and Rubella Vaccination and Evidence of Immunity </w:t>
      </w:r>
    </w:p>
    <w:p w:rsidR="00E32CAD" w:rsidRPr="00E32CAD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E32CAD" w:rsidRPr="00E32CAD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E32CAD" w:rsidRPr="00E32CAD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  <w:r w:rsidRPr="00E32CAD">
        <w:rPr>
          <w:rFonts w:ascii="Times New Roman" w:hAnsi="Times New Roman" w:cs="Times New Roman"/>
        </w:rPr>
        <w:t xml:space="preserve">On October 24, 2012 the Advisory Committee on Immunization Practices (ACIP) adopted new revisions </w:t>
      </w:r>
    </w:p>
    <w:p w:rsidR="004567B0" w:rsidRDefault="00E506E1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Pr="00E32CAD">
        <w:rPr>
          <w:rFonts w:ascii="Times New Roman" w:hAnsi="Times New Roman" w:cs="Times New Roman"/>
        </w:rPr>
        <w:t>oncerning</w:t>
      </w:r>
      <w:proofErr w:type="gramEnd"/>
      <w:r w:rsidR="00E32CAD" w:rsidRPr="00E32CAD">
        <w:rPr>
          <w:rFonts w:ascii="Times New Roman" w:hAnsi="Times New Roman" w:cs="Times New Roman"/>
        </w:rPr>
        <w:t xml:space="preserve"> MMR </w:t>
      </w:r>
      <w:r>
        <w:rPr>
          <w:rFonts w:ascii="Times New Roman" w:hAnsi="Times New Roman" w:cs="Times New Roman"/>
        </w:rPr>
        <w:t>V</w:t>
      </w:r>
      <w:r w:rsidR="00E32CAD" w:rsidRPr="00E32CAD">
        <w:rPr>
          <w:rFonts w:ascii="Times New Roman" w:hAnsi="Times New Roman" w:cs="Times New Roman"/>
        </w:rPr>
        <w:t xml:space="preserve">accination and </w:t>
      </w:r>
      <w:r>
        <w:rPr>
          <w:rFonts w:ascii="Times New Roman" w:hAnsi="Times New Roman" w:cs="Times New Roman"/>
        </w:rPr>
        <w:t>E</w:t>
      </w:r>
      <w:r w:rsidR="00E32CAD" w:rsidRPr="00E32CAD">
        <w:rPr>
          <w:rFonts w:ascii="Times New Roman" w:hAnsi="Times New Roman" w:cs="Times New Roman"/>
        </w:rPr>
        <w:t xml:space="preserve">vidence of </w:t>
      </w:r>
      <w:r>
        <w:rPr>
          <w:rFonts w:ascii="Times New Roman" w:hAnsi="Times New Roman" w:cs="Times New Roman"/>
        </w:rPr>
        <w:t>I</w:t>
      </w:r>
      <w:r w:rsidR="00E32CAD" w:rsidRPr="00E32CAD">
        <w:rPr>
          <w:rFonts w:ascii="Times New Roman" w:hAnsi="Times New Roman" w:cs="Times New Roman"/>
        </w:rPr>
        <w:t xml:space="preserve">mmunity. </w:t>
      </w:r>
      <w:r>
        <w:rPr>
          <w:rFonts w:ascii="Times New Roman" w:hAnsi="Times New Roman" w:cs="Times New Roman"/>
        </w:rPr>
        <w:t xml:space="preserve">These </w:t>
      </w:r>
      <w:r w:rsidR="001279DD">
        <w:rPr>
          <w:rFonts w:ascii="Times New Roman" w:hAnsi="Times New Roman" w:cs="Times New Roman"/>
        </w:rPr>
        <w:t>recommendations</w:t>
      </w:r>
      <w:r>
        <w:rPr>
          <w:rFonts w:ascii="Times New Roman" w:hAnsi="Times New Roman" w:cs="Times New Roman"/>
        </w:rPr>
        <w:t xml:space="preserve"> were published for </w:t>
      </w:r>
    </w:p>
    <w:p w:rsidR="00E506E1" w:rsidRDefault="00E506E1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first time on June 14, 2013 in the Morbidity and </w:t>
      </w:r>
      <w:r w:rsidR="001279DD">
        <w:rPr>
          <w:rFonts w:ascii="Times New Roman" w:hAnsi="Times New Roman" w:cs="Times New Roman"/>
        </w:rPr>
        <w:t xml:space="preserve">Mortality </w:t>
      </w:r>
      <w:bookmarkStart w:id="0" w:name="_GoBack"/>
      <w:bookmarkEnd w:id="0"/>
      <w:r w:rsidR="001279DD">
        <w:rPr>
          <w:rFonts w:ascii="Times New Roman" w:hAnsi="Times New Roman" w:cs="Times New Roman"/>
        </w:rPr>
        <w:t>Weekly</w:t>
      </w:r>
      <w:r>
        <w:rPr>
          <w:rFonts w:ascii="Times New Roman" w:hAnsi="Times New Roman" w:cs="Times New Roman"/>
        </w:rPr>
        <w:t xml:space="preserve"> report. </w:t>
      </w:r>
    </w:p>
    <w:p w:rsidR="00E506E1" w:rsidRDefault="00E506E1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E32CAD" w:rsidRDefault="00E506E1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entire report can be accessed at </w:t>
      </w:r>
      <w:hyperlink r:id="rId9" w:history="1">
        <w:r w:rsidRPr="00FC7F7C">
          <w:rPr>
            <w:rStyle w:val="Hyperlink"/>
            <w:rFonts w:ascii="Times New Roman" w:hAnsi="Times New Roman" w:cs="Times New Roman"/>
          </w:rPr>
          <w:t>http://www.cdc.gov/mmwr/preview/mmwrhtml/rr6204a1.htm</w:t>
        </w:r>
      </w:hyperlink>
      <w:r w:rsidR="001279DD">
        <w:rPr>
          <w:rFonts w:ascii="Times New Roman" w:hAnsi="Times New Roman" w:cs="Times New Roman"/>
        </w:rPr>
        <w:t xml:space="preserve"> </w:t>
      </w:r>
    </w:p>
    <w:p w:rsidR="001279DD" w:rsidRDefault="001279D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1279DD" w:rsidRDefault="001279D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strongly suggested that you read the entire article since this letter only outlines </w:t>
      </w:r>
      <w:r w:rsidRPr="00673303">
        <w:rPr>
          <w:rFonts w:ascii="Times New Roman" w:hAnsi="Times New Roman" w:cs="Times New Roman"/>
          <w:b/>
        </w:rPr>
        <w:t>some</w:t>
      </w:r>
      <w:r>
        <w:rPr>
          <w:rFonts w:ascii="Times New Roman" w:hAnsi="Times New Roman" w:cs="Times New Roman"/>
        </w:rPr>
        <w:t xml:space="preserve"> of the new ACIP recommendations</w:t>
      </w:r>
    </w:p>
    <w:p w:rsidR="00E506E1" w:rsidRPr="00E32CAD" w:rsidRDefault="00E506E1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E32CAD" w:rsidRDefault="002608AB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279DD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 xml:space="preserve"> of the </w:t>
      </w:r>
      <w:r w:rsidR="00E32CAD" w:rsidRPr="00E32CAD">
        <w:rPr>
          <w:rFonts w:ascii="Times New Roman" w:hAnsi="Times New Roman" w:cs="Times New Roman"/>
        </w:rPr>
        <w:t xml:space="preserve">new </w:t>
      </w:r>
      <w:r w:rsidR="001279DD" w:rsidRPr="00E32CAD">
        <w:rPr>
          <w:rFonts w:ascii="Times New Roman" w:hAnsi="Times New Roman" w:cs="Times New Roman"/>
        </w:rPr>
        <w:t>recommendations</w:t>
      </w:r>
      <w:r w:rsidR="00E32CAD" w:rsidRPr="00E32CAD">
        <w:rPr>
          <w:rFonts w:ascii="Times New Roman" w:hAnsi="Times New Roman" w:cs="Times New Roman"/>
        </w:rPr>
        <w:t xml:space="preserve"> are as follows: </w:t>
      </w:r>
    </w:p>
    <w:p w:rsidR="00E32CAD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E32CAD" w:rsidRPr="00E506E1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  <w:b/>
        </w:rPr>
      </w:pPr>
      <w:r w:rsidRPr="00E506E1">
        <w:rPr>
          <w:rFonts w:ascii="Times New Roman" w:hAnsi="Times New Roman" w:cs="Times New Roman"/>
          <w:b/>
        </w:rPr>
        <w:t xml:space="preserve">Evidence of Immunity </w:t>
      </w:r>
      <w:r w:rsidR="00E506E1" w:rsidRPr="00E506E1">
        <w:rPr>
          <w:rFonts w:ascii="Times New Roman" w:hAnsi="Times New Roman" w:cs="Times New Roman"/>
          <w:b/>
        </w:rPr>
        <w:t xml:space="preserve">for Routine </w:t>
      </w:r>
      <w:r w:rsidR="001279DD">
        <w:rPr>
          <w:rFonts w:ascii="Times New Roman" w:hAnsi="Times New Roman" w:cs="Times New Roman"/>
          <w:b/>
        </w:rPr>
        <w:t>V</w:t>
      </w:r>
      <w:r w:rsidR="00E506E1" w:rsidRPr="00E506E1">
        <w:rPr>
          <w:rFonts w:ascii="Times New Roman" w:hAnsi="Times New Roman" w:cs="Times New Roman"/>
          <w:b/>
        </w:rPr>
        <w:t xml:space="preserve">accination </w:t>
      </w:r>
    </w:p>
    <w:p w:rsidR="002608AB" w:rsidRPr="002608AB" w:rsidRDefault="00E506E1" w:rsidP="002608A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 w:rsidRPr="002608AB">
        <w:rPr>
          <w:rFonts w:ascii="Times New Roman" w:hAnsi="Times New Roman" w:cs="Times New Roman"/>
          <w:color w:val="000000"/>
          <w:lang w:val="en"/>
        </w:rPr>
        <w:t xml:space="preserve">Vaccine doses with written documentation of the date of administration at age ≥12 months are the only doses considered to be valid. Self- reported doses and history of vaccination provided by a parent or other caregiver are not considered adequate evidence of immunity. </w:t>
      </w:r>
    </w:p>
    <w:p w:rsidR="002608AB" w:rsidRDefault="002608AB" w:rsidP="00E506E1">
      <w:p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</w:p>
    <w:p w:rsidR="00E506E1" w:rsidRPr="002608AB" w:rsidRDefault="002608AB" w:rsidP="002608A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T</w:t>
      </w:r>
      <w:r w:rsidR="00E506E1" w:rsidRPr="002608AB">
        <w:rPr>
          <w:rFonts w:ascii="Times New Roman" w:hAnsi="Times New Roman" w:cs="Times New Roman"/>
          <w:color w:val="000000"/>
          <w:lang w:val="en"/>
        </w:rPr>
        <w:t xml:space="preserve">he validity of clinical diagnosis of measles, rubella, and mumps is questionable and should not be considered in assessing evidence. </w:t>
      </w:r>
    </w:p>
    <w:p w:rsidR="00E506E1" w:rsidRDefault="00E506E1" w:rsidP="00E506E1">
      <w:p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</w:p>
    <w:p w:rsidR="00E506E1" w:rsidRPr="002608AB" w:rsidRDefault="00E506E1" w:rsidP="002608A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 w:rsidRPr="002608AB">
        <w:rPr>
          <w:rFonts w:ascii="Times New Roman" w:hAnsi="Times New Roman" w:cs="Times New Roman"/>
          <w:color w:val="000000"/>
          <w:lang w:val="en"/>
        </w:rPr>
        <w:t>Persons who do not have documentation of adequate vaccination or other acceptable evidence of immunity should be vaccinated.</w:t>
      </w:r>
    </w:p>
    <w:p w:rsidR="004567B0" w:rsidRDefault="004567B0" w:rsidP="004567B0">
      <w:pPr>
        <w:pStyle w:val="ListParagraph"/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b/>
          <w:color w:val="000000"/>
          <w:lang w:val="en"/>
        </w:rPr>
      </w:pPr>
    </w:p>
    <w:p w:rsidR="00E506E1" w:rsidRPr="002608AB" w:rsidRDefault="00E506E1" w:rsidP="002608A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b/>
          <w:color w:val="000000"/>
          <w:lang w:val="en"/>
        </w:rPr>
      </w:pPr>
      <w:r w:rsidRPr="002608AB">
        <w:rPr>
          <w:rFonts w:ascii="Times New Roman" w:hAnsi="Times New Roman" w:cs="Times New Roman"/>
          <w:b/>
          <w:color w:val="000000"/>
          <w:lang w:val="en"/>
        </w:rPr>
        <w:t xml:space="preserve">Documented age appropriate vaccination supersedes the results of subsequent serologic testing. </w:t>
      </w:r>
    </w:p>
    <w:p w:rsidR="002608AB" w:rsidRPr="002608AB" w:rsidRDefault="002608AB" w:rsidP="002608AB">
      <w:pPr>
        <w:pStyle w:val="ListParagraph"/>
        <w:rPr>
          <w:rFonts w:ascii="Times New Roman" w:hAnsi="Times New Roman"/>
          <w:color w:val="000000"/>
          <w:lang w:val="en"/>
        </w:rPr>
      </w:pPr>
    </w:p>
    <w:p w:rsidR="00E506E1" w:rsidRPr="002608AB" w:rsidRDefault="00E506E1" w:rsidP="002608A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before="120" w:after="120" w:line="319" w:lineRule="atLeast"/>
        <w:textAlignment w:val="auto"/>
        <w:rPr>
          <w:rFonts w:ascii="Times New Roman" w:hAnsi="Times New Roman"/>
          <w:color w:val="000000"/>
          <w:lang w:val="en"/>
        </w:rPr>
      </w:pPr>
      <w:r w:rsidRPr="002608AB">
        <w:rPr>
          <w:rFonts w:ascii="Times New Roman" w:hAnsi="Times New Roman"/>
          <w:color w:val="000000"/>
          <w:lang w:val="en"/>
        </w:rPr>
        <w:t>Post vaccination serologic testing to verify an immune response is not recommended</w:t>
      </w:r>
    </w:p>
    <w:p w:rsidR="002608AB" w:rsidRPr="002608AB" w:rsidRDefault="002608AB" w:rsidP="002608AB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="002608AB" w:rsidRPr="002608AB" w:rsidRDefault="00E506E1" w:rsidP="002608A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 w:rsidRPr="002608AB">
        <w:rPr>
          <w:rFonts w:ascii="Times New Roman" w:hAnsi="Times New Roman" w:cs="Times New Roman"/>
          <w:color w:val="000000"/>
          <w:lang w:val="en"/>
        </w:rPr>
        <w:t xml:space="preserve">If a person who has 2 documented doses of measles- or mumps-containing vaccines is tested serologically and is determined to have negative or equivocal measles or mumps titer results, it is </w:t>
      </w:r>
      <w:r w:rsidRPr="002608AB">
        <w:rPr>
          <w:rFonts w:ascii="Times New Roman" w:hAnsi="Times New Roman" w:cs="Times New Roman"/>
          <w:b/>
          <w:color w:val="000000"/>
          <w:lang w:val="en"/>
        </w:rPr>
        <w:t>not</w:t>
      </w:r>
      <w:r w:rsidRPr="002608AB">
        <w:rPr>
          <w:rFonts w:ascii="Times New Roman" w:hAnsi="Times New Roman" w:cs="Times New Roman"/>
          <w:color w:val="000000"/>
          <w:lang w:val="en"/>
        </w:rPr>
        <w:t xml:space="preserve"> recommended that the person receive an additional dose of MMR vaccine. Such persons should be considered to have presumptive evidence of immunity. </w:t>
      </w:r>
    </w:p>
    <w:p w:rsidR="002608AB" w:rsidRDefault="002608AB" w:rsidP="00E506E1">
      <w:p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</w:p>
    <w:p w:rsidR="00E506E1" w:rsidRDefault="001279DD" w:rsidP="002608AB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lastRenderedPageBreak/>
        <w:t xml:space="preserve">If a person who has had at least </w:t>
      </w:r>
      <w:r w:rsidR="00E506E1" w:rsidRPr="002608AB">
        <w:rPr>
          <w:rFonts w:ascii="Times New Roman" w:hAnsi="Times New Roman" w:cs="Times New Roman"/>
          <w:color w:val="000000"/>
          <w:lang w:val="en"/>
        </w:rPr>
        <w:t xml:space="preserve">1 </w:t>
      </w:r>
      <w:r w:rsidR="00973F74">
        <w:rPr>
          <w:rFonts w:ascii="Times New Roman" w:hAnsi="Times New Roman" w:cs="Times New Roman"/>
          <w:color w:val="000000"/>
          <w:lang w:val="en"/>
        </w:rPr>
        <w:t>documented</w:t>
      </w:r>
      <w:r>
        <w:rPr>
          <w:rFonts w:ascii="Times New Roman" w:hAnsi="Times New Roman" w:cs="Times New Roman"/>
          <w:color w:val="000000"/>
          <w:lang w:val="en"/>
        </w:rPr>
        <w:t xml:space="preserve"> </w:t>
      </w:r>
      <w:r w:rsidR="00E506E1" w:rsidRPr="002608AB">
        <w:rPr>
          <w:rFonts w:ascii="Times New Roman" w:hAnsi="Times New Roman" w:cs="Times New Roman"/>
          <w:color w:val="000000"/>
          <w:lang w:val="en"/>
        </w:rPr>
        <w:t xml:space="preserve">dose of rubella-containing vaccine is tested serologically and is determined to have negative or equivocal rubella titer results, it is </w:t>
      </w:r>
      <w:r w:rsidR="00E506E1" w:rsidRPr="001279DD">
        <w:rPr>
          <w:rFonts w:ascii="Times New Roman" w:hAnsi="Times New Roman" w:cs="Times New Roman"/>
          <w:b/>
          <w:color w:val="000000"/>
          <w:lang w:val="en"/>
        </w:rPr>
        <w:t>not</w:t>
      </w:r>
      <w:r w:rsidR="00E506E1" w:rsidRPr="002608AB">
        <w:rPr>
          <w:rFonts w:ascii="Times New Roman" w:hAnsi="Times New Roman" w:cs="Times New Roman"/>
          <w:color w:val="000000"/>
          <w:lang w:val="en"/>
        </w:rPr>
        <w:t xml:space="preserve"> recommended that the person receive an additional dose of MMR vaccine, except for women of childbearing age. </w:t>
      </w:r>
    </w:p>
    <w:p w:rsidR="002608AB" w:rsidRPr="002608AB" w:rsidRDefault="002608AB" w:rsidP="002608AB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="002608AB" w:rsidRDefault="002608AB" w:rsidP="002608AB">
      <w:p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b/>
          <w:color w:val="000000"/>
          <w:lang w:val="en"/>
        </w:rPr>
      </w:pPr>
      <w:r w:rsidRPr="002608AB">
        <w:rPr>
          <w:rFonts w:ascii="Times New Roman" w:hAnsi="Times New Roman" w:cs="Times New Roman"/>
          <w:b/>
          <w:color w:val="000000"/>
          <w:lang w:val="en"/>
        </w:rPr>
        <w:t xml:space="preserve">Evidence of Immunity for Healthcare Workers </w:t>
      </w:r>
    </w:p>
    <w:p w:rsidR="002608AB" w:rsidRDefault="002608AB" w:rsidP="002608AB">
      <w:pPr>
        <w:overflowPunct/>
        <w:autoSpaceDE/>
        <w:autoSpaceDN/>
        <w:adjustRightInd/>
        <w:spacing w:line="319" w:lineRule="atLeast"/>
        <w:textAlignment w:val="auto"/>
        <w:rPr>
          <w:rFonts w:ascii="Times New Roman" w:hAnsi="Times New Roman" w:cs="Times New Roman"/>
          <w:b/>
          <w:color w:val="000000"/>
          <w:lang w:val="en"/>
        </w:rPr>
      </w:pPr>
    </w:p>
    <w:p w:rsidR="002608AB" w:rsidRDefault="002608AB" w:rsidP="0066381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 w:rsidRPr="0066381D">
        <w:rPr>
          <w:rFonts w:ascii="Times New Roman" w:hAnsi="Times New Roman" w:cs="Times New Roman"/>
          <w:color w:val="000000"/>
          <w:lang w:val="en"/>
        </w:rPr>
        <w:t xml:space="preserve">Serologic testing for immunity is not recommended for health-care personnel who have 2 </w:t>
      </w:r>
      <w:r w:rsidRPr="0066381D">
        <w:rPr>
          <w:rFonts w:ascii="Times New Roman" w:hAnsi="Times New Roman" w:cs="Times New Roman"/>
          <w:b/>
          <w:color w:val="000000"/>
          <w:lang w:val="en"/>
        </w:rPr>
        <w:t>documented</w:t>
      </w:r>
      <w:r w:rsidRPr="0066381D">
        <w:rPr>
          <w:rFonts w:ascii="Times New Roman" w:hAnsi="Times New Roman" w:cs="Times New Roman"/>
          <w:color w:val="000000"/>
          <w:lang w:val="en"/>
        </w:rPr>
        <w:t xml:space="preserve"> doses of measles- and mumps - containing vaccine and 1 </w:t>
      </w:r>
      <w:r w:rsidRPr="0066381D">
        <w:rPr>
          <w:rFonts w:ascii="Times New Roman" w:hAnsi="Times New Roman" w:cs="Times New Roman"/>
          <w:b/>
          <w:color w:val="000000"/>
          <w:lang w:val="en"/>
        </w:rPr>
        <w:t xml:space="preserve">documented </w:t>
      </w:r>
      <w:r w:rsidRPr="0066381D">
        <w:rPr>
          <w:rFonts w:ascii="Times New Roman" w:hAnsi="Times New Roman" w:cs="Times New Roman"/>
          <w:color w:val="000000"/>
          <w:lang w:val="en"/>
        </w:rPr>
        <w:t xml:space="preserve">dose of rubella-containing vaccine or other acceptable evidence of measles, rubella, and mumps immunity. </w:t>
      </w:r>
    </w:p>
    <w:p w:rsidR="00673303" w:rsidRPr="0066381D" w:rsidRDefault="00673303" w:rsidP="004567B0">
      <w:pPr>
        <w:pStyle w:val="ListParagraph"/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</w:p>
    <w:p w:rsidR="002608AB" w:rsidRDefault="002608AB" w:rsidP="0066381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 w:rsidRPr="0066381D">
        <w:rPr>
          <w:rFonts w:ascii="Times New Roman" w:hAnsi="Times New Roman" w:cs="Times New Roman"/>
          <w:color w:val="000000"/>
          <w:lang w:val="en"/>
        </w:rPr>
        <w:t xml:space="preserve">If health-care personnel who have 2 documented doses of measles- or mumps- containing vaccine are tested serologically and have negative or equivocal titer results for measles or mumps, it is not recommended that they receive an additional dose of MMR vaccine. </w:t>
      </w:r>
    </w:p>
    <w:p w:rsidR="00673303" w:rsidRDefault="00673303" w:rsidP="00673303">
      <w:pPr>
        <w:pStyle w:val="ListParagraph"/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</w:p>
    <w:p w:rsidR="001279DD" w:rsidRPr="0066381D" w:rsidRDefault="001279DD" w:rsidP="0066381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Please note during an outbreak, the recommended criteria for presumptive evidence of immunity might differ for some groups. </w:t>
      </w:r>
    </w:p>
    <w:p w:rsidR="0066381D" w:rsidRPr="001279DD" w:rsidRDefault="0066381D" w:rsidP="0066381D">
      <w:pPr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b/>
          <w:color w:val="000000"/>
          <w:lang w:val="en"/>
        </w:rPr>
      </w:pPr>
      <w:r w:rsidRPr="001279DD">
        <w:rPr>
          <w:rFonts w:ascii="Times New Roman" w:hAnsi="Times New Roman" w:cs="Times New Roman"/>
          <w:b/>
          <w:color w:val="000000"/>
          <w:lang w:val="en"/>
        </w:rPr>
        <w:t>Outbreaks in Health Care Facilities</w:t>
      </w:r>
    </w:p>
    <w:p w:rsidR="001279DD" w:rsidRDefault="001279DD" w:rsidP="0066381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 w:rsidRPr="001279DD">
        <w:rPr>
          <w:rFonts w:ascii="Times New Roman" w:hAnsi="Times New Roman" w:cs="Times New Roman"/>
          <w:color w:val="000000"/>
          <w:lang w:val="en"/>
        </w:rPr>
        <w:t>During an outbreak of measles or mumps, health-care facilities should recommend 2 doses of MMR vaccine at the appropriate interval for unvaccinated health-care personnel regardless of birth year who lack laboratory evidence of measles or mumps immunity or laboratory confirmation of disease.</w:t>
      </w:r>
    </w:p>
    <w:p w:rsidR="001279DD" w:rsidRDefault="001279DD" w:rsidP="001279DD">
      <w:pPr>
        <w:pStyle w:val="ListParagraph"/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</w:p>
    <w:p w:rsidR="001279DD" w:rsidRDefault="001279DD" w:rsidP="0066381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D</w:t>
      </w:r>
      <w:r w:rsidRPr="001279DD">
        <w:rPr>
          <w:rFonts w:ascii="Times New Roman" w:hAnsi="Times New Roman" w:cs="Times New Roman"/>
          <w:color w:val="000000"/>
          <w:lang w:val="en"/>
        </w:rPr>
        <w:t xml:space="preserve">uring outbreaks of rubella, health-care facilities should recommend 1 dose of MMR vaccine for unvaccinated personnel regardless of birth year who lack laboratory evidence of rubella immunity or laboratory confirmation of infection or disease. </w:t>
      </w:r>
    </w:p>
    <w:p w:rsidR="001279DD" w:rsidRPr="001279DD" w:rsidRDefault="001279DD" w:rsidP="001279DD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="0066381D" w:rsidRPr="001279DD" w:rsidRDefault="001279DD" w:rsidP="0066381D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80" w:line="319" w:lineRule="atLeast"/>
        <w:textAlignment w:val="auto"/>
        <w:rPr>
          <w:rFonts w:ascii="Times New Roman" w:hAnsi="Times New Roman" w:cs="Times New Roman"/>
          <w:color w:val="000000"/>
          <w:lang w:val="en"/>
        </w:rPr>
      </w:pPr>
      <w:r w:rsidRPr="001279DD">
        <w:rPr>
          <w:rFonts w:ascii="Times New Roman" w:hAnsi="Times New Roman" w:cs="Times New Roman"/>
          <w:color w:val="000000"/>
          <w:lang w:val="en"/>
        </w:rPr>
        <w:t>Serologic screening before vaccination is not recommended during outbreaks because rapid vaccination is necessary to halt disease transmission</w:t>
      </w:r>
      <w:r>
        <w:rPr>
          <w:rFonts w:ascii="Times New Roman" w:hAnsi="Times New Roman" w:cs="Times New Roman"/>
          <w:color w:val="000000"/>
          <w:lang w:val="en"/>
        </w:rPr>
        <w:t xml:space="preserve">. </w:t>
      </w:r>
    </w:p>
    <w:p w:rsidR="00E506E1" w:rsidRPr="001279DD" w:rsidRDefault="00E506E1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1279DD" w:rsidRPr="001279DD" w:rsidRDefault="001279D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  <w:r w:rsidRPr="001279DD">
        <w:rPr>
          <w:rFonts w:ascii="Times New Roman" w:hAnsi="Times New Roman" w:cs="Times New Roman"/>
        </w:rPr>
        <w:t xml:space="preserve">If you have any questions, please contact the Maine Immunization </w:t>
      </w:r>
      <w:r w:rsidR="00D710AE">
        <w:rPr>
          <w:rFonts w:ascii="Times New Roman" w:hAnsi="Times New Roman" w:cs="Times New Roman"/>
        </w:rPr>
        <w:t>P</w:t>
      </w:r>
      <w:r w:rsidRPr="001279DD">
        <w:rPr>
          <w:rFonts w:ascii="Times New Roman" w:hAnsi="Times New Roman" w:cs="Times New Roman"/>
        </w:rPr>
        <w:t xml:space="preserve">rogram at 287-3746. </w:t>
      </w:r>
    </w:p>
    <w:p w:rsidR="001279DD" w:rsidRDefault="001279D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  <w:b/>
        </w:rPr>
      </w:pPr>
    </w:p>
    <w:p w:rsidR="001279DD" w:rsidRPr="00E506E1" w:rsidRDefault="001279D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  <w:b/>
        </w:rPr>
      </w:pPr>
    </w:p>
    <w:p w:rsidR="00E32CAD" w:rsidRPr="00E506E1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E32CAD" w:rsidRPr="00E506E1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696269" w:rsidRPr="00E32CAD" w:rsidRDefault="00696269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</w:p>
    <w:p w:rsidR="00696269" w:rsidRPr="00696269" w:rsidRDefault="00696269" w:rsidP="00696269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696269" w:rsidRPr="00696269" w:rsidRDefault="00696269" w:rsidP="00696269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696269" w:rsidRPr="00696269" w:rsidRDefault="00696269" w:rsidP="00696269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696269" w:rsidRPr="00696269" w:rsidRDefault="00696269" w:rsidP="00696269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2E40F4" w:rsidRDefault="002E40F4" w:rsidP="00D230B3">
      <w:pPr>
        <w:ind w:left="720" w:hanging="540"/>
        <w:sectPr w:rsidR="002E40F4" w:rsidSect="00ED6B44">
          <w:head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A2E0C" w:rsidRDefault="00FA2E0C" w:rsidP="00B10C1F"/>
    <w:sectPr w:rsidR="00FA2E0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5C" w:rsidRDefault="00BB685C">
      <w:r>
        <w:separator/>
      </w:r>
    </w:p>
  </w:endnote>
  <w:endnote w:type="continuationSeparator" w:id="0">
    <w:p w:rsidR="00BB685C" w:rsidRDefault="00B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5C" w:rsidRDefault="00BB685C">
      <w:r>
        <w:separator/>
      </w:r>
    </w:p>
  </w:footnote>
  <w:footnote w:type="continuationSeparator" w:id="0">
    <w:p w:rsidR="00BB685C" w:rsidRDefault="00BB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487FCA" w:rsidP="00BF1170">
    <w:pPr>
      <w:pStyle w:val="Header"/>
      <w:ind w:left="-720"/>
    </w:pPr>
    <w:r>
      <w:rPr>
        <w:noProof/>
      </w:rPr>
      <w:drawing>
        <wp:inline distT="0" distB="0" distL="0" distR="0" wp14:anchorId="1AEE799A" wp14:editId="49BBCD21">
          <wp:extent cx="6854825" cy="1069975"/>
          <wp:effectExtent l="19050" t="0" r="3175" b="0"/>
          <wp:docPr id="10" name="Picture 10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143"/>
    <w:multiLevelType w:val="hybridMultilevel"/>
    <w:tmpl w:val="2AA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16B13"/>
    <w:multiLevelType w:val="hybridMultilevel"/>
    <w:tmpl w:val="F2E4A4D4"/>
    <w:lvl w:ilvl="0" w:tplc="55C25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11D77"/>
    <w:multiLevelType w:val="hybridMultilevel"/>
    <w:tmpl w:val="0B90D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044F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1369"/>
    <w:rsid w:val="001224F8"/>
    <w:rsid w:val="0012262F"/>
    <w:rsid w:val="0012301C"/>
    <w:rsid w:val="001279DD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093"/>
    <w:rsid w:val="001B5330"/>
    <w:rsid w:val="001C0CFD"/>
    <w:rsid w:val="001C266C"/>
    <w:rsid w:val="001C2F1F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27952"/>
    <w:rsid w:val="00230CCA"/>
    <w:rsid w:val="00233833"/>
    <w:rsid w:val="00246822"/>
    <w:rsid w:val="00246BF7"/>
    <w:rsid w:val="00250C01"/>
    <w:rsid w:val="00254094"/>
    <w:rsid w:val="0025539E"/>
    <w:rsid w:val="002608AB"/>
    <w:rsid w:val="0026118A"/>
    <w:rsid w:val="002622F4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A690F"/>
    <w:rsid w:val="003A7A33"/>
    <w:rsid w:val="003B0756"/>
    <w:rsid w:val="003B3FAF"/>
    <w:rsid w:val="003B4F8F"/>
    <w:rsid w:val="003B61DE"/>
    <w:rsid w:val="003C2635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1E7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567B0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87FCA"/>
    <w:rsid w:val="004A1408"/>
    <w:rsid w:val="004A1E3B"/>
    <w:rsid w:val="004A206A"/>
    <w:rsid w:val="004B47C7"/>
    <w:rsid w:val="004B5756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4F5A0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2A68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92F87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D2C54"/>
    <w:rsid w:val="005E1140"/>
    <w:rsid w:val="005E2A7B"/>
    <w:rsid w:val="005E43F8"/>
    <w:rsid w:val="005F16EE"/>
    <w:rsid w:val="005F195F"/>
    <w:rsid w:val="005F22DE"/>
    <w:rsid w:val="005F2C91"/>
    <w:rsid w:val="005F7C78"/>
    <w:rsid w:val="00611C21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0C70"/>
    <w:rsid w:val="0066381D"/>
    <w:rsid w:val="00666BEC"/>
    <w:rsid w:val="00672CB7"/>
    <w:rsid w:val="00673303"/>
    <w:rsid w:val="00676629"/>
    <w:rsid w:val="00683C16"/>
    <w:rsid w:val="0069014E"/>
    <w:rsid w:val="0069051B"/>
    <w:rsid w:val="00693A0B"/>
    <w:rsid w:val="00693FC7"/>
    <w:rsid w:val="00694247"/>
    <w:rsid w:val="00696269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348C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635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4C23"/>
    <w:rsid w:val="008850F1"/>
    <w:rsid w:val="0089199D"/>
    <w:rsid w:val="00892253"/>
    <w:rsid w:val="00894A0A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35C2"/>
    <w:rsid w:val="008E704A"/>
    <w:rsid w:val="008F0756"/>
    <w:rsid w:val="008F093B"/>
    <w:rsid w:val="008F1F27"/>
    <w:rsid w:val="008F2B12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2C45"/>
    <w:rsid w:val="00973F74"/>
    <w:rsid w:val="00974BA6"/>
    <w:rsid w:val="00976AD7"/>
    <w:rsid w:val="009842BA"/>
    <w:rsid w:val="00984691"/>
    <w:rsid w:val="009866C3"/>
    <w:rsid w:val="009874E3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1BC9"/>
    <w:rsid w:val="00A42145"/>
    <w:rsid w:val="00A43CD9"/>
    <w:rsid w:val="00A456F3"/>
    <w:rsid w:val="00A53766"/>
    <w:rsid w:val="00A5715F"/>
    <w:rsid w:val="00A57FC5"/>
    <w:rsid w:val="00A65F34"/>
    <w:rsid w:val="00A73B00"/>
    <w:rsid w:val="00A87E7E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30E80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B685C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1170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94D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0B3"/>
    <w:rsid w:val="00D24B42"/>
    <w:rsid w:val="00D25797"/>
    <w:rsid w:val="00D3076D"/>
    <w:rsid w:val="00D31625"/>
    <w:rsid w:val="00D32C9E"/>
    <w:rsid w:val="00D35A4B"/>
    <w:rsid w:val="00D4071F"/>
    <w:rsid w:val="00D42854"/>
    <w:rsid w:val="00D44237"/>
    <w:rsid w:val="00D47D9C"/>
    <w:rsid w:val="00D534D8"/>
    <w:rsid w:val="00D55C5A"/>
    <w:rsid w:val="00D60A6E"/>
    <w:rsid w:val="00D65CE1"/>
    <w:rsid w:val="00D710AE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2CAD"/>
    <w:rsid w:val="00E369B7"/>
    <w:rsid w:val="00E417B3"/>
    <w:rsid w:val="00E506E1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2F6"/>
    <w:rsid w:val="00E85BD0"/>
    <w:rsid w:val="00E87585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AE8"/>
    <w:rsid w:val="00ED327F"/>
    <w:rsid w:val="00ED3E3C"/>
    <w:rsid w:val="00ED67C0"/>
    <w:rsid w:val="00ED6B44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B78D4"/>
    <w:rsid w:val="00FC159C"/>
    <w:rsid w:val="00FC23CF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D30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8AB"/>
    <w:pPr>
      <w:ind w:left="720"/>
      <w:contextualSpacing/>
    </w:pPr>
  </w:style>
  <w:style w:type="character" w:styleId="FollowedHyperlink">
    <w:name w:val="FollowedHyperlink"/>
    <w:basedOn w:val="DefaultParagraphFont"/>
    <w:rsid w:val="00D71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D30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8AB"/>
    <w:pPr>
      <w:ind w:left="720"/>
      <w:contextualSpacing/>
    </w:pPr>
  </w:style>
  <w:style w:type="character" w:styleId="FollowedHyperlink">
    <w:name w:val="FollowedHyperlink"/>
    <w:basedOn w:val="DefaultParagraphFont"/>
    <w:rsid w:val="00D71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3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33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084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1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89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0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84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8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864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4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/mmwr/preview/mmwrhtml/rr6204a1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CF23-E7E2-47B8-8806-B8623D6C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kathleen.mahoney</cp:lastModifiedBy>
  <cp:revision>2</cp:revision>
  <cp:lastPrinted>2012-08-13T16:49:00Z</cp:lastPrinted>
  <dcterms:created xsi:type="dcterms:W3CDTF">2013-07-09T12:58:00Z</dcterms:created>
  <dcterms:modified xsi:type="dcterms:W3CDTF">2013-07-09T12:58:00Z</dcterms:modified>
</cp:coreProperties>
</file>