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27514">
      <w:pPr>
        <w:pStyle w:val="InsideAddressName"/>
      </w:pPr>
    </w:p>
    <w:p w:rsidR="00000000" w:rsidRDefault="00B27514">
      <w:pPr>
        <w:ind w:left="-900"/>
      </w:pPr>
      <w:r>
        <w:tab/>
      </w:r>
    </w:p>
    <w:tbl>
      <w:tblPr>
        <w:tblW w:w="10548" w:type="dxa"/>
        <w:tblInd w:w="-900" w:type="dxa"/>
        <w:tblLook w:val="0000"/>
      </w:tblPr>
      <w:tblGrid>
        <w:gridCol w:w="10548"/>
      </w:tblGrid>
      <w:tr w:rsidR="00000000">
        <w:tblPrEx>
          <w:tblCellMar>
            <w:top w:w="0" w:type="dxa"/>
            <w:bottom w:w="0" w:type="dxa"/>
          </w:tblCellMar>
        </w:tblPrEx>
        <w:trPr>
          <w:cantSplit/>
        </w:trPr>
        <w:tc>
          <w:tcPr>
            <w:tcW w:w="10548" w:type="dxa"/>
          </w:tcPr>
          <w:p w:rsidR="00000000" w:rsidRDefault="00B27514">
            <w:pPr>
              <w:pStyle w:val="Heading1"/>
              <w:rPr>
                <w:rFonts w:ascii="Clarendon Cd (WE)" w:hAnsi="Clarendon Cd (WE)"/>
                <w:i w:val="0"/>
                <w:iCs w:val="0"/>
                <w:sz w:val="90"/>
              </w:rPr>
            </w:pPr>
            <w:r>
              <w:rPr>
                <w:rFonts w:ascii="Clarendon Cd (WE)" w:hAnsi="Clarendon Cd (WE)"/>
                <w:i w:val="0"/>
                <w:iCs w:val="0"/>
                <w:sz w:val="90"/>
              </w:rPr>
              <w:t>INFORMATIONAL</w:t>
            </w:r>
          </w:p>
          <w:p w:rsidR="00000000" w:rsidRDefault="00B27514">
            <w:pPr>
              <w:pStyle w:val="Heading1"/>
              <w:rPr>
                <w:rFonts w:ascii="Clarendon Cd (WE)" w:hAnsi="Clarendon Cd (WE)"/>
                <w:i w:val="0"/>
                <w:iCs w:val="0"/>
                <w:sz w:val="96"/>
              </w:rPr>
            </w:pPr>
            <w:r>
              <w:rPr>
                <w:rFonts w:ascii="Clarendon Cd (WE)" w:hAnsi="Clarendon Cd (WE)"/>
                <w:i w:val="0"/>
                <w:iCs w:val="0"/>
                <w:sz w:val="90"/>
              </w:rPr>
              <w:t>Immu-Fax</w:t>
            </w:r>
          </w:p>
          <w:p w:rsidR="00000000" w:rsidRDefault="00B27514"/>
        </w:tc>
      </w:tr>
      <w:tr w:rsidR="00000000">
        <w:tblPrEx>
          <w:tblCellMar>
            <w:top w:w="0" w:type="dxa"/>
            <w:bottom w:w="0" w:type="dxa"/>
          </w:tblCellMar>
        </w:tblPrEx>
        <w:trPr>
          <w:cantSplit/>
        </w:trPr>
        <w:tc>
          <w:tcPr>
            <w:tcW w:w="10548" w:type="dxa"/>
          </w:tcPr>
          <w:p w:rsidR="00000000" w:rsidRDefault="00B27514">
            <w:pPr>
              <w:pStyle w:val="Heading2"/>
              <w:jc w:val="center"/>
              <w:rPr>
                <w:sz w:val="28"/>
              </w:rPr>
            </w:pPr>
            <w:r>
              <w:rPr>
                <w:noProof/>
                <w:sz w:val="20"/>
              </w:rPr>
              <w:drawing>
                <wp:anchor distT="0" distB="0" distL="114300" distR="114300" simplePos="0" relativeHeight="251657728" behindDoc="0" locked="0" layoutInCell="1" allowOverlap="1">
                  <wp:simplePos x="0" y="0"/>
                  <wp:positionH relativeFrom="column">
                    <wp:posOffset>68580</wp:posOffset>
                  </wp:positionH>
                  <wp:positionV relativeFrom="paragraph">
                    <wp:posOffset>165735</wp:posOffset>
                  </wp:positionV>
                  <wp:extent cx="1371600" cy="1250950"/>
                  <wp:effectExtent l="19050" t="0" r="0" b="0"/>
                  <wp:wrapNone/>
                  <wp:docPr id="4" name="Picture 4" descr="B&amp;W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mp;Wheart"/>
                          <pic:cNvPicPr>
                            <a:picLocks noChangeAspect="1" noChangeArrowheads="1"/>
                          </pic:cNvPicPr>
                        </pic:nvPicPr>
                        <pic:blipFill>
                          <a:blip r:embed="rId7" cstate="print"/>
                          <a:srcRect/>
                          <a:stretch>
                            <a:fillRect/>
                          </a:stretch>
                        </pic:blipFill>
                        <pic:spPr bwMode="auto">
                          <a:xfrm>
                            <a:off x="0" y="0"/>
                            <a:ext cx="1371600" cy="1250950"/>
                          </a:xfrm>
                          <a:prstGeom prst="rect">
                            <a:avLst/>
                          </a:prstGeom>
                          <a:noFill/>
                          <a:ln w="9525">
                            <a:noFill/>
                            <a:miter lim="800000"/>
                            <a:headEnd/>
                            <a:tailEnd/>
                          </a:ln>
                        </pic:spPr>
                      </pic:pic>
                    </a:graphicData>
                  </a:graphic>
                </wp:anchor>
              </w:drawing>
            </w:r>
            <w:r>
              <w:rPr>
                <w:sz w:val="28"/>
              </w:rPr>
              <w:t>From:</w:t>
            </w:r>
          </w:p>
          <w:p w:rsidR="00000000" w:rsidRDefault="00B27514">
            <w:pPr>
              <w:pStyle w:val="Heading2"/>
              <w:jc w:val="center"/>
              <w:rPr>
                <w:bCs w:val="0"/>
                <w:sz w:val="28"/>
              </w:rPr>
            </w:pPr>
            <w:r>
              <w:rPr>
                <w:bCs w:val="0"/>
                <w:sz w:val="28"/>
              </w:rPr>
              <w:t>The Maine Immunization Program</w:t>
            </w:r>
          </w:p>
          <w:p w:rsidR="00000000" w:rsidRDefault="00B27514">
            <w:pPr>
              <w:pStyle w:val="Heading2"/>
              <w:jc w:val="center"/>
              <w:rPr>
                <w:b w:val="0"/>
                <w:bCs w:val="0"/>
                <w:strike/>
                <w:sz w:val="22"/>
              </w:rPr>
            </w:pPr>
            <w:r>
              <w:rPr>
                <w:b w:val="0"/>
                <w:bCs w:val="0"/>
                <w:sz w:val="22"/>
              </w:rPr>
              <w:t xml:space="preserve">Department of Health and Human Services </w:t>
            </w:r>
          </w:p>
          <w:p w:rsidR="00000000" w:rsidRDefault="00B27514">
            <w:pPr>
              <w:pStyle w:val="Heading6"/>
              <w:rPr>
                <w:b w:val="0"/>
                <w:sz w:val="22"/>
              </w:rPr>
            </w:pPr>
            <w:r>
              <w:rPr>
                <w:b w:val="0"/>
                <w:sz w:val="22"/>
                <w:szCs w:val="24"/>
              </w:rPr>
              <w:t xml:space="preserve">Public Health  -  </w:t>
            </w:r>
            <w:r>
              <w:rPr>
                <w:b w:val="0"/>
                <w:sz w:val="22"/>
              </w:rPr>
              <w:t>Division of Disease Control</w:t>
            </w:r>
          </w:p>
          <w:p w:rsidR="00000000" w:rsidRDefault="00B27514">
            <w:pPr>
              <w:pStyle w:val="Heading5"/>
              <w:rPr>
                <w:b w:val="0"/>
                <w:sz w:val="22"/>
              </w:rPr>
            </w:pPr>
            <w:r>
              <w:rPr>
                <w:b w:val="0"/>
                <w:sz w:val="22"/>
              </w:rPr>
              <w:t>286 Water St., Key Plaza, 9</w:t>
            </w:r>
            <w:r>
              <w:rPr>
                <w:b w:val="0"/>
                <w:sz w:val="22"/>
                <w:vertAlign w:val="superscript"/>
              </w:rPr>
              <w:t>th</w:t>
            </w:r>
            <w:r>
              <w:rPr>
                <w:b w:val="0"/>
                <w:sz w:val="22"/>
              </w:rPr>
              <w:t xml:space="preserve"> Floor</w:t>
            </w:r>
          </w:p>
          <w:p w:rsidR="00000000" w:rsidRDefault="00B27514">
            <w:pPr>
              <w:pStyle w:val="Heading1"/>
              <w:rPr>
                <w:rFonts w:ascii="Times New Roman" w:hAnsi="Times New Roman"/>
                <w:b w:val="0"/>
                <w:bCs w:val="0"/>
                <w:i w:val="0"/>
                <w:iCs w:val="0"/>
                <w:sz w:val="22"/>
              </w:rPr>
            </w:pPr>
            <w:r>
              <w:rPr>
                <w:rFonts w:ascii="Times New Roman" w:hAnsi="Times New Roman"/>
                <w:b w:val="0"/>
                <w:bCs w:val="0"/>
                <w:i w:val="0"/>
                <w:iCs w:val="0"/>
                <w:sz w:val="22"/>
              </w:rPr>
              <w:t>Augusta, Me 04333</w:t>
            </w:r>
          </w:p>
          <w:p w:rsidR="00000000" w:rsidRDefault="00B27514">
            <w:pPr>
              <w:jc w:val="center"/>
              <w:rPr>
                <w:strike/>
              </w:rPr>
            </w:pPr>
          </w:p>
          <w:p w:rsidR="00000000" w:rsidRDefault="00B27514">
            <w:pPr>
              <w:pStyle w:val="Heading4"/>
            </w:pPr>
            <w:r>
              <w:t>Jiancheng Huang, Director</w:t>
            </w:r>
          </w:p>
          <w:p w:rsidR="00000000" w:rsidRDefault="00B27514">
            <w:pPr>
              <w:pStyle w:val="Heading4"/>
            </w:pPr>
            <w:r>
              <w:t>Shawn Box, Assistant D</w:t>
            </w:r>
            <w:r>
              <w:t>irector</w:t>
            </w:r>
          </w:p>
        </w:tc>
      </w:tr>
    </w:tbl>
    <w:p w:rsidR="00000000" w:rsidRDefault="00B27514">
      <w:pPr>
        <w:ind w:left="-900"/>
      </w:pPr>
    </w:p>
    <w:p w:rsidR="00000000" w:rsidRDefault="00B27514">
      <w:pPr>
        <w:jc w:val="center"/>
        <w:rPr>
          <w:b/>
          <w:sz w:val="32"/>
          <w:szCs w:val="32"/>
        </w:rPr>
      </w:pPr>
      <w:r>
        <w:rPr>
          <w:b/>
          <w:sz w:val="32"/>
          <w:szCs w:val="32"/>
        </w:rPr>
        <w:t>Vaccine Management Business Improvement Project Transition</w:t>
      </w:r>
    </w:p>
    <w:p w:rsidR="00000000" w:rsidRDefault="00B27514">
      <w:pPr>
        <w:jc w:val="center"/>
        <w:rPr>
          <w:b/>
          <w:sz w:val="28"/>
          <w:szCs w:val="28"/>
        </w:rPr>
      </w:pPr>
      <w:r>
        <w:rPr>
          <w:b/>
          <w:sz w:val="28"/>
          <w:szCs w:val="28"/>
        </w:rPr>
        <w:t>(VMBIP)</w:t>
      </w:r>
    </w:p>
    <w:p w:rsidR="00000000" w:rsidRDefault="00B27514">
      <w:r>
        <w:t>April 24, 2007</w:t>
      </w:r>
    </w:p>
    <w:p w:rsidR="00000000" w:rsidRDefault="00B27514"/>
    <w:p w:rsidR="00000000" w:rsidRDefault="00B27514">
      <w:r>
        <w:t>To accommodate the Federal CDC’s schedule of switching to a new federal vaccine distribution system the Maine Immunization Program (MIP) is asking you, our provide</w:t>
      </w:r>
      <w:r>
        <w:t xml:space="preserve">rs, to increase your next two months vaccine orders. When placing your May and June vaccine orders please order enough vaccine to have a 6 to 8 week inventory on hand. </w:t>
      </w:r>
    </w:p>
    <w:p w:rsidR="00000000" w:rsidRDefault="00B27514"/>
    <w:p w:rsidR="00000000" w:rsidRDefault="00B27514">
      <w:r>
        <w:t>On June 3rd, 2007 MIP will be changing to the Centers for Disease Control and Preventi</w:t>
      </w:r>
      <w:r>
        <w:t xml:space="preserve">on Nationalized vaccine distribution system. All current business processes will remain the same and you will see no change in our ordering process or delivery times.  The only changes you may see are in the packaging and/or the delivery carrier. </w:t>
      </w:r>
    </w:p>
    <w:p w:rsidR="00000000" w:rsidRDefault="00B27514"/>
    <w:p w:rsidR="00000000" w:rsidRDefault="00B27514">
      <w:pPr>
        <w:rPr>
          <w:b/>
          <w:u w:val="single"/>
        </w:rPr>
      </w:pPr>
      <w:r>
        <w:rPr>
          <w:b/>
          <w:u w:val="single"/>
        </w:rPr>
        <w:t>Below i</w:t>
      </w:r>
      <w:r>
        <w:rPr>
          <w:b/>
          <w:u w:val="single"/>
        </w:rPr>
        <w:t>s a timeline and outlined expectations for the next few months.</w:t>
      </w:r>
    </w:p>
    <w:p w:rsidR="00000000" w:rsidRDefault="00B27514"/>
    <w:p w:rsidR="00000000" w:rsidRDefault="00B27514">
      <w:pPr>
        <w:rPr>
          <w:b/>
          <w:sz w:val="28"/>
          <w:szCs w:val="28"/>
        </w:rPr>
      </w:pPr>
      <w:r>
        <w:rPr>
          <w:b/>
          <w:sz w:val="28"/>
          <w:szCs w:val="28"/>
        </w:rPr>
        <w:t>May</w:t>
      </w:r>
    </w:p>
    <w:p w:rsidR="00000000" w:rsidRDefault="00B27514">
      <w:pPr>
        <w:numPr>
          <w:ilvl w:val="0"/>
          <w:numId w:val="1"/>
        </w:numPr>
      </w:pPr>
      <w:r>
        <w:t xml:space="preserve">Providers increase your vaccine orders to accommodate a </w:t>
      </w:r>
      <w:r>
        <w:rPr>
          <w:b/>
        </w:rPr>
        <w:t>6-8 week inventory on hand</w:t>
      </w:r>
      <w:r>
        <w:t>.</w:t>
      </w:r>
    </w:p>
    <w:p w:rsidR="00000000" w:rsidRDefault="00B27514">
      <w:pPr>
        <w:numPr>
          <w:ilvl w:val="0"/>
          <w:numId w:val="1"/>
        </w:numPr>
      </w:pPr>
      <w:r>
        <w:t>All orders submitted before June 3rd will be shipped by our current distributor, GIV.</w:t>
      </w:r>
    </w:p>
    <w:p w:rsidR="00000000" w:rsidRDefault="00B27514"/>
    <w:p w:rsidR="00000000" w:rsidRDefault="00B27514">
      <w:pPr>
        <w:rPr>
          <w:b/>
          <w:sz w:val="28"/>
          <w:szCs w:val="28"/>
        </w:rPr>
      </w:pPr>
      <w:r>
        <w:rPr>
          <w:b/>
          <w:sz w:val="28"/>
          <w:szCs w:val="28"/>
        </w:rPr>
        <w:t>JUNE</w:t>
      </w:r>
    </w:p>
    <w:p w:rsidR="00000000" w:rsidRDefault="00B27514">
      <w:pPr>
        <w:numPr>
          <w:ilvl w:val="0"/>
          <w:numId w:val="1"/>
        </w:numPr>
        <w:rPr>
          <w:b/>
          <w:u w:val="single"/>
        </w:rPr>
      </w:pPr>
      <w:r>
        <w:t>Provider or</w:t>
      </w:r>
      <w:r>
        <w:t>ders will resume shipping on June 18</w:t>
      </w:r>
      <w:r>
        <w:rPr>
          <w:vertAlign w:val="superscript"/>
        </w:rPr>
        <w:t>th</w:t>
      </w:r>
      <w:r>
        <w:t xml:space="preserve"> from the new centralized distributor, McKesson.</w:t>
      </w:r>
    </w:p>
    <w:p w:rsidR="00000000" w:rsidRDefault="00B27514">
      <w:pPr>
        <w:numPr>
          <w:ilvl w:val="0"/>
          <w:numId w:val="1"/>
        </w:numPr>
        <w:rPr>
          <w:b/>
          <w:u w:val="single"/>
        </w:rPr>
      </w:pPr>
      <w:r>
        <w:t>Provider orders that were submitted after June 4th will be shipped the week of June 18</w:t>
      </w:r>
      <w:r>
        <w:rPr>
          <w:vertAlign w:val="superscript"/>
        </w:rPr>
        <w:t>th.</w:t>
      </w:r>
    </w:p>
    <w:p w:rsidR="00000000" w:rsidRDefault="00B27514">
      <w:pPr>
        <w:rPr>
          <w:b/>
          <w:u w:val="single"/>
        </w:rPr>
      </w:pPr>
    </w:p>
    <w:p w:rsidR="00000000" w:rsidRDefault="00B27514">
      <w:pPr>
        <w:rPr>
          <w:b/>
          <w:u w:val="single"/>
        </w:rPr>
      </w:pPr>
    </w:p>
    <w:p w:rsidR="00000000" w:rsidRDefault="00B27514">
      <w:pPr>
        <w:rPr>
          <w:b/>
          <w:sz w:val="28"/>
          <w:szCs w:val="28"/>
        </w:rPr>
      </w:pPr>
      <w:r>
        <w:rPr>
          <w:b/>
          <w:sz w:val="28"/>
          <w:szCs w:val="28"/>
        </w:rPr>
        <w:t>VMBIP Cont.</w:t>
      </w:r>
    </w:p>
    <w:p w:rsidR="00000000" w:rsidRDefault="00B27514">
      <w:pPr>
        <w:rPr>
          <w:b/>
          <w:u w:val="single"/>
        </w:rPr>
      </w:pPr>
    </w:p>
    <w:p w:rsidR="00000000" w:rsidRDefault="00B27514">
      <w:pPr>
        <w:rPr>
          <w:b/>
          <w:sz w:val="28"/>
          <w:szCs w:val="28"/>
          <w:u w:val="single"/>
        </w:rPr>
      </w:pPr>
      <w:r>
        <w:rPr>
          <w:b/>
          <w:sz w:val="28"/>
          <w:szCs w:val="28"/>
          <w:u w:val="single"/>
        </w:rPr>
        <w:t>Items that remain the same:</w:t>
      </w:r>
    </w:p>
    <w:p w:rsidR="00000000" w:rsidRDefault="00B27514"/>
    <w:p w:rsidR="00000000" w:rsidRDefault="00B27514">
      <w:pPr>
        <w:rPr>
          <w:b/>
        </w:rPr>
      </w:pPr>
      <w:r>
        <w:rPr>
          <w:b/>
        </w:rPr>
        <w:t>Non-Impact2 providers:</w:t>
      </w:r>
    </w:p>
    <w:p w:rsidR="00000000" w:rsidRDefault="00B27514">
      <w:r>
        <w:tab/>
        <w:t>Continue to</w:t>
      </w:r>
      <w:r>
        <w:t xml:space="preserve"> submit monthly usage reports, order forms and temp logs to the MIP.</w:t>
      </w:r>
    </w:p>
    <w:p w:rsidR="00000000" w:rsidRDefault="00B27514">
      <w:r>
        <w:tab/>
        <w:t>MIP is still the point of contact for any concerns.</w:t>
      </w:r>
    </w:p>
    <w:p w:rsidR="00000000" w:rsidRDefault="00B27514"/>
    <w:p w:rsidR="00000000" w:rsidRDefault="00B27514">
      <w:pPr>
        <w:rPr>
          <w:b/>
        </w:rPr>
      </w:pPr>
      <w:r>
        <w:rPr>
          <w:b/>
        </w:rPr>
        <w:t>Immpact 2 providers:</w:t>
      </w:r>
    </w:p>
    <w:p w:rsidR="00000000" w:rsidRDefault="00B27514">
      <w:r>
        <w:tab/>
        <w:t>Continue to reconcile monthly and order via Immpact2, and fax temp logs to MIP.</w:t>
      </w:r>
    </w:p>
    <w:p w:rsidR="00000000" w:rsidRDefault="00B27514">
      <w:r>
        <w:tab/>
        <w:t>MIP is still the point of cont</w:t>
      </w:r>
      <w:r>
        <w:t>act for any concerns.</w:t>
      </w:r>
    </w:p>
    <w:p w:rsidR="00000000" w:rsidRDefault="00B27514"/>
    <w:p w:rsidR="00000000" w:rsidRDefault="00B27514">
      <w:r>
        <w:t xml:space="preserve">MIP will continue to approve all orders to enrolled and compliant providers. </w:t>
      </w:r>
    </w:p>
    <w:p w:rsidR="00000000" w:rsidRDefault="00B27514"/>
    <w:p w:rsidR="00000000" w:rsidRDefault="00B27514">
      <w:pPr>
        <w:rPr>
          <w:b/>
          <w:sz w:val="28"/>
          <w:szCs w:val="28"/>
          <w:u w:val="single"/>
        </w:rPr>
      </w:pPr>
      <w:r>
        <w:rPr>
          <w:b/>
          <w:sz w:val="28"/>
          <w:szCs w:val="28"/>
          <w:u w:val="single"/>
        </w:rPr>
        <w:t>Items that are changing:</w:t>
      </w:r>
    </w:p>
    <w:p w:rsidR="00000000" w:rsidRDefault="00B27514">
      <w:pPr>
        <w:rPr>
          <w:b/>
          <w:sz w:val="28"/>
          <w:szCs w:val="28"/>
          <w:u w:val="single"/>
        </w:rPr>
      </w:pPr>
    </w:p>
    <w:p w:rsidR="00000000" w:rsidRDefault="00B27514">
      <w:pPr>
        <w:numPr>
          <w:ilvl w:val="0"/>
          <w:numId w:val="3"/>
        </w:numPr>
      </w:pPr>
      <w:r>
        <w:t>Vaccine orders will be sent from McKesson.</w:t>
      </w:r>
    </w:p>
    <w:p w:rsidR="00000000" w:rsidRDefault="00B27514"/>
    <w:p w:rsidR="00000000" w:rsidRDefault="00B27514">
      <w:pPr>
        <w:numPr>
          <w:ilvl w:val="0"/>
          <w:numId w:val="3"/>
        </w:numPr>
      </w:pPr>
      <w:r>
        <w:t xml:space="preserve">Return of vaccine shipment boxes </w:t>
      </w:r>
    </w:p>
    <w:p w:rsidR="00000000" w:rsidRDefault="00B27514">
      <w:pPr>
        <w:numPr>
          <w:ilvl w:val="1"/>
          <w:numId w:val="3"/>
        </w:numPr>
      </w:pPr>
      <w:r>
        <w:t>Instruction are inside with the vaccine shipment p</w:t>
      </w:r>
      <w:r>
        <w:t>aperwork</w:t>
      </w:r>
    </w:p>
    <w:p w:rsidR="00000000" w:rsidRDefault="00B27514">
      <w:pPr>
        <w:numPr>
          <w:ilvl w:val="2"/>
          <w:numId w:val="3"/>
        </w:numPr>
      </w:pPr>
      <w:r>
        <w:t>Take out all of the vaccine</w:t>
      </w:r>
    </w:p>
    <w:p w:rsidR="00000000" w:rsidRDefault="00B27514">
      <w:pPr>
        <w:numPr>
          <w:ilvl w:val="2"/>
          <w:numId w:val="3"/>
        </w:numPr>
      </w:pPr>
      <w:r>
        <w:t>Dispose of refrigerated packs</w:t>
      </w:r>
    </w:p>
    <w:p w:rsidR="00000000" w:rsidRDefault="00B27514">
      <w:pPr>
        <w:numPr>
          <w:ilvl w:val="2"/>
          <w:numId w:val="3"/>
        </w:numPr>
      </w:pPr>
      <w:r>
        <w:t xml:space="preserve">Reverse the flaps so the postage paid label is visible </w:t>
      </w:r>
    </w:p>
    <w:p w:rsidR="00000000" w:rsidRDefault="00B27514">
      <w:pPr>
        <w:numPr>
          <w:ilvl w:val="2"/>
          <w:numId w:val="3"/>
        </w:numPr>
      </w:pPr>
      <w:r>
        <w:t>Seal the box with U.S. postal approved shipping tape</w:t>
      </w:r>
    </w:p>
    <w:p w:rsidR="00000000" w:rsidRDefault="00B27514">
      <w:pPr>
        <w:numPr>
          <w:ilvl w:val="2"/>
          <w:numId w:val="3"/>
        </w:numPr>
      </w:pPr>
      <w:r>
        <w:t>Set the box out for your local postal service to pick up</w:t>
      </w:r>
    </w:p>
    <w:p w:rsidR="00000000" w:rsidRDefault="00B27514">
      <w:pPr>
        <w:ind w:left="1440"/>
      </w:pPr>
    </w:p>
    <w:p w:rsidR="00000000" w:rsidRDefault="00B27514">
      <w:pPr>
        <w:numPr>
          <w:ilvl w:val="0"/>
          <w:numId w:val="3"/>
        </w:numPr>
      </w:pPr>
      <w:r>
        <w:t xml:space="preserve">Kool Watch Cold Chain </w:t>
      </w:r>
      <w:r>
        <w:t>Indicators</w:t>
      </w:r>
    </w:p>
    <w:p w:rsidR="00000000" w:rsidRDefault="00B27514">
      <w:pPr>
        <w:numPr>
          <w:ilvl w:val="1"/>
          <w:numId w:val="3"/>
        </w:numPr>
      </w:pPr>
      <w:r>
        <w:t>These indicators will be in every vaccine shipment</w:t>
      </w:r>
    </w:p>
    <w:p w:rsidR="00000000" w:rsidRDefault="00B27514">
      <w:pPr>
        <w:numPr>
          <w:ilvl w:val="1"/>
          <w:numId w:val="3"/>
        </w:numPr>
      </w:pPr>
      <w:r>
        <w:t>This indicator will flash two messages</w:t>
      </w:r>
    </w:p>
    <w:p w:rsidR="00000000" w:rsidRDefault="00B27514">
      <w:pPr>
        <w:numPr>
          <w:ilvl w:val="2"/>
          <w:numId w:val="3"/>
        </w:numPr>
      </w:pPr>
      <w:r>
        <w:t xml:space="preserve">“OK” –vaccine shipment has </w:t>
      </w:r>
      <w:r>
        <w:rPr>
          <w:b/>
          <w:u w:val="single"/>
        </w:rPr>
        <w:t>not</w:t>
      </w:r>
      <w:r>
        <w:t xml:space="preserve"> been compromised</w:t>
      </w:r>
    </w:p>
    <w:p w:rsidR="00000000" w:rsidRDefault="00B27514">
      <w:pPr>
        <w:numPr>
          <w:ilvl w:val="2"/>
          <w:numId w:val="3"/>
        </w:numPr>
      </w:pPr>
      <w:r>
        <w:t xml:space="preserve">“NOT OK”- vaccine shipment </w:t>
      </w:r>
      <w:r>
        <w:rPr>
          <w:b/>
          <w:u w:val="single"/>
        </w:rPr>
        <w:t>has been</w:t>
      </w:r>
      <w:r>
        <w:t xml:space="preserve"> compromised </w:t>
      </w:r>
    </w:p>
    <w:p w:rsidR="00000000" w:rsidRDefault="00B27514">
      <w:pPr>
        <w:numPr>
          <w:ilvl w:val="3"/>
          <w:numId w:val="3"/>
        </w:numPr>
      </w:pPr>
      <w:r>
        <w:t>contact McKesson Specialty at 877-822-7746</w:t>
      </w:r>
    </w:p>
    <w:p w:rsidR="00000000" w:rsidRDefault="00B27514">
      <w:pPr>
        <w:ind w:left="2160"/>
      </w:pPr>
    </w:p>
    <w:p w:rsidR="00000000" w:rsidRDefault="00B27514">
      <w:pPr>
        <w:numPr>
          <w:ilvl w:val="0"/>
          <w:numId w:val="3"/>
        </w:numPr>
      </w:pPr>
      <w:r>
        <w:t>MIP will be wo</w:t>
      </w:r>
      <w:r>
        <w:t xml:space="preserve">rking with providers on an order schedule specific to the site </w:t>
      </w:r>
    </w:p>
    <w:p w:rsidR="00000000" w:rsidRDefault="00B27514">
      <w:pPr>
        <w:numPr>
          <w:ilvl w:val="1"/>
          <w:numId w:val="3"/>
        </w:numPr>
      </w:pPr>
      <w:r>
        <w:t>The criteria for the ordering schedule will include the following</w:t>
      </w:r>
    </w:p>
    <w:p w:rsidR="00000000" w:rsidRDefault="00B27514">
      <w:pPr>
        <w:numPr>
          <w:ilvl w:val="2"/>
          <w:numId w:val="3"/>
        </w:numPr>
      </w:pPr>
      <w:r>
        <w:t>Size of you refrigerator</w:t>
      </w:r>
    </w:p>
    <w:p w:rsidR="00000000" w:rsidRDefault="00B27514">
      <w:pPr>
        <w:numPr>
          <w:ilvl w:val="2"/>
          <w:numId w:val="3"/>
        </w:numPr>
      </w:pPr>
      <w:r>
        <w:t>Volume of vaccine your practice orders</w:t>
      </w:r>
    </w:p>
    <w:p w:rsidR="00000000" w:rsidRDefault="00B27514">
      <w:pPr>
        <w:numPr>
          <w:ilvl w:val="2"/>
          <w:numId w:val="3"/>
        </w:numPr>
      </w:pPr>
      <w:r>
        <w:t>Historical ordering patterns</w:t>
      </w:r>
    </w:p>
    <w:p w:rsidR="00000000" w:rsidRDefault="00B27514"/>
    <w:p w:rsidR="00000000" w:rsidRDefault="00B27514">
      <w:r>
        <w:t>We appreciate your dedication to</w:t>
      </w:r>
      <w:r>
        <w:t xml:space="preserve"> this process change. If you need clarification or any assistance along the way please contact us at 1-800-867-4775.</w:t>
      </w:r>
    </w:p>
    <w:p w:rsidR="00000000" w:rsidRDefault="00B27514">
      <w:r>
        <w:t xml:space="preserve">  </w:t>
      </w:r>
    </w:p>
    <w:p w:rsidR="00000000" w:rsidRDefault="00B27514"/>
    <w:sectPr w:rsidR="00000000">
      <w:footerReference w:type="default" r:id="rId8"/>
      <w:pgSz w:w="12240" w:h="15840"/>
      <w:pgMar w:top="720" w:right="1800" w:bottom="1440" w:left="16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B27514">
      <w:r>
        <w:separator/>
      </w:r>
    </w:p>
  </w:endnote>
  <w:endnote w:type="continuationSeparator" w:id="0">
    <w:p w:rsidR="00000000" w:rsidRDefault="00B275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mond (WT)">
    <w:panose1 w:val="00000000000000000000"/>
    <w:charset w:val="00"/>
    <w:family w:val="roman"/>
    <w:notTrueType/>
    <w:pitch w:val="variable"/>
    <w:sig w:usb0="00000003" w:usb1="00000000" w:usb2="00000000" w:usb3="00000000" w:csb0="00000001" w:csb1="00000000"/>
  </w:font>
  <w:font w:name="Clarendon Cd (WE)">
    <w:altName w:val="Times New Roman"/>
    <w:panose1 w:val="00000000000000000000"/>
    <w:charset w:val="EE"/>
    <w:family w:val="roman"/>
    <w:notTrueType/>
    <w:pitch w:val="variable"/>
    <w:sig w:usb0="00000005" w:usb1="00000000" w:usb2="00000000" w:usb3="00000000" w:csb0="00000002"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27514">
    <w:pPr>
      <w:pStyle w:val="Footer"/>
      <w:rPr>
        <w:sz w:val="16"/>
        <w:szCs w:val="16"/>
      </w:rPr>
    </w:pPr>
    <w:r>
      <w:rPr>
        <w:sz w:val="16"/>
        <w:szCs w:val="16"/>
      </w:rPr>
      <w:fldChar w:fldCharType="begin"/>
    </w:r>
    <w:r>
      <w:rPr>
        <w:sz w:val="16"/>
        <w:szCs w:val="16"/>
      </w:rPr>
      <w:instrText xml:space="preserve"> FILENAME \p </w:instrText>
    </w:r>
    <w:r>
      <w:rPr>
        <w:sz w:val="16"/>
        <w:szCs w:val="16"/>
      </w:rPr>
      <w:fldChar w:fldCharType="separate"/>
    </w:r>
    <w:r>
      <w:rPr>
        <w:noProof/>
        <w:sz w:val="16"/>
        <w:szCs w:val="16"/>
      </w:rPr>
      <w:t>S:\PROGRAM\Immunize\Program Management\Communications\Blastfax\VMBIP_Transition_Provider_V2.doc</w:t>
    </w:r>
    <w:r>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B27514">
      <w:r>
        <w:separator/>
      </w:r>
    </w:p>
  </w:footnote>
  <w:footnote w:type="continuationSeparator" w:id="0">
    <w:p w:rsidR="00000000" w:rsidRDefault="00B275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12637"/>
    <w:multiLevelType w:val="hybridMultilevel"/>
    <w:tmpl w:val="40CE9B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D91610"/>
    <w:multiLevelType w:val="hybridMultilevel"/>
    <w:tmpl w:val="0D889E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F0F05E8"/>
    <w:multiLevelType w:val="hybridMultilevel"/>
    <w:tmpl w:val="8E76C89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ocumentType w:val="letter"/>
  <w:defaultTabStop w:val="720"/>
  <w:noPunctuationKerning/>
  <w:characterSpacingControl w:val="doNotCompress"/>
  <w:footnotePr>
    <w:footnote w:id="-1"/>
    <w:footnote w:id="0"/>
  </w:footnotePr>
  <w:endnotePr>
    <w:endnote w:id="-1"/>
    <w:endnote w:id="0"/>
  </w:endnotePr>
  <w:compat/>
  <w:rsids>
    <w:rsidRoot w:val="00B27514"/>
    <w:rsid w:val="00B27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Garmond (WT)" w:hAnsi="Garmond (WT)"/>
      <w:b/>
      <w:bCs/>
      <w:i/>
      <w:iCs/>
      <w:sz w:val="48"/>
    </w:rPr>
  </w:style>
  <w:style w:type="paragraph" w:styleId="Heading2">
    <w:name w:val="heading 2"/>
    <w:basedOn w:val="Normal"/>
    <w:next w:val="Normal"/>
    <w:qFormat/>
    <w:pPr>
      <w:keepNext/>
      <w:outlineLvl w:val="1"/>
    </w:pPr>
    <w:rPr>
      <w:b/>
      <w:bCs/>
      <w:szCs w:val="20"/>
    </w:rPr>
  </w:style>
  <w:style w:type="paragraph" w:styleId="Heading3">
    <w:name w:val="heading 3"/>
    <w:basedOn w:val="Normal"/>
    <w:next w:val="Normal"/>
    <w:qFormat/>
    <w:pPr>
      <w:keepNext/>
      <w:autoSpaceDE w:val="0"/>
      <w:autoSpaceDN w:val="0"/>
      <w:adjustRightInd w:val="0"/>
      <w:ind w:left="1080"/>
      <w:outlineLvl w:val="2"/>
    </w:pPr>
    <w:rPr>
      <w:b/>
      <w:bCs/>
      <w:szCs w:val="20"/>
    </w:rPr>
  </w:style>
  <w:style w:type="paragraph" w:styleId="Heading4">
    <w:name w:val="heading 4"/>
    <w:basedOn w:val="Normal"/>
    <w:next w:val="Normal"/>
    <w:qFormat/>
    <w:pPr>
      <w:keepNext/>
      <w:jc w:val="center"/>
      <w:outlineLvl w:val="3"/>
    </w:pPr>
    <w:rPr>
      <w:i/>
      <w:iCs/>
    </w:rPr>
  </w:style>
  <w:style w:type="paragraph" w:styleId="Heading5">
    <w:name w:val="heading 5"/>
    <w:basedOn w:val="Normal"/>
    <w:next w:val="Normal"/>
    <w:qFormat/>
    <w:pPr>
      <w:keepNext/>
      <w:jc w:val="center"/>
      <w:outlineLvl w:val="4"/>
    </w:pPr>
    <w:rPr>
      <w:b/>
      <w:sz w:val="20"/>
      <w:szCs w:val="20"/>
    </w:rPr>
  </w:style>
  <w:style w:type="paragraph" w:styleId="Heading6">
    <w:name w:val="heading 6"/>
    <w:basedOn w:val="Normal"/>
    <w:next w:val="Normal"/>
    <w:qFormat/>
    <w:pPr>
      <w:keepNext/>
      <w:jc w:val="center"/>
      <w:outlineLvl w:val="5"/>
    </w:pPr>
    <w:rPr>
      <w:b/>
      <w:sz w:val="18"/>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Name">
    <w:name w:val="Inside Address Name"/>
    <w:basedOn w:val="Normal"/>
  </w:style>
  <w:style w:type="paragraph" w:styleId="Salutation">
    <w:name w:val="Salutation"/>
    <w:basedOn w:val="Normal"/>
    <w:next w:val="Normal"/>
    <w:semiHidden/>
  </w:style>
  <w:style w:type="paragraph" w:styleId="BodyText">
    <w:name w:val="Body Text"/>
    <w:basedOn w:val="Normal"/>
    <w:semiHidden/>
    <w:pPr>
      <w:spacing w:after="120"/>
    </w:pPr>
  </w:style>
  <w:style w:type="paragraph" w:styleId="Date">
    <w:name w:val="Date"/>
    <w:basedOn w:val="Normal"/>
    <w:next w:val="Normal"/>
    <w:semiHidden/>
  </w:style>
  <w:style w:type="paragraph" w:styleId="Closing">
    <w:name w:val="Closing"/>
    <w:basedOn w:val="Normal"/>
    <w:semiHidden/>
  </w:style>
  <w:style w:type="paragraph" w:styleId="Signature">
    <w:name w:val="Signature"/>
    <w:basedOn w:val="Normal"/>
    <w:semiHidden/>
  </w:style>
  <w:style w:type="paragraph" w:styleId="BlockText">
    <w:name w:val="Block Text"/>
    <w:basedOn w:val="Normal"/>
    <w:semiHidden/>
    <w:pPr>
      <w:ind w:left="144" w:right="144"/>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PROGRAM\IMMUNIZE\Blastfax\Sheet%20Templates\Informatio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Informational.dot</Template>
  <TotalTime>0</TotalTime>
  <Pages>2</Pages>
  <Words>438</Words>
  <Characters>2499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Maine - DHS</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kathleen.mahoney</cp:lastModifiedBy>
  <cp:revision>2</cp:revision>
  <cp:lastPrinted>2007-04-26T20:40:00Z</cp:lastPrinted>
  <dcterms:created xsi:type="dcterms:W3CDTF">2011-01-12T13:43:00Z</dcterms:created>
  <dcterms:modified xsi:type="dcterms:W3CDTF">2011-01-12T13:43:00Z</dcterms:modified>
</cp:coreProperties>
</file>