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B550" w14:textId="77777777" w:rsidR="009376CE" w:rsidRDefault="00960A62">
      <w:pPr>
        <w:jc w:val="center"/>
        <w:rPr>
          <w:b/>
          <w:i/>
          <w:color w:val="CC0000"/>
          <w:sz w:val="28"/>
          <w:szCs w:val="28"/>
        </w:rPr>
      </w:pPr>
      <w:r>
        <w:rPr>
          <w:color w:val="F1C232"/>
        </w:rPr>
        <w:t>Maine Charter School Commission</w:t>
      </w:r>
      <w:r>
        <w:br/>
      </w:r>
      <w:r>
        <w:rPr>
          <w:b/>
          <w:i/>
          <w:color w:val="CC0000"/>
          <w:sz w:val="28"/>
          <w:szCs w:val="28"/>
        </w:rPr>
        <w:t>New Charter School Application Timeline</w:t>
      </w:r>
    </w:p>
    <w:p w14:paraId="77EBA250" w14:textId="77777777" w:rsidR="009376CE" w:rsidRDefault="009376CE">
      <w:pPr>
        <w:jc w:val="center"/>
        <w:rPr>
          <w:b/>
          <w:i/>
          <w:sz w:val="28"/>
          <w:szCs w:val="28"/>
        </w:rPr>
      </w:pPr>
    </w:p>
    <w:p w14:paraId="25BED89E" w14:textId="77777777" w:rsidR="009376CE" w:rsidRDefault="009376CE"/>
    <w:tbl>
      <w:tblPr>
        <w:tblStyle w:val="a"/>
        <w:tblW w:w="8670" w:type="dxa"/>
        <w:tblBorders>
          <w:top w:val="nil"/>
          <w:left w:val="nil"/>
          <w:bottom w:val="nil"/>
          <w:right w:val="nil"/>
          <w:insideH w:val="nil"/>
          <w:insideV w:val="nil"/>
        </w:tblBorders>
        <w:tblLayout w:type="fixed"/>
        <w:tblLook w:val="0600" w:firstRow="0" w:lastRow="0" w:firstColumn="0" w:lastColumn="0" w:noHBand="1" w:noVBand="1"/>
      </w:tblPr>
      <w:tblGrid>
        <w:gridCol w:w="2370"/>
        <w:gridCol w:w="6300"/>
      </w:tblGrid>
      <w:tr w:rsidR="009376CE" w14:paraId="71C49D77" w14:textId="77777777">
        <w:trPr>
          <w:trHeight w:val="270"/>
        </w:trPr>
        <w:tc>
          <w:tcPr>
            <w:tcW w:w="237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588DB20" w14:textId="77777777" w:rsidR="009376CE" w:rsidRDefault="00960A62">
            <w:pPr>
              <w:spacing w:after="240"/>
              <w:ind w:left="220"/>
              <w:jc w:val="center"/>
              <w:rPr>
                <w:b/>
                <w:sz w:val="18"/>
                <w:szCs w:val="18"/>
              </w:rPr>
            </w:pPr>
            <w:r>
              <w:rPr>
                <w:b/>
                <w:sz w:val="18"/>
                <w:szCs w:val="18"/>
              </w:rPr>
              <w:t>Date</w:t>
            </w:r>
          </w:p>
        </w:tc>
        <w:tc>
          <w:tcPr>
            <w:tcW w:w="6300"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0E4B172C" w14:textId="77777777" w:rsidR="009376CE" w:rsidRDefault="00960A62">
            <w:pPr>
              <w:spacing w:after="240"/>
              <w:ind w:left="220"/>
              <w:jc w:val="center"/>
              <w:rPr>
                <w:b/>
                <w:sz w:val="18"/>
                <w:szCs w:val="18"/>
              </w:rPr>
            </w:pPr>
            <w:r>
              <w:rPr>
                <w:b/>
                <w:sz w:val="18"/>
                <w:szCs w:val="18"/>
              </w:rPr>
              <w:t>Activity</w:t>
            </w:r>
          </w:p>
        </w:tc>
      </w:tr>
      <w:tr w:rsidR="009376CE" w14:paraId="6092D350" w14:textId="77777777">
        <w:trPr>
          <w:trHeight w:val="27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1ED9DE0F" w14:textId="3BB4D306" w:rsidR="009376CE" w:rsidRDefault="00266F0A">
            <w:pPr>
              <w:spacing w:after="240"/>
              <w:ind w:left="220"/>
              <w:rPr>
                <w:i/>
                <w:sz w:val="18"/>
                <w:szCs w:val="18"/>
              </w:rPr>
            </w:pPr>
            <w:r>
              <w:rPr>
                <w:i/>
                <w:sz w:val="18"/>
                <w:szCs w:val="18"/>
              </w:rPr>
              <w:t>January</w:t>
            </w:r>
            <w:r w:rsidR="00960A62">
              <w:rPr>
                <w:i/>
                <w:sz w:val="18"/>
                <w:szCs w:val="18"/>
              </w:rPr>
              <w:t xml:space="preserve"> 15, 202</w:t>
            </w:r>
            <w:r w:rsidR="005D5950">
              <w:rPr>
                <w:i/>
                <w:sz w:val="18"/>
                <w:szCs w:val="18"/>
              </w:rPr>
              <w:t>4</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2728BACB" w14:textId="3D2EA9ED" w:rsidR="009376CE" w:rsidRDefault="00266F0A">
            <w:pPr>
              <w:spacing w:after="240"/>
              <w:ind w:left="220"/>
              <w:rPr>
                <w:sz w:val="18"/>
                <w:szCs w:val="18"/>
              </w:rPr>
            </w:pPr>
            <w:r>
              <w:rPr>
                <w:sz w:val="18"/>
                <w:szCs w:val="18"/>
              </w:rPr>
              <w:t>DRAFT</w:t>
            </w:r>
            <w:r w:rsidR="005D5950">
              <w:rPr>
                <w:sz w:val="18"/>
                <w:szCs w:val="18"/>
              </w:rPr>
              <w:t xml:space="preserve"> Release:</w:t>
            </w:r>
            <w:r>
              <w:rPr>
                <w:sz w:val="18"/>
                <w:szCs w:val="18"/>
              </w:rPr>
              <w:t xml:space="preserve"> </w:t>
            </w:r>
            <w:r w:rsidR="00960A62">
              <w:rPr>
                <w:sz w:val="18"/>
                <w:szCs w:val="18"/>
              </w:rPr>
              <w:t xml:space="preserve">New Charter School RFP </w:t>
            </w:r>
          </w:p>
        </w:tc>
      </w:tr>
      <w:tr w:rsidR="009376CE" w14:paraId="6E1CC5F8" w14:textId="77777777" w:rsidTr="005D5950">
        <w:trPr>
          <w:trHeight w:val="1014"/>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7BC18E88" w14:textId="037381AA" w:rsidR="009376CE" w:rsidRDefault="00960A62" w:rsidP="00960A62">
            <w:pPr>
              <w:spacing w:after="240"/>
              <w:ind w:left="220"/>
              <w:rPr>
                <w:sz w:val="18"/>
                <w:szCs w:val="18"/>
              </w:rPr>
            </w:pPr>
            <w:r>
              <w:rPr>
                <w:i/>
                <w:sz w:val="18"/>
                <w:szCs w:val="18"/>
              </w:rPr>
              <w:t>First Tuesday of each month</w:t>
            </w:r>
            <w:r>
              <w:rPr>
                <w:sz w:val="18"/>
                <w:szCs w:val="18"/>
              </w:rPr>
              <w:t xml:space="preserve"> </w:t>
            </w:r>
            <w:r>
              <w:rPr>
                <w:i/>
                <w:sz w:val="18"/>
                <w:szCs w:val="18"/>
              </w:rPr>
              <w:t>March</w:t>
            </w:r>
            <w:r>
              <w:rPr>
                <w:i/>
                <w:sz w:val="18"/>
                <w:szCs w:val="18"/>
              </w:rPr>
              <w:t xml:space="preserve"> 2024 </w:t>
            </w:r>
            <w:r>
              <w:rPr>
                <w:i/>
                <w:sz w:val="18"/>
                <w:szCs w:val="18"/>
              </w:rPr>
              <w:t xml:space="preserve">- </w:t>
            </w:r>
            <w:r>
              <w:rPr>
                <w:i/>
                <w:sz w:val="18"/>
                <w:szCs w:val="18"/>
              </w:rPr>
              <w:t>August 2024</w:t>
            </w:r>
            <w:r>
              <w:rPr>
                <w:sz w:val="18"/>
                <w:szCs w:val="18"/>
              </w:rPr>
              <w:t xml:space="preserve"> </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26A698CE" w14:textId="77777777" w:rsidR="005D5950" w:rsidRDefault="005D5950" w:rsidP="005D5950">
            <w:pPr>
              <w:spacing w:line="283" w:lineRule="auto"/>
              <w:ind w:left="320" w:right="40"/>
              <w:rPr>
                <w:sz w:val="18"/>
                <w:szCs w:val="18"/>
              </w:rPr>
            </w:pPr>
            <w:r>
              <w:rPr>
                <w:sz w:val="18"/>
                <w:szCs w:val="18"/>
              </w:rPr>
              <w:t>Information Session</w:t>
            </w:r>
            <w:r>
              <w:rPr>
                <w:sz w:val="18"/>
                <w:szCs w:val="18"/>
              </w:rPr>
              <w:t>s</w:t>
            </w:r>
            <w:r>
              <w:rPr>
                <w:sz w:val="18"/>
                <w:szCs w:val="18"/>
              </w:rPr>
              <w:t>.</w:t>
            </w:r>
            <w:r>
              <w:rPr>
                <w:sz w:val="18"/>
                <w:szCs w:val="18"/>
              </w:rPr>
              <w:t xml:space="preserve"> O</w:t>
            </w:r>
            <w:r>
              <w:rPr>
                <w:sz w:val="18"/>
                <w:szCs w:val="18"/>
              </w:rPr>
              <w:t>rientation</w:t>
            </w:r>
            <w:r>
              <w:rPr>
                <w:sz w:val="18"/>
                <w:szCs w:val="18"/>
              </w:rPr>
              <w:t>s</w:t>
            </w:r>
            <w:r>
              <w:rPr>
                <w:sz w:val="18"/>
                <w:szCs w:val="18"/>
              </w:rPr>
              <w:t xml:space="preserve"> designed to support prospective charter school applicants. The purpose of </w:t>
            </w:r>
            <w:r>
              <w:rPr>
                <w:sz w:val="18"/>
                <w:szCs w:val="18"/>
              </w:rPr>
              <w:t>the</w:t>
            </w:r>
            <w:r>
              <w:rPr>
                <w:sz w:val="18"/>
                <w:szCs w:val="18"/>
              </w:rPr>
              <w:t xml:space="preserve"> orientation</w:t>
            </w:r>
            <w:r>
              <w:rPr>
                <w:sz w:val="18"/>
                <w:szCs w:val="18"/>
              </w:rPr>
              <w:t>s</w:t>
            </w:r>
            <w:r>
              <w:rPr>
                <w:sz w:val="18"/>
                <w:szCs w:val="18"/>
              </w:rPr>
              <w:t xml:space="preserve"> is to deepen understanding of:</w:t>
            </w:r>
          </w:p>
          <w:p w14:paraId="1A5074C1" w14:textId="77777777" w:rsidR="005D5950" w:rsidRDefault="005D5950" w:rsidP="005D5950">
            <w:pPr>
              <w:spacing w:line="283" w:lineRule="auto"/>
              <w:ind w:left="320" w:right="40"/>
              <w:rPr>
                <w:sz w:val="18"/>
                <w:szCs w:val="18"/>
              </w:rPr>
            </w:pPr>
            <w:r>
              <w:rPr>
                <w:sz w:val="18"/>
                <w:szCs w:val="18"/>
              </w:rPr>
              <w:t xml:space="preserve">1. </w:t>
            </w:r>
            <w:r>
              <w:rPr>
                <w:sz w:val="18"/>
                <w:szCs w:val="18"/>
              </w:rPr>
              <w:t>The Commission’s expectations as articulated in the New Charter School Application;</w:t>
            </w:r>
          </w:p>
          <w:p w14:paraId="130E299F" w14:textId="77777777" w:rsidR="005D5950" w:rsidRDefault="005D5950" w:rsidP="005D5950">
            <w:pPr>
              <w:spacing w:line="283" w:lineRule="auto"/>
              <w:ind w:left="320" w:right="40"/>
              <w:rPr>
                <w:sz w:val="18"/>
                <w:szCs w:val="18"/>
              </w:rPr>
            </w:pPr>
            <w:r>
              <w:rPr>
                <w:sz w:val="18"/>
                <w:szCs w:val="18"/>
              </w:rPr>
              <w:t xml:space="preserve">2. </w:t>
            </w:r>
            <w:r>
              <w:rPr>
                <w:sz w:val="18"/>
                <w:szCs w:val="18"/>
              </w:rPr>
              <w:t>How to access Epicenter, the online submission portal</w:t>
            </w:r>
            <w:r>
              <w:rPr>
                <w:sz w:val="18"/>
                <w:szCs w:val="18"/>
              </w:rPr>
              <w:t>;</w:t>
            </w:r>
          </w:p>
          <w:p w14:paraId="5FCE4F97" w14:textId="77777777" w:rsidR="005D5950" w:rsidRDefault="005D5950" w:rsidP="005D5950">
            <w:pPr>
              <w:spacing w:line="283" w:lineRule="auto"/>
              <w:ind w:left="320" w:right="40"/>
              <w:rPr>
                <w:sz w:val="18"/>
                <w:szCs w:val="18"/>
              </w:rPr>
            </w:pPr>
            <w:r>
              <w:rPr>
                <w:sz w:val="18"/>
                <w:szCs w:val="18"/>
              </w:rPr>
              <w:t xml:space="preserve">3. </w:t>
            </w:r>
            <w:r>
              <w:rPr>
                <w:sz w:val="18"/>
                <w:szCs w:val="18"/>
              </w:rPr>
              <w:t>How applications will be evaluated;</w:t>
            </w:r>
          </w:p>
          <w:p w14:paraId="6C875E6D" w14:textId="77777777" w:rsidR="005D5950" w:rsidRDefault="005D5950" w:rsidP="005D5950">
            <w:pPr>
              <w:spacing w:line="283" w:lineRule="auto"/>
              <w:ind w:left="320" w:right="40"/>
              <w:rPr>
                <w:sz w:val="18"/>
                <w:szCs w:val="18"/>
              </w:rPr>
            </w:pPr>
            <w:r>
              <w:rPr>
                <w:sz w:val="18"/>
                <w:szCs w:val="18"/>
              </w:rPr>
              <w:t xml:space="preserve">4. </w:t>
            </w:r>
            <w:r>
              <w:rPr>
                <w:sz w:val="18"/>
                <w:szCs w:val="18"/>
              </w:rPr>
              <w:t>The purpose and format of Public Forums; and</w:t>
            </w:r>
          </w:p>
          <w:p w14:paraId="4B85FBE1" w14:textId="62408554" w:rsidR="009376CE" w:rsidRDefault="005D5950" w:rsidP="005D5950">
            <w:pPr>
              <w:spacing w:line="283" w:lineRule="auto"/>
              <w:ind w:left="320" w:right="40"/>
              <w:rPr>
                <w:sz w:val="18"/>
                <w:szCs w:val="18"/>
              </w:rPr>
            </w:pPr>
            <w:r>
              <w:rPr>
                <w:sz w:val="18"/>
                <w:szCs w:val="18"/>
              </w:rPr>
              <w:t xml:space="preserve">5. </w:t>
            </w:r>
            <w:r>
              <w:rPr>
                <w:sz w:val="18"/>
                <w:szCs w:val="18"/>
              </w:rPr>
              <w:t>Changes that have occurred to the RFP since last cycle.</w:t>
            </w:r>
          </w:p>
        </w:tc>
      </w:tr>
      <w:tr w:rsidR="009376CE" w14:paraId="7115D08E" w14:textId="77777777" w:rsidTr="005D5950">
        <w:trPr>
          <w:trHeight w:val="645"/>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0D9279E1" w14:textId="77777777" w:rsidR="009376CE" w:rsidRDefault="00960A62">
            <w:pPr>
              <w:spacing w:before="240" w:after="240" w:line="238" w:lineRule="auto"/>
              <w:ind w:left="220"/>
              <w:rPr>
                <w:i/>
                <w:sz w:val="18"/>
                <w:szCs w:val="18"/>
              </w:rPr>
            </w:pPr>
            <w:r>
              <w:rPr>
                <w:i/>
                <w:sz w:val="18"/>
                <w:szCs w:val="18"/>
              </w:rPr>
              <w:t>July 1, 2024</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475A5FB0" w14:textId="0BF859BC" w:rsidR="009376CE" w:rsidRDefault="00960A62">
            <w:pPr>
              <w:spacing w:before="240" w:after="240" w:line="238" w:lineRule="auto"/>
              <w:ind w:left="220"/>
              <w:rPr>
                <w:sz w:val="18"/>
                <w:szCs w:val="18"/>
              </w:rPr>
            </w:pPr>
            <w:r>
              <w:rPr>
                <w:sz w:val="18"/>
                <w:szCs w:val="18"/>
              </w:rPr>
              <w:t xml:space="preserve">Official </w:t>
            </w:r>
            <w:r>
              <w:rPr>
                <w:sz w:val="18"/>
                <w:szCs w:val="18"/>
              </w:rPr>
              <w:t xml:space="preserve">New Charter School RFP </w:t>
            </w:r>
            <w:r>
              <w:rPr>
                <w:sz w:val="18"/>
                <w:szCs w:val="18"/>
              </w:rPr>
              <w:t>R</w:t>
            </w:r>
            <w:r>
              <w:rPr>
                <w:sz w:val="18"/>
                <w:szCs w:val="18"/>
              </w:rPr>
              <w:t>elease</w:t>
            </w:r>
          </w:p>
        </w:tc>
      </w:tr>
      <w:tr w:rsidR="009376CE" w14:paraId="49C8AB7E" w14:textId="77777777">
        <w:trPr>
          <w:trHeight w:val="27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5A7DA15A" w14:textId="0A967FEC" w:rsidR="009376CE" w:rsidRPr="00960A62" w:rsidRDefault="00960A62">
            <w:pPr>
              <w:spacing w:before="240" w:after="240" w:line="238" w:lineRule="auto"/>
              <w:ind w:left="220"/>
              <w:rPr>
                <w:i/>
                <w:sz w:val="18"/>
                <w:szCs w:val="18"/>
              </w:rPr>
            </w:pPr>
            <w:r w:rsidRPr="00960A62">
              <w:rPr>
                <w:i/>
                <w:sz w:val="18"/>
                <w:szCs w:val="18"/>
              </w:rPr>
              <w:t>July 15, 202</w:t>
            </w:r>
            <w:r w:rsidRPr="00960A62">
              <w:rPr>
                <w:i/>
                <w:sz w:val="18"/>
                <w:szCs w:val="18"/>
              </w:rPr>
              <w:t>4</w:t>
            </w:r>
            <w:r w:rsidR="005D5950" w:rsidRPr="00960A62">
              <w:rPr>
                <w:i/>
                <w:sz w:val="18"/>
                <w:szCs w:val="18"/>
              </w:rPr>
              <w:t>,</w:t>
            </w:r>
            <w:r w:rsidRPr="00960A62">
              <w:rPr>
                <w:i/>
                <w:sz w:val="18"/>
                <w:szCs w:val="18"/>
              </w:rPr>
              <w:t xml:space="preserve"> by 5:00 pm EST</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20A3DFAD" w14:textId="77777777" w:rsidR="009376CE" w:rsidRDefault="00960A62">
            <w:pPr>
              <w:spacing w:before="240" w:after="240" w:line="238" w:lineRule="auto"/>
              <w:ind w:left="220"/>
              <w:rPr>
                <w:sz w:val="18"/>
                <w:szCs w:val="18"/>
              </w:rPr>
            </w:pPr>
            <w:r>
              <w:rPr>
                <w:sz w:val="18"/>
                <w:szCs w:val="18"/>
              </w:rPr>
              <w:t>Letter of Intent to Apply due via Epicenter, the online submission portal</w:t>
            </w:r>
          </w:p>
        </w:tc>
      </w:tr>
      <w:tr w:rsidR="009376CE" w14:paraId="6F986A52" w14:textId="77777777">
        <w:trPr>
          <w:trHeight w:val="90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3267CABB" w14:textId="44FF76A6" w:rsidR="009376CE" w:rsidRDefault="00960A62">
            <w:pPr>
              <w:spacing w:before="240" w:after="240" w:line="238" w:lineRule="auto"/>
              <w:ind w:left="220"/>
              <w:rPr>
                <w:i/>
                <w:sz w:val="18"/>
                <w:szCs w:val="18"/>
              </w:rPr>
            </w:pPr>
            <w:r>
              <w:rPr>
                <w:i/>
                <w:sz w:val="18"/>
                <w:szCs w:val="18"/>
              </w:rPr>
              <w:t xml:space="preserve">July </w:t>
            </w:r>
            <w:r w:rsidR="005D5950">
              <w:rPr>
                <w:i/>
                <w:sz w:val="18"/>
                <w:szCs w:val="18"/>
              </w:rPr>
              <w:t xml:space="preserve">16, </w:t>
            </w:r>
            <w:r>
              <w:rPr>
                <w:i/>
                <w:sz w:val="18"/>
                <w:szCs w:val="18"/>
              </w:rPr>
              <w:t>2024</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52D92620" w14:textId="77777777" w:rsidR="009376CE" w:rsidRDefault="00960A62">
            <w:pPr>
              <w:spacing w:before="240" w:after="240" w:line="238" w:lineRule="auto"/>
              <w:ind w:left="220"/>
              <w:rPr>
                <w:sz w:val="18"/>
                <w:szCs w:val="18"/>
              </w:rPr>
            </w:pPr>
            <w:r>
              <w:rPr>
                <w:sz w:val="18"/>
                <w:szCs w:val="18"/>
              </w:rPr>
              <w:t>Online submission portal, Epicenter, opens to entities that submitted the Intent to Apply by the deadline. Proposals will only be accepted via Epicenter</w:t>
            </w:r>
          </w:p>
        </w:tc>
      </w:tr>
      <w:tr w:rsidR="009376CE" w14:paraId="4B133C30" w14:textId="77777777">
        <w:trPr>
          <w:trHeight w:val="45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4533BDAE" w14:textId="746CBCDE" w:rsidR="009376CE" w:rsidRPr="00960A62" w:rsidRDefault="00960A62">
            <w:pPr>
              <w:spacing w:before="240" w:after="240" w:line="238" w:lineRule="auto"/>
              <w:ind w:left="220"/>
              <w:rPr>
                <w:i/>
                <w:sz w:val="18"/>
                <w:szCs w:val="18"/>
              </w:rPr>
            </w:pPr>
            <w:r w:rsidRPr="00960A62">
              <w:rPr>
                <w:i/>
                <w:sz w:val="18"/>
                <w:szCs w:val="18"/>
              </w:rPr>
              <w:t xml:space="preserve">February 13, </w:t>
            </w:r>
            <w:r w:rsidR="005D5950" w:rsidRPr="00960A62">
              <w:rPr>
                <w:i/>
                <w:sz w:val="18"/>
                <w:szCs w:val="18"/>
              </w:rPr>
              <w:t>2025,</w:t>
            </w:r>
            <w:r w:rsidRPr="00960A62">
              <w:rPr>
                <w:i/>
                <w:sz w:val="18"/>
                <w:szCs w:val="18"/>
              </w:rPr>
              <w:t xml:space="preserve"> by 5:00 pm EDT</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6D0099A5" w14:textId="77777777" w:rsidR="009376CE" w:rsidRDefault="00960A62">
            <w:pPr>
              <w:spacing w:before="240" w:after="240" w:line="238" w:lineRule="auto"/>
              <w:ind w:left="220"/>
              <w:rPr>
                <w:sz w:val="18"/>
                <w:szCs w:val="18"/>
              </w:rPr>
            </w:pPr>
            <w:r>
              <w:rPr>
                <w:sz w:val="18"/>
                <w:szCs w:val="18"/>
              </w:rPr>
              <w:t>Application deadline</w:t>
            </w:r>
          </w:p>
        </w:tc>
      </w:tr>
      <w:tr w:rsidR="009376CE" w14:paraId="75033FCD" w14:textId="77777777">
        <w:trPr>
          <w:trHeight w:val="27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3BF8D0FC" w14:textId="77777777" w:rsidR="009376CE" w:rsidRDefault="00960A62">
            <w:pPr>
              <w:spacing w:before="240" w:after="240" w:line="238" w:lineRule="auto"/>
              <w:ind w:left="220"/>
              <w:rPr>
                <w:i/>
                <w:sz w:val="18"/>
                <w:szCs w:val="18"/>
              </w:rPr>
            </w:pPr>
            <w:r>
              <w:rPr>
                <w:i/>
                <w:sz w:val="18"/>
                <w:szCs w:val="18"/>
              </w:rPr>
              <w:t>February 20, 2025</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53761B54" w14:textId="77777777" w:rsidR="009376CE" w:rsidRDefault="00960A62">
            <w:pPr>
              <w:spacing w:before="240" w:after="240" w:line="238" w:lineRule="auto"/>
              <w:ind w:left="220"/>
              <w:rPr>
                <w:sz w:val="18"/>
                <w:szCs w:val="18"/>
              </w:rPr>
            </w:pPr>
            <w:r>
              <w:rPr>
                <w:sz w:val="18"/>
                <w:szCs w:val="18"/>
              </w:rPr>
              <w:t>Review application for completeness</w:t>
            </w:r>
          </w:p>
        </w:tc>
      </w:tr>
      <w:tr w:rsidR="009376CE" w14:paraId="38877198" w14:textId="77777777">
        <w:trPr>
          <w:trHeight w:val="27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18B396F5" w14:textId="6C5D0DBA" w:rsidR="009376CE" w:rsidRPr="00960A62" w:rsidRDefault="00960A62" w:rsidP="00960A62">
            <w:pPr>
              <w:spacing w:before="240" w:after="240" w:line="238" w:lineRule="auto"/>
              <w:ind w:left="220"/>
              <w:rPr>
                <w:i/>
                <w:sz w:val="18"/>
                <w:szCs w:val="18"/>
              </w:rPr>
            </w:pPr>
            <w:r w:rsidRPr="00960A62">
              <w:rPr>
                <w:i/>
                <w:sz w:val="18"/>
                <w:szCs w:val="18"/>
              </w:rPr>
              <w:t>February 25, 2025, by</w:t>
            </w:r>
            <w:r w:rsidRPr="00960A62">
              <w:rPr>
                <w:i/>
                <w:sz w:val="18"/>
                <w:szCs w:val="18"/>
              </w:rPr>
              <w:t xml:space="preserve"> 5:00 pm EDT</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3CB2F5AB" w14:textId="77777777" w:rsidR="009376CE" w:rsidRDefault="00960A62">
            <w:pPr>
              <w:spacing w:before="240" w:after="240" w:line="238" w:lineRule="auto"/>
              <w:ind w:left="220"/>
              <w:rPr>
                <w:sz w:val="18"/>
                <w:szCs w:val="18"/>
              </w:rPr>
            </w:pPr>
            <w:r>
              <w:rPr>
                <w:sz w:val="18"/>
                <w:szCs w:val="18"/>
              </w:rPr>
              <w:t>Deadline for eligible Applicants to submit Corrections to Proposals</w:t>
            </w:r>
          </w:p>
        </w:tc>
      </w:tr>
      <w:tr w:rsidR="005D5950" w14:paraId="517251FB" w14:textId="77777777">
        <w:trPr>
          <w:trHeight w:val="132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5283A311" w14:textId="5EE29B25" w:rsidR="005D5950" w:rsidRDefault="005D5950" w:rsidP="005D5950">
            <w:pPr>
              <w:spacing w:before="240" w:after="240" w:line="238" w:lineRule="auto"/>
              <w:ind w:left="220"/>
              <w:rPr>
                <w:i/>
                <w:sz w:val="18"/>
                <w:szCs w:val="18"/>
              </w:rPr>
            </w:pPr>
            <w:r>
              <w:rPr>
                <w:i/>
                <w:sz w:val="18"/>
                <w:szCs w:val="18"/>
              </w:rPr>
              <w:t>April 8, 2025</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1F13B0CC" w14:textId="6A1CEEFD" w:rsidR="005D5950" w:rsidRDefault="005D5950" w:rsidP="005D5950">
            <w:pPr>
              <w:spacing w:before="240" w:after="240" w:line="288" w:lineRule="auto"/>
              <w:ind w:left="220"/>
              <w:rPr>
                <w:sz w:val="18"/>
                <w:szCs w:val="18"/>
              </w:rPr>
            </w:pPr>
            <w:r>
              <w:rPr>
                <w:sz w:val="18"/>
                <w:szCs w:val="18"/>
              </w:rPr>
              <w:t xml:space="preserve">Commission Meeting. Commission will receive review team recommendation as to whether the applicant has thus far demonstrated the capacity to open a successful school and should continue to the next </w:t>
            </w:r>
            <w:r>
              <w:rPr>
                <w:sz w:val="18"/>
                <w:szCs w:val="18"/>
              </w:rPr>
              <w:t>Capacity I</w:t>
            </w:r>
            <w:r>
              <w:rPr>
                <w:sz w:val="18"/>
                <w:szCs w:val="18"/>
              </w:rPr>
              <w:t xml:space="preserve">nterview. This will be followed by a discussion and vote of the </w:t>
            </w:r>
            <w:r>
              <w:rPr>
                <w:sz w:val="18"/>
                <w:szCs w:val="18"/>
              </w:rPr>
              <w:t>C</w:t>
            </w:r>
            <w:r>
              <w:rPr>
                <w:sz w:val="18"/>
                <w:szCs w:val="18"/>
              </w:rPr>
              <w:t>ommission.</w:t>
            </w:r>
          </w:p>
        </w:tc>
      </w:tr>
      <w:tr w:rsidR="005D5950" w14:paraId="769F827B" w14:textId="77777777" w:rsidTr="00960A62">
        <w:trPr>
          <w:trHeight w:val="618"/>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3F1DB135" w14:textId="77777777" w:rsidR="005D5950" w:rsidRDefault="005D5950" w:rsidP="005D5950">
            <w:pPr>
              <w:spacing w:before="240" w:after="240" w:line="238" w:lineRule="auto"/>
              <w:ind w:left="220"/>
              <w:rPr>
                <w:i/>
                <w:sz w:val="18"/>
                <w:szCs w:val="18"/>
              </w:rPr>
            </w:pPr>
            <w:r>
              <w:rPr>
                <w:i/>
                <w:sz w:val="18"/>
                <w:szCs w:val="18"/>
              </w:rPr>
              <w:t>April 9-21, 2025</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0D61A910" w14:textId="1A110608" w:rsidR="005D5950" w:rsidRDefault="005D5950" w:rsidP="005D5950">
            <w:pPr>
              <w:spacing w:before="240" w:after="240" w:line="288" w:lineRule="auto"/>
              <w:ind w:left="220"/>
              <w:rPr>
                <w:sz w:val="18"/>
                <w:szCs w:val="18"/>
              </w:rPr>
            </w:pPr>
            <w:r>
              <w:rPr>
                <w:sz w:val="18"/>
                <w:szCs w:val="18"/>
              </w:rPr>
              <w:t xml:space="preserve">Capacity Interviews. Interviews will ONLY be held on these days; applicants are requested to keep the dates entirely open in their calendars. Applicants will be notified of their assigned interview date and time as soon as </w:t>
            </w:r>
            <w:r>
              <w:rPr>
                <w:sz w:val="18"/>
                <w:szCs w:val="18"/>
              </w:rPr>
              <w:lastRenderedPageBreak/>
              <w:t>possible. Due to significant logistical challenges, it is unlikely that any changes to assigned interview times will be possible.</w:t>
            </w:r>
          </w:p>
        </w:tc>
      </w:tr>
      <w:tr w:rsidR="005D5950" w14:paraId="664034DC" w14:textId="77777777">
        <w:trPr>
          <w:trHeight w:val="132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52561F8E" w14:textId="77777777" w:rsidR="005D5950" w:rsidRDefault="005D5950" w:rsidP="005D5950">
            <w:pPr>
              <w:spacing w:before="240" w:after="240" w:line="238" w:lineRule="auto"/>
              <w:ind w:left="220"/>
              <w:rPr>
                <w:i/>
                <w:sz w:val="18"/>
                <w:szCs w:val="18"/>
              </w:rPr>
            </w:pPr>
            <w:r>
              <w:rPr>
                <w:i/>
                <w:sz w:val="18"/>
                <w:szCs w:val="18"/>
              </w:rPr>
              <w:lastRenderedPageBreak/>
              <w:t>April 21 – May 7, 2025</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4D057AAE" w14:textId="77777777" w:rsidR="005D5950" w:rsidRDefault="005D5950" w:rsidP="005D5950">
            <w:pPr>
              <w:spacing w:before="240" w:after="240" w:line="288" w:lineRule="auto"/>
              <w:ind w:left="220" w:right="120"/>
              <w:rPr>
                <w:sz w:val="18"/>
                <w:szCs w:val="18"/>
              </w:rPr>
            </w:pPr>
            <w:r>
              <w:rPr>
                <w:sz w:val="18"/>
                <w:szCs w:val="18"/>
              </w:rPr>
              <w:t>Public Hearings and Commission Interviews. These will ONLY be held on these days; applicants are requested to keep the dates entirely open in their calendars. Applicants will be notified of their assigned hearing date and time as soon as possible. Due to significant logistical challenges, it is unlikely that any changes to assigned interview times will be possible.</w:t>
            </w:r>
          </w:p>
        </w:tc>
      </w:tr>
      <w:tr w:rsidR="005D5950" w14:paraId="59DD0347" w14:textId="77777777">
        <w:trPr>
          <w:trHeight w:val="111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4838B8FC" w14:textId="77777777" w:rsidR="005D5950" w:rsidRDefault="005D5950" w:rsidP="005D5950">
            <w:pPr>
              <w:spacing w:before="240" w:after="240" w:line="238" w:lineRule="auto"/>
              <w:ind w:left="220"/>
              <w:rPr>
                <w:i/>
                <w:sz w:val="18"/>
                <w:szCs w:val="18"/>
              </w:rPr>
            </w:pPr>
            <w:r>
              <w:rPr>
                <w:i/>
                <w:sz w:val="18"/>
                <w:szCs w:val="18"/>
              </w:rPr>
              <w:t>May 13, 2025</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431D65F3" w14:textId="77777777" w:rsidR="005D5950" w:rsidRDefault="005D5950" w:rsidP="005D5950">
            <w:pPr>
              <w:spacing w:before="240" w:after="240" w:line="288" w:lineRule="auto"/>
              <w:ind w:left="220" w:right="120"/>
              <w:rPr>
                <w:sz w:val="18"/>
                <w:szCs w:val="18"/>
              </w:rPr>
            </w:pPr>
            <w:r>
              <w:rPr>
                <w:sz w:val="18"/>
                <w:szCs w:val="18"/>
              </w:rPr>
              <w:t>Application Approval Vote at Commission Meeting. Commission will approve or deny charter school applications. Applicants are invited to attend the Commission Meeting where they will be allowed to provide a short presentation regarding their application.</w:t>
            </w:r>
          </w:p>
        </w:tc>
      </w:tr>
      <w:tr w:rsidR="005D5950" w14:paraId="160EAB83" w14:textId="77777777">
        <w:trPr>
          <w:trHeight w:val="27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0ED39922" w14:textId="77777777" w:rsidR="005D5950" w:rsidRDefault="005D5950" w:rsidP="005D5950">
            <w:pPr>
              <w:spacing w:before="240" w:after="240" w:line="238" w:lineRule="auto"/>
              <w:ind w:left="220"/>
              <w:rPr>
                <w:i/>
                <w:sz w:val="18"/>
                <w:szCs w:val="18"/>
              </w:rPr>
            </w:pPr>
            <w:r>
              <w:rPr>
                <w:i/>
                <w:sz w:val="18"/>
                <w:szCs w:val="18"/>
              </w:rPr>
              <w:t>June 2026</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66A654C3" w14:textId="77777777" w:rsidR="005D5950" w:rsidRDefault="005D5950" w:rsidP="005D5950">
            <w:pPr>
              <w:spacing w:before="240" w:after="240" w:line="238" w:lineRule="auto"/>
              <w:ind w:left="220"/>
              <w:rPr>
                <w:sz w:val="18"/>
                <w:szCs w:val="18"/>
              </w:rPr>
            </w:pPr>
            <w:r>
              <w:rPr>
                <w:sz w:val="18"/>
                <w:szCs w:val="18"/>
              </w:rPr>
              <w:t>Deadline for final contracts to be signed. (60 days prior to school opening)</w:t>
            </w:r>
          </w:p>
        </w:tc>
      </w:tr>
      <w:tr w:rsidR="005D5950" w14:paraId="1877355F" w14:textId="77777777">
        <w:trPr>
          <w:trHeight w:val="270"/>
        </w:trPr>
        <w:tc>
          <w:tcPr>
            <w:tcW w:w="2370" w:type="dxa"/>
            <w:tcBorders>
              <w:top w:val="nil"/>
              <w:left w:val="single" w:sz="5" w:space="0" w:color="000000"/>
              <w:bottom w:val="single" w:sz="5" w:space="0" w:color="000000"/>
              <w:right w:val="single" w:sz="5" w:space="0" w:color="000000"/>
            </w:tcBorders>
            <w:tcMar>
              <w:top w:w="0" w:type="dxa"/>
              <w:left w:w="0" w:type="dxa"/>
              <w:bottom w:w="0" w:type="dxa"/>
              <w:right w:w="0" w:type="dxa"/>
            </w:tcMar>
          </w:tcPr>
          <w:p w14:paraId="4BD67EEE" w14:textId="77777777" w:rsidR="005D5950" w:rsidRDefault="005D5950" w:rsidP="005D5950">
            <w:pPr>
              <w:spacing w:before="240" w:after="240" w:line="238" w:lineRule="auto"/>
              <w:ind w:left="220"/>
              <w:rPr>
                <w:i/>
                <w:sz w:val="18"/>
                <w:szCs w:val="18"/>
              </w:rPr>
            </w:pPr>
            <w:r>
              <w:rPr>
                <w:i/>
                <w:sz w:val="18"/>
                <w:szCs w:val="18"/>
              </w:rPr>
              <w:t>Fall 2026</w:t>
            </w:r>
          </w:p>
        </w:tc>
        <w:tc>
          <w:tcPr>
            <w:tcW w:w="6300" w:type="dxa"/>
            <w:tcBorders>
              <w:top w:val="nil"/>
              <w:left w:val="nil"/>
              <w:bottom w:val="single" w:sz="5" w:space="0" w:color="000000"/>
              <w:right w:val="single" w:sz="5" w:space="0" w:color="000000"/>
            </w:tcBorders>
            <w:tcMar>
              <w:top w:w="0" w:type="dxa"/>
              <w:left w:w="0" w:type="dxa"/>
              <w:bottom w:w="0" w:type="dxa"/>
              <w:right w:w="0" w:type="dxa"/>
            </w:tcMar>
          </w:tcPr>
          <w:p w14:paraId="7ED04F18" w14:textId="77777777" w:rsidR="005D5950" w:rsidRDefault="005D5950" w:rsidP="005D5950">
            <w:pPr>
              <w:spacing w:before="240" w:after="240" w:line="238" w:lineRule="auto"/>
              <w:ind w:left="220"/>
              <w:rPr>
                <w:sz w:val="18"/>
                <w:szCs w:val="18"/>
              </w:rPr>
            </w:pPr>
            <w:r>
              <w:rPr>
                <w:sz w:val="18"/>
                <w:szCs w:val="18"/>
              </w:rPr>
              <w:t>School opening</w:t>
            </w:r>
          </w:p>
        </w:tc>
      </w:tr>
    </w:tbl>
    <w:p w14:paraId="3047357C" w14:textId="73095F36" w:rsidR="009376CE" w:rsidRDefault="009376CE"/>
    <w:p w14:paraId="36DBA3D3" w14:textId="77777777" w:rsidR="009376CE" w:rsidRDefault="009376CE">
      <w:pPr>
        <w:spacing w:before="240" w:after="240"/>
      </w:pPr>
    </w:p>
    <w:p w14:paraId="23289DF6" w14:textId="77777777" w:rsidR="009376CE" w:rsidRDefault="009376CE"/>
    <w:sectPr w:rsidR="009376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CE"/>
    <w:rsid w:val="00266F0A"/>
    <w:rsid w:val="005D5950"/>
    <w:rsid w:val="009376CE"/>
    <w:rsid w:val="0096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2BC99D"/>
  <w15:docId w15:val="{B85F1116-58DA-4B20-B3EE-01D59928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Ewing, Lana</cp:lastModifiedBy>
  <cp:revision>2</cp:revision>
  <dcterms:created xsi:type="dcterms:W3CDTF">2024-01-04T22:00:00Z</dcterms:created>
  <dcterms:modified xsi:type="dcterms:W3CDTF">2024-01-04T22:00:00Z</dcterms:modified>
</cp:coreProperties>
</file>