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D1E2" w14:textId="5576D284" w:rsidR="005E005A" w:rsidRPr="005E005A" w:rsidRDefault="00291329" w:rsidP="005E005A">
      <w:pPr>
        <w:pBdr>
          <w:bottom w:val="single" w:sz="6" w:space="0" w:color="274F73"/>
        </w:pBdr>
        <w:shd w:val="clear" w:color="auto" w:fill="FFFFFF"/>
        <w:spacing w:after="100" w:afterAutospacing="1" w:line="240" w:lineRule="auto"/>
        <w:outlineLvl w:val="0"/>
        <w:rPr>
          <w:rFonts w:ascii="Helvetica" w:eastAsia="Times New Roman" w:hAnsi="Helvetica" w:cs="Helvetica"/>
          <w:color w:val="274F73"/>
          <w:kern w:val="36"/>
          <w:sz w:val="48"/>
          <w:szCs w:val="48"/>
        </w:rPr>
      </w:pPr>
      <w:r>
        <w:rPr>
          <w:rFonts w:ascii="Helvetica" w:eastAsia="Times New Roman" w:hAnsi="Helvetica" w:cs="Helvetica"/>
          <w:color w:val="274F73"/>
          <w:kern w:val="36"/>
          <w:sz w:val="48"/>
          <w:szCs w:val="48"/>
        </w:rPr>
        <w:t xml:space="preserve">Daily </w:t>
      </w:r>
      <w:r w:rsidR="005E005A" w:rsidRPr="005E005A">
        <w:rPr>
          <w:rFonts w:ascii="Helvetica" w:eastAsia="Times New Roman" w:hAnsi="Helvetica" w:cs="Helvetica"/>
          <w:color w:val="274F73"/>
          <w:kern w:val="36"/>
          <w:sz w:val="48"/>
          <w:szCs w:val="48"/>
        </w:rPr>
        <w:t>Attendance Data Reporting</w:t>
      </w:r>
    </w:p>
    <w:p w14:paraId="6B96847D" w14:textId="1DCC1902" w:rsidR="00291329" w:rsidRPr="00FA79D3" w:rsidRDefault="00291329" w:rsidP="00291329">
      <w:pPr>
        <w:ind w:left="1440"/>
        <w:rPr>
          <w:rFonts w:ascii="Book Antiqua" w:hAnsi="Book Antiqua"/>
          <w:sz w:val="24"/>
          <w:szCs w:val="24"/>
        </w:rPr>
      </w:pPr>
      <w:r w:rsidRPr="00FA79D3">
        <w:rPr>
          <w:rFonts w:ascii="Book Antiqua" w:hAnsi="Book Antiqua"/>
          <w:sz w:val="24"/>
          <w:szCs w:val="24"/>
        </w:rPr>
        <w:t>Attendance is its own module within Synergy and requires you to enter a record for each day of instruction for each student.</w:t>
      </w:r>
    </w:p>
    <w:p w14:paraId="3D8DE88C" w14:textId="5EA8FABD" w:rsidR="00291329" w:rsidRPr="00FA79D3" w:rsidRDefault="00291329" w:rsidP="00291329">
      <w:pPr>
        <w:ind w:left="1440"/>
        <w:rPr>
          <w:rFonts w:ascii="Book Antiqua" w:hAnsi="Book Antiqua"/>
          <w:sz w:val="24"/>
          <w:szCs w:val="24"/>
        </w:rPr>
      </w:pPr>
      <w:r w:rsidRPr="00FA79D3">
        <w:rPr>
          <w:rFonts w:ascii="Book Antiqua" w:hAnsi="Book Antiqua"/>
          <w:sz w:val="24"/>
          <w:szCs w:val="24"/>
        </w:rPr>
        <w:t>Attendance reporting is completed each quarter with a certification of the data in NEO by the Superintendent:</w:t>
      </w:r>
    </w:p>
    <w:p w14:paraId="081F1A87" w14:textId="77777777" w:rsidR="00291329" w:rsidRPr="00FA79D3" w:rsidRDefault="00291329" w:rsidP="00291329">
      <w:pPr>
        <w:ind w:left="1440"/>
        <w:rPr>
          <w:rFonts w:ascii="Book Antiqua" w:hAnsi="Book Antiqua"/>
          <w:sz w:val="24"/>
          <w:szCs w:val="24"/>
        </w:rPr>
      </w:pPr>
      <w:r w:rsidRPr="00FA79D3">
        <w:rPr>
          <w:rFonts w:ascii="Book Antiqua" w:hAnsi="Book Antiqua"/>
          <w:sz w:val="24"/>
          <w:szCs w:val="24"/>
        </w:rPr>
        <w:t>•</w:t>
      </w:r>
      <w:r w:rsidRPr="00FA79D3">
        <w:rPr>
          <w:rFonts w:ascii="Book Antiqua" w:hAnsi="Book Antiqua"/>
          <w:sz w:val="24"/>
          <w:szCs w:val="24"/>
        </w:rPr>
        <w:tab/>
        <w:t xml:space="preserve">(Q1) Quarter 1: First Day of School through 9/30   </w:t>
      </w:r>
    </w:p>
    <w:p w14:paraId="2C497473" w14:textId="77777777" w:rsidR="00291329" w:rsidRPr="00FA79D3" w:rsidRDefault="00291329" w:rsidP="00291329">
      <w:pPr>
        <w:ind w:left="1440"/>
        <w:rPr>
          <w:rFonts w:ascii="Book Antiqua" w:hAnsi="Book Antiqua"/>
          <w:sz w:val="24"/>
          <w:szCs w:val="24"/>
        </w:rPr>
      </w:pPr>
      <w:r w:rsidRPr="00FA79D3">
        <w:rPr>
          <w:rFonts w:ascii="Book Antiqua" w:hAnsi="Book Antiqua"/>
          <w:sz w:val="24"/>
          <w:szCs w:val="24"/>
        </w:rPr>
        <w:t>•</w:t>
      </w:r>
      <w:r w:rsidRPr="00FA79D3">
        <w:rPr>
          <w:rFonts w:ascii="Book Antiqua" w:hAnsi="Book Antiqua"/>
          <w:sz w:val="24"/>
          <w:szCs w:val="24"/>
        </w:rPr>
        <w:tab/>
        <w:t xml:space="preserve">(Q2) Quarter 2: 10/1 through 12/31   </w:t>
      </w:r>
    </w:p>
    <w:p w14:paraId="19053D97" w14:textId="77777777" w:rsidR="00291329" w:rsidRPr="00FA79D3" w:rsidRDefault="00291329" w:rsidP="00291329">
      <w:pPr>
        <w:ind w:left="1440"/>
        <w:rPr>
          <w:rFonts w:ascii="Book Antiqua" w:hAnsi="Book Antiqua"/>
          <w:sz w:val="24"/>
          <w:szCs w:val="24"/>
        </w:rPr>
      </w:pPr>
      <w:r w:rsidRPr="00FA79D3">
        <w:rPr>
          <w:rFonts w:ascii="Book Antiqua" w:hAnsi="Book Antiqua"/>
          <w:sz w:val="24"/>
          <w:szCs w:val="24"/>
        </w:rPr>
        <w:t>•</w:t>
      </w:r>
      <w:r w:rsidRPr="00FA79D3">
        <w:rPr>
          <w:rFonts w:ascii="Book Antiqua" w:hAnsi="Book Antiqua"/>
          <w:sz w:val="24"/>
          <w:szCs w:val="24"/>
        </w:rPr>
        <w:tab/>
        <w:t xml:space="preserve">(Q3) Quarter 3: 1/1 through 3/31   </w:t>
      </w:r>
    </w:p>
    <w:p w14:paraId="3DEE5C22" w14:textId="5073EE7C" w:rsidR="00291329" w:rsidRPr="00FA79D3" w:rsidRDefault="00291329" w:rsidP="00291329">
      <w:pPr>
        <w:ind w:left="1440"/>
        <w:rPr>
          <w:rFonts w:ascii="Book Antiqua" w:hAnsi="Book Antiqua"/>
          <w:sz w:val="24"/>
          <w:szCs w:val="24"/>
        </w:rPr>
      </w:pPr>
      <w:r w:rsidRPr="00FA79D3">
        <w:rPr>
          <w:rFonts w:ascii="Book Antiqua" w:hAnsi="Book Antiqua"/>
          <w:sz w:val="24"/>
          <w:szCs w:val="24"/>
        </w:rPr>
        <w:t>•</w:t>
      </w:r>
      <w:r w:rsidRPr="00FA79D3">
        <w:rPr>
          <w:rFonts w:ascii="Book Antiqua" w:hAnsi="Book Antiqua"/>
          <w:sz w:val="24"/>
          <w:szCs w:val="24"/>
        </w:rPr>
        <w:tab/>
        <w:t xml:space="preserve">(Q4) Quarter 4: 4/1 through Last Day of School </w:t>
      </w:r>
    </w:p>
    <w:p w14:paraId="59D940FD" w14:textId="3AF3089C" w:rsidR="00291329" w:rsidRPr="00FA79D3" w:rsidRDefault="00291329" w:rsidP="00291329">
      <w:pPr>
        <w:ind w:left="1440"/>
        <w:rPr>
          <w:rFonts w:ascii="Book Antiqua" w:hAnsi="Book Antiqua"/>
          <w:sz w:val="24"/>
          <w:szCs w:val="24"/>
        </w:rPr>
      </w:pPr>
      <w:r w:rsidRPr="00FA79D3">
        <w:rPr>
          <w:rFonts w:ascii="Book Antiqua" w:hAnsi="Book Antiqua"/>
          <w:sz w:val="24"/>
          <w:szCs w:val="24"/>
        </w:rPr>
        <w:t xml:space="preserve">The proper format of upload files can always be found on the Synergy Instructions Page of The MEDMS Helpdesk website: </w:t>
      </w:r>
      <w:hyperlink r:id="rId5" w:history="1">
        <w:r w:rsidRPr="00FA79D3">
          <w:rPr>
            <w:rStyle w:val="Hyperlink"/>
            <w:rFonts w:ascii="Book Antiqua" w:hAnsi="Book Antiqua"/>
            <w:sz w:val="24"/>
            <w:szCs w:val="24"/>
          </w:rPr>
          <w:t>https://www.maine.gov/doe/data-reporting/collection/helpdesk/resources/synergy_instructions</w:t>
        </w:r>
      </w:hyperlink>
    </w:p>
    <w:p w14:paraId="7E9F023F" w14:textId="77777777" w:rsidR="00291329" w:rsidRPr="00FA79D3" w:rsidRDefault="00291329" w:rsidP="00291329">
      <w:pPr>
        <w:ind w:left="1440"/>
        <w:rPr>
          <w:rFonts w:ascii="Book Antiqua" w:hAnsi="Book Antiqua"/>
          <w:sz w:val="24"/>
          <w:szCs w:val="24"/>
        </w:rPr>
      </w:pPr>
      <w:proofErr w:type="gramStart"/>
      <w:r w:rsidRPr="00FA79D3">
        <w:rPr>
          <w:rFonts w:ascii="Book Antiqua" w:hAnsi="Book Antiqua"/>
          <w:b/>
          <w:bCs/>
          <w:sz w:val="24"/>
          <w:szCs w:val="24"/>
        </w:rPr>
        <w:t>Date</w:t>
      </w:r>
      <w:r w:rsidRPr="00FA79D3">
        <w:rPr>
          <w:rFonts w:ascii="Book Antiqua" w:hAnsi="Book Antiqua"/>
          <w:sz w:val="24"/>
          <w:szCs w:val="24"/>
        </w:rPr>
        <w:t xml:space="preserve"> :</w:t>
      </w:r>
      <w:proofErr w:type="gramEnd"/>
      <w:r w:rsidRPr="00FA79D3">
        <w:rPr>
          <w:rFonts w:ascii="Book Antiqua" w:hAnsi="Book Antiqua"/>
          <w:sz w:val="24"/>
          <w:szCs w:val="24"/>
        </w:rPr>
        <w:t xml:space="preserve"> </w:t>
      </w:r>
      <w:r w:rsidRPr="00FA79D3">
        <w:rPr>
          <w:rFonts w:ascii="Book Antiqua" w:hAnsi="Book Antiqua"/>
          <w:i/>
          <w:iCs/>
          <w:sz w:val="24"/>
          <w:szCs w:val="24"/>
        </w:rPr>
        <w:t>YYYMMDD</w:t>
      </w:r>
    </w:p>
    <w:p w14:paraId="35263102" w14:textId="77777777" w:rsidR="00291329" w:rsidRPr="00FA79D3" w:rsidRDefault="00291329" w:rsidP="00291329">
      <w:pPr>
        <w:ind w:left="2160"/>
        <w:rPr>
          <w:rFonts w:ascii="Book Antiqua" w:hAnsi="Book Antiqua"/>
          <w:sz w:val="24"/>
          <w:szCs w:val="24"/>
        </w:rPr>
      </w:pPr>
      <w:r w:rsidRPr="00FA79D3">
        <w:rPr>
          <w:rFonts w:ascii="Book Antiqua" w:hAnsi="Book Antiqua"/>
          <w:sz w:val="24"/>
          <w:szCs w:val="24"/>
        </w:rPr>
        <w:t>Field sets the date the attendance record is for. A student will need a record for each day of instruction they are supposed to attend.</w:t>
      </w:r>
    </w:p>
    <w:p w14:paraId="1532F8F7" w14:textId="77777777" w:rsidR="00291329" w:rsidRPr="00FA79D3" w:rsidRDefault="00291329" w:rsidP="00291329">
      <w:pPr>
        <w:ind w:left="1440"/>
        <w:rPr>
          <w:rFonts w:ascii="Book Antiqua" w:hAnsi="Book Antiqua"/>
          <w:sz w:val="24"/>
          <w:szCs w:val="24"/>
        </w:rPr>
      </w:pPr>
      <w:r w:rsidRPr="00FA79D3">
        <w:rPr>
          <w:rFonts w:ascii="Book Antiqua" w:hAnsi="Book Antiqua"/>
          <w:b/>
          <w:bCs/>
          <w:sz w:val="24"/>
          <w:szCs w:val="24"/>
        </w:rPr>
        <w:t>Attendance Status</w:t>
      </w:r>
      <w:r w:rsidRPr="00FA79D3">
        <w:rPr>
          <w:rFonts w:ascii="Book Antiqua" w:hAnsi="Book Antiqua"/>
          <w:sz w:val="24"/>
          <w:szCs w:val="24"/>
        </w:rPr>
        <w:t xml:space="preserve">: </w:t>
      </w:r>
      <w:proofErr w:type="gramStart"/>
      <w:r w:rsidRPr="00FA79D3">
        <w:rPr>
          <w:rFonts w:ascii="Book Antiqua" w:hAnsi="Book Antiqua"/>
          <w:i/>
          <w:iCs/>
          <w:sz w:val="24"/>
          <w:szCs w:val="24"/>
        </w:rPr>
        <w:t>Present ,</w:t>
      </w:r>
      <w:proofErr w:type="gramEnd"/>
      <w:r w:rsidRPr="00FA79D3">
        <w:rPr>
          <w:rFonts w:ascii="Book Antiqua" w:hAnsi="Book Antiqua"/>
          <w:i/>
          <w:iCs/>
          <w:sz w:val="24"/>
          <w:szCs w:val="24"/>
        </w:rPr>
        <w:t xml:space="preserve"> </w:t>
      </w:r>
      <w:proofErr w:type="spellStart"/>
      <w:r w:rsidRPr="00FA79D3">
        <w:rPr>
          <w:rFonts w:ascii="Book Antiqua" w:hAnsi="Book Antiqua"/>
          <w:i/>
          <w:iCs/>
          <w:sz w:val="24"/>
          <w:szCs w:val="24"/>
        </w:rPr>
        <w:t>ExcusedAbsence</w:t>
      </w:r>
      <w:proofErr w:type="spellEnd"/>
      <w:r w:rsidRPr="00FA79D3">
        <w:rPr>
          <w:rFonts w:ascii="Book Antiqua" w:hAnsi="Book Antiqua"/>
          <w:i/>
          <w:iCs/>
          <w:sz w:val="24"/>
          <w:szCs w:val="24"/>
        </w:rPr>
        <w:t>, or Unexcused Absence</w:t>
      </w:r>
      <w:r w:rsidRPr="00FA79D3">
        <w:rPr>
          <w:rFonts w:ascii="Book Antiqua" w:hAnsi="Book Antiqua"/>
          <w:sz w:val="24"/>
          <w:szCs w:val="24"/>
        </w:rPr>
        <w:t>.</w:t>
      </w:r>
    </w:p>
    <w:p w14:paraId="5F85CA09" w14:textId="77777777" w:rsidR="00291329" w:rsidRPr="00FA79D3" w:rsidRDefault="00291329" w:rsidP="00291329">
      <w:pPr>
        <w:pStyle w:val="ListParagraph"/>
        <w:numPr>
          <w:ilvl w:val="0"/>
          <w:numId w:val="3"/>
        </w:numPr>
        <w:rPr>
          <w:rFonts w:ascii="Book Antiqua" w:hAnsi="Book Antiqua"/>
          <w:szCs w:val="24"/>
        </w:rPr>
      </w:pPr>
      <w:r w:rsidRPr="00FA79D3">
        <w:rPr>
          <w:rFonts w:ascii="Book Antiqua" w:hAnsi="Book Antiqua"/>
          <w:szCs w:val="24"/>
        </w:rPr>
        <w:t>A student is Present if they attend 50% or more of their instructional day.</w:t>
      </w:r>
    </w:p>
    <w:p w14:paraId="086ED409" w14:textId="7110CA13" w:rsidR="00291329" w:rsidRPr="00FA79D3" w:rsidRDefault="00752124" w:rsidP="00291329">
      <w:pPr>
        <w:ind w:left="2160"/>
        <w:rPr>
          <w:rFonts w:ascii="Book Antiqua" w:hAnsi="Book Antiqua"/>
          <w:sz w:val="24"/>
          <w:szCs w:val="24"/>
        </w:rPr>
      </w:pPr>
      <w:hyperlink r:id="rId6" w:history="1">
        <w:r w:rsidR="00291329" w:rsidRPr="00FA79D3">
          <w:rPr>
            <w:rStyle w:val="Hyperlink"/>
            <w:rFonts w:ascii="Book Antiqua" w:hAnsi="Book Antiqua"/>
            <w:sz w:val="24"/>
            <w:szCs w:val="24"/>
          </w:rPr>
          <w:t>Chapter 209, Part 3, Section 4801</w:t>
        </w:r>
      </w:hyperlink>
    </w:p>
    <w:p w14:paraId="1EC911A6" w14:textId="77777777" w:rsidR="00291329" w:rsidRPr="00FA79D3" w:rsidRDefault="00291329" w:rsidP="00291329">
      <w:pPr>
        <w:spacing w:after="142"/>
        <w:ind w:left="1695" w:right="301"/>
        <w:rPr>
          <w:rFonts w:ascii="Book Antiqua" w:hAnsi="Book Antiqua"/>
          <w:sz w:val="24"/>
          <w:szCs w:val="24"/>
        </w:rPr>
      </w:pPr>
      <w:r w:rsidRPr="00FA79D3">
        <w:rPr>
          <w:rFonts w:ascii="Book Antiqua" w:hAnsi="Book Antiqua"/>
          <w:sz w:val="24"/>
          <w:szCs w:val="24"/>
        </w:rPr>
        <w:t xml:space="preserve">Excusable absences:  A student’s absence can be excused by a school administrator for the following reasons:    </w:t>
      </w:r>
    </w:p>
    <w:p w14:paraId="22B6BF82" w14:textId="77777777" w:rsidR="00291329" w:rsidRPr="00FA79D3" w:rsidRDefault="00291329" w:rsidP="00291329">
      <w:pPr>
        <w:numPr>
          <w:ilvl w:val="0"/>
          <w:numId w:val="4"/>
        </w:numPr>
        <w:spacing w:after="4" w:line="256" w:lineRule="auto"/>
        <w:ind w:left="2430" w:right="493" w:hanging="360"/>
        <w:rPr>
          <w:rFonts w:ascii="Book Antiqua" w:hAnsi="Book Antiqua"/>
          <w:sz w:val="24"/>
          <w:szCs w:val="24"/>
        </w:rPr>
      </w:pPr>
      <w:r w:rsidRPr="00FA79D3">
        <w:rPr>
          <w:rFonts w:ascii="Book Antiqua" w:hAnsi="Book Antiqua"/>
          <w:sz w:val="24"/>
          <w:szCs w:val="24"/>
        </w:rPr>
        <w:t xml:space="preserve">Personal illness.    </w:t>
      </w:r>
    </w:p>
    <w:p w14:paraId="57DDAC87" w14:textId="77777777" w:rsidR="00291329" w:rsidRPr="00FA79D3" w:rsidRDefault="00291329" w:rsidP="00291329">
      <w:pPr>
        <w:numPr>
          <w:ilvl w:val="0"/>
          <w:numId w:val="4"/>
        </w:numPr>
        <w:spacing w:after="4" w:line="256" w:lineRule="auto"/>
        <w:ind w:left="2430" w:right="493" w:hanging="360"/>
        <w:rPr>
          <w:rFonts w:ascii="Book Antiqua" w:hAnsi="Book Antiqua"/>
          <w:sz w:val="24"/>
          <w:szCs w:val="24"/>
        </w:rPr>
      </w:pPr>
      <w:r w:rsidRPr="00FA79D3">
        <w:rPr>
          <w:rFonts w:ascii="Book Antiqua" w:hAnsi="Book Antiqua"/>
          <w:sz w:val="24"/>
          <w:szCs w:val="24"/>
        </w:rPr>
        <w:t xml:space="preserve">An appointment with a health professional that must be made during the regular school day and the absence has prior approval.    </w:t>
      </w:r>
    </w:p>
    <w:p w14:paraId="6E3089C3" w14:textId="77777777" w:rsidR="00291329" w:rsidRPr="00FA79D3" w:rsidRDefault="00291329" w:rsidP="00291329">
      <w:pPr>
        <w:numPr>
          <w:ilvl w:val="0"/>
          <w:numId w:val="4"/>
        </w:numPr>
        <w:spacing w:after="4" w:line="256" w:lineRule="auto"/>
        <w:ind w:left="2430" w:right="493" w:hanging="360"/>
        <w:rPr>
          <w:rFonts w:ascii="Book Antiqua" w:hAnsi="Book Antiqua"/>
          <w:sz w:val="24"/>
          <w:szCs w:val="24"/>
        </w:rPr>
      </w:pPr>
      <w:r w:rsidRPr="00FA79D3">
        <w:rPr>
          <w:rFonts w:ascii="Book Antiqua" w:hAnsi="Book Antiqua"/>
          <w:sz w:val="24"/>
          <w:szCs w:val="24"/>
        </w:rPr>
        <w:t>Observance of a recognized religious holiday when the observance is required during the regular school day and the absence has prior approval.</w:t>
      </w:r>
    </w:p>
    <w:p w14:paraId="5721EC0F" w14:textId="77777777" w:rsidR="00291329" w:rsidRPr="00FA79D3" w:rsidRDefault="00291329" w:rsidP="00291329">
      <w:pPr>
        <w:numPr>
          <w:ilvl w:val="0"/>
          <w:numId w:val="4"/>
        </w:numPr>
        <w:spacing w:after="4" w:line="256" w:lineRule="auto"/>
        <w:ind w:left="2430" w:right="493" w:hanging="360"/>
        <w:rPr>
          <w:rFonts w:ascii="Book Antiqua" w:hAnsi="Book Antiqua"/>
          <w:sz w:val="24"/>
          <w:szCs w:val="24"/>
        </w:rPr>
      </w:pPr>
      <w:r w:rsidRPr="00FA79D3">
        <w:rPr>
          <w:rFonts w:ascii="Book Antiqua" w:hAnsi="Book Antiqua"/>
          <w:sz w:val="24"/>
          <w:szCs w:val="24"/>
        </w:rPr>
        <w:t>.</w:t>
      </w:r>
      <w:r w:rsidRPr="00FA79D3">
        <w:rPr>
          <w:rFonts w:ascii="Book Antiqua" w:eastAsia="Arial" w:hAnsi="Book Antiqua" w:cs="Arial"/>
          <w:sz w:val="24"/>
          <w:szCs w:val="24"/>
        </w:rPr>
        <w:t xml:space="preserve"> </w:t>
      </w:r>
      <w:r w:rsidRPr="00FA79D3">
        <w:rPr>
          <w:rFonts w:ascii="Book Antiqua" w:hAnsi="Book Antiqua"/>
          <w:sz w:val="24"/>
          <w:szCs w:val="24"/>
        </w:rPr>
        <w:t xml:space="preserve">A family emergency.    </w:t>
      </w:r>
    </w:p>
    <w:p w14:paraId="4B69DCC8" w14:textId="77777777" w:rsidR="00291329" w:rsidRPr="00FA79D3" w:rsidRDefault="00291329" w:rsidP="00291329">
      <w:pPr>
        <w:numPr>
          <w:ilvl w:val="0"/>
          <w:numId w:val="5"/>
        </w:numPr>
        <w:spacing w:after="4" w:line="256" w:lineRule="auto"/>
        <w:ind w:left="2430" w:right="476" w:hanging="360"/>
        <w:rPr>
          <w:rFonts w:ascii="Book Antiqua" w:hAnsi="Book Antiqua"/>
          <w:sz w:val="24"/>
          <w:szCs w:val="24"/>
        </w:rPr>
      </w:pPr>
      <w:r w:rsidRPr="00FA79D3">
        <w:rPr>
          <w:rFonts w:ascii="Book Antiqua" w:hAnsi="Book Antiqua"/>
          <w:sz w:val="24"/>
          <w:szCs w:val="24"/>
        </w:rPr>
        <w:lastRenderedPageBreak/>
        <w:t xml:space="preserve">A planned absence for a personal or educational purpose that has prior approval.    </w:t>
      </w:r>
    </w:p>
    <w:p w14:paraId="3747BC9F" w14:textId="77777777" w:rsidR="00291329" w:rsidRPr="00FA79D3" w:rsidRDefault="00291329" w:rsidP="00291329">
      <w:pPr>
        <w:numPr>
          <w:ilvl w:val="0"/>
          <w:numId w:val="5"/>
        </w:numPr>
        <w:spacing w:after="133" w:line="256" w:lineRule="auto"/>
        <w:ind w:left="2430" w:right="476" w:hanging="360"/>
        <w:rPr>
          <w:rFonts w:ascii="Book Antiqua" w:hAnsi="Book Antiqua"/>
          <w:sz w:val="24"/>
          <w:szCs w:val="24"/>
        </w:rPr>
      </w:pPr>
      <w:r w:rsidRPr="00FA79D3">
        <w:rPr>
          <w:rFonts w:ascii="Book Antiqua" w:hAnsi="Book Antiqua"/>
          <w:sz w:val="24"/>
          <w:szCs w:val="24"/>
        </w:rPr>
        <w:t xml:space="preserve">Education disruption resulting from homelessness, unplanned psychiatric hospitalization, unplanned hospitalization for a medical emergency, foster care placement, youth development center placement or some other out-of-district placement that is not otherwise authorized by either an individualized education plan or other education plan or a superintendent's agreement developed in accordance with section 5205, subsection 2. This paragraph does not apply to a student who is out of school for 10 or more consecutive school days </w:t>
      </w:r>
      <w:proofErr w:type="gramStart"/>
      <w:r w:rsidRPr="00FA79D3">
        <w:rPr>
          <w:rFonts w:ascii="Book Antiqua" w:hAnsi="Book Antiqua"/>
          <w:sz w:val="24"/>
          <w:szCs w:val="24"/>
        </w:rPr>
        <w:t>as a result of</w:t>
      </w:r>
      <w:proofErr w:type="gramEnd"/>
      <w:r w:rsidRPr="00FA79D3">
        <w:rPr>
          <w:rFonts w:ascii="Book Antiqua" w:hAnsi="Book Antiqua"/>
          <w:sz w:val="24"/>
          <w:szCs w:val="24"/>
        </w:rPr>
        <w:t xml:space="preserve"> a planned absence for a reason such as a family event or a medical absence for planned hospitalization or recovery.    </w:t>
      </w:r>
    </w:p>
    <w:p w14:paraId="561C030A" w14:textId="77777777" w:rsidR="00291329" w:rsidRPr="00FA79D3" w:rsidRDefault="00291329" w:rsidP="00291329">
      <w:pPr>
        <w:spacing w:after="133" w:line="258" w:lineRule="auto"/>
        <w:ind w:left="1709" w:right="262"/>
        <w:rPr>
          <w:rFonts w:ascii="Book Antiqua" w:hAnsi="Book Antiqua"/>
          <w:sz w:val="24"/>
          <w:szCs w:val="24"/>
        </w:rPr>
      </w:pPr>
      <w:r w:rsidRPr="00FA79D3">
        <w:rPr>
          <w:rFonts w:ascii="Book Antiqua" w:hAnsi="Book Antiqua"/>
          <w:b/>
          <w:bCs/>
          <w:i/>
          <w:sz w:val="24"/>
          <w:szCs w:val="24"/>
        </w:rPr>
        <w:t>Please note that granting these excused absences are at the discretion of the local administrator</w:t>
      </w:r>
      <w:r w:rsidRPr="00FA79D3">
        <w:rPr>
          <w:rFonts w:ascii="Book Antiqua" w:hAnsi="Book Antiqua"/>
          <w:i/>
          <w:sz w:val="24"/>
          <w:szCs w:val="24"/>
        </w:rPr>
        <w:t xml:space="preserve">.  </w:t>
      </w:r>
      <w:r w:rsidRPr="00FA79D3">
        <w:rPr>
          <w:rFonts w:ascii="Book Antiqua" w:hAnsi="Book Antiqua"/>
          <w:sz w:val="24"/>
          <w:szCs w:val="24"/>
        </w:rPr>
        <w:t xml:space="preserve">  </w:t>
      </w:r>
    </w:p>
    <w:p w14:paraId="0BAD8A53" w14:textId="77777777" w:rsidR="00291329" w:rsidRPr="00FA79D3" w:rsidRDefault="00291329" w:rsidP="00291329">
      <w:pPr>
        <w:spacing w:after="130"/>
        <w:ind w:left="1695" w:right="301"/>
        <w:rPr>
          <w:rFonts w:ascii="Book Antiqua" w:hAnsi="Book Antiqua"/>
          <w:sz w:val="24"/>
          <w:szCs w:val="24"/>
        </w:rPr>
      </w:pPr>
      <w:r w:rsidRPr="00FA79D3">
        <w:rPr>
          <w:rFonts w:ascii="Book Antiqua" w:hAnsi="Book Antiqua"/>
          <w:sz w:val="24"/>
          <w:szCs w:val="24"/>
        </w:rPr>
        <w:t>Link to Compulsory attendance statue:</w:t>
      </w:r>
    </w:p>
    <w:p w14:paraId="1BA05704" w14:textId="77777777" w:rsidR="00291329" w:rsidRPr="00FA79D3" w:rsidRDefault="00752124" w:rsidP="00291329">
      <w:pPr>
        <w:ind w:left="1800"/>
        <w:rPr>
          <w:rFonts w:ascii="Book Antiqua" w:hAnsi="Book Antiqua"/>
          <w:color w:val="0563C1"/>
          <w:sz w:val="24"/>
          <w:szCs w:val="24"/>
          <w:u w:val="single"/>
        </w:rPr>
      </w:pPr>
      <w:hyperlink r:id="rId7" w:history="1">
        <w:r w:rsidR="00291329" w:rsidRPr="00FA79D3">
          <w:rPr>
            <w:rStyle w:val="Hyperlink"/>
            <w:rFonts w:ascii="Book Antiqua" w:hAnsi="Book Antiqua"/>
            <w:sz w:val="24"/>
            <w:szCs w:val="24"/>
          </w:rPr>
          <w:t>http://www.mainelegislature.org/legis/statutes/20-A/title20-Asec5001-A.html</w:t>
        </w:r>
      </w:hyperlink>
    </w:p>
    <w:p w14:paraId="7136E527" w14:textId="77777777" w:rsidR="00291329" w:rsidRPr="00FA79D3" w:rsidRDefault="00291329" w:rsidP="00291329">
      <w:pPr>
        <w:ind w:left="1800"/>
        <w:rPr>
          <w:rFonts w:ascii="Book Antiqua" w:hAnsi="Book Antiqua"/>
          <w:color w:val="0563C1"/>
          <w:sz w:val="24"/>
          <w:szCs w:val="24"/>
          <w:u w:val="single"/>
        </w:rPr>
      </w:pPr>
    </w:p>
    <w:p w14:paraId="62020BEB" w14:textId="02036DDA" w:rsidR="00291329" w:rsidRPr="00FA79D3" w:rsidRDefault="00291329" w:rsidP="00291329">
      <w:pPr>
        <w:ind w:left="1440"/>
        <w:rPr>
          <w:rFonts w:ascii="Book Antiqua" w:hAnsi="Book Antiqua"/>
          <w:i/>
          <w:iCs/>
          <w:sz w:val="24"/>
          <w:szCs w:val="24"/>
          <w:u w:val="single"/>
        </w:rPr>
      </w:pPr>
      <w:r w:rsidRPr="00FA79D3">
        <w:rPr>
          <w:rFonts w:ascii="Book Antiqua" w:hAnsi="Book Antiqua"/>
          <w:b/>
          <w:bCs/>
          <w:sz w:val="24"/>
          <w:szCs w:val="24"/>
        </w:rPr>
        <w:t>Modality</w:t>
      </w:r>
      <w:r w:rsidRPr="00FA79D3">
        <w:rPr>
          <w:rFonts w:ascii="Book Antiqua" w:hAnsi="Book Antiqua"/>
          <w:color w:val="0563C1"/>
          <w:sz w:val="24"/>
          <w:szCs w:val="24"/>
          <w:u w:val="single"/>
        </w:rPr>
        <w:t xml:space="preserve">: </w:t>
      </w:r>
      <w:proofErr w:type="spellStart"/>
      <w:r w:rsidRPr="00FA79D3">
        <w:rPr>
          <w:rFonts w:ascii="Book Antiqua" w:hAnsi="Book Antiqua"/>
          <w:i/>
          <w:iCs/>
          <w:sz w:val="24"/>
          <w:szCs w:val="24"/>
          <w:u w:val="single"/>
        </w:rPr>
        <w:t>Face</w:t>
      </w:r>
      <w:r w:rsidR="00752124">
        <w:rPr>
          <w:rFonts w:ascii="Book Antiqua" w:hAnsi="Book Antiqua"/>
          <w:i/>
          <w:iCs/>
          <w:sz w:val="24"/>
          <w:szCs w:val="24"/>
          <w:u w:val="single"/>
        </w:rPr>
        <w:t>T</w:t>
      </w:r>
      <w:r w:rsidRPr="00FA79D3">
        <w:rPr>
          <w:rFonts w:ascii="Book Antiqua" w:hAnsi="Book Antiqua"/>
          <w:i/>
          <w:iCs/>
          <w:sz w:val="24"/>
          <w:szCs w:val="24"/>
          <w:u w:val="single"/>
        </w:rPr>
        <w:t>oFace</w:t>
      </w:r>
      <w:proofErr w:type="spellEnd"/>
      <w:r w:rsidRPr="00FA79D3">
        <w:rPr>
          <w:rFonts w:ascii="Book Antiqua" w:hAnsi="Book Antiqua"/>
          <w:i/>
          <w:iCs/>
          <w:sz w:val="24"/>
          <w:szCs w:val="24"/>
          <w:u w:val="single"/>
        </w:rPr>
        <w:t xml:space="preserve"> or Remote</w:t>
      </w:r>
    </w:p>
    <w:p w14:paraId="03900EDE" w14:textId="77777777" w:rsidR="00291329" w:rsidRPr="00FA79D3" w:rsidRDefault="00291329" w:rsidP="00291329">
      <w:pPr>
        <w:ind w:left="2160"/>
        <w:rPr>
          <w:rFonts w:ascii="Book Antiqua" w:hAnsi="Book Antiqua"/>
          <w:sz w:val="24"/>
          <w:szCs w:val="24"/>
          <w:u w:val="single"/>
        </w:rPr>
      </w:pPr>
      <w:r w:rsidRPr="00FA79D3">
        <w:rPr>
          <w:rFonts w:ascii="Book Antiqua" w:hAnsi="Book Antiqua"/>
          <w:sz w:val="24"/>
          <w:szCs w:val="24"/>
        </w:rPr>
        <w:t xml:space="preserve">Indicates whether that particular day for the student was either classified as an </w:t>
      </w:r>
      <w:proofErr w:type="gramStart"/>
      <w:r w:rsidRPr="00FA79D3">
        <w:rPr>
          <w:rFonts w:ascii="Book Antiqua" w:hAnsi="Book Antiqua"/>
          <w:sz w:val="24"/>
          <w:szCs w:val="24"/>
        </w:rPr>
        <w:t>in person</w:t>
      </w:r>
      <w:proofErr w:type="gramEnd"/>
      <w:r w:rsidRPr="00FA79D3">
        <w:rPr>
          <w:rFonts w:ascii="Book Antiqua" w:hAnsi="Book Antiqua"/>
          <w:sz w:val="24"/>
          <w:szCs w:val="24"/>
        </w:rPr>
        <w:t xml:space="preserve"> instruction day, or a remote instruction day. </w:t>
      </w:r>
      <w:r w:rsidRPr="00FA79D3">
        <w:rPr>
          <w:rFonts w:ascii="Book Antiqua" w:hAnsi="Book Antiqua"/>
          <w:sz w:val="24"/>
          <w:szCs w:val="24"/>
          <w:u w:val="single"/>
        </w:rPr>
        <w:t>If a student was exactly 50% Remote and In-Person, the school will want to choose Remote.</w:t>
      </w:r>
    </w:p>
    <w:p w14:paraId="1F79547F" w14:textId="77777777" w:rsidR="005E005A" w:rsidRPr="005E005A" w:rsidRDefault="005E005A" w:rsidP="005E005A">
      <w:pPr>
        <w:shd w:val="clear" w:color="auto" w:fill="FFFFFF"/>
        <w:spacing w:after="100" w:afterAutospacing="1" w:line="240" w:lineRule="auto"/>
        <w:outlineLvl w:val="3"/>
        <w:rPr>
          <w:rFonts w:ascii="Book Antiqua" w:eastAsia="Times New Roman" w:hAnsi="Book Antiqua" w:cs="Helvetica"/>
          <w:b/>
          <w:bCs/>
          <w:color w:val="141414"/>
          <w:sz w:val="24"/>
          <w:szCs w:val="24"/>
          <w:u w:val="single"/>
        </w:rPr>
      </w:pPr>
      <w:r w:rsidRPr="005E005A">
        <w:rPr>
          <w:rFonts w:ascii="Book Antiqua" w:eastAsia="Times New Roman" w:hAnsi="Book Antiqua" w:cs="Helvetica"/>
          <w:b/>
          <w:bCs/>
          <w:color w:val="141414"/>
          <w:sz w:val="24"/>
          <w:szCs w:val="24"/>
          <w:u w:val="single"/>
        </w:rPr>
        <w:t>Chronic Absenteeism</w:t>
      </w:r>
    </w:p>
    <w:p w14:paraId="20EB721B" w14:textId="77777777" w:rsidR="00291329" w:rsidRPr="005E005A" w:rsidRDefault="00291329" w:rsidP="00291329">
      <w:pPr>
        <w:shd w:val="clear" w:color="auto" w:fill="FFFFFF"/>
        <w:spacing w:after="100" w:afterAutospacing="1" w:line="240" w:lineRule="auto"/>
        <w:rPr>
          <w:rFonts w:ascii="Book Antiqua" w:eastAsia="Times New Roman" w:hAnsi="Book Antiqua" w:cs="Arial"/>
          <w:color w:val="141414"/>
          <w:sz w:val="24"/>
          <w:szCs w:val="24"/>
        </w:rPr>
      </w:pPr>
      <w:r w:rsidRPr="005E005A">
        <w:rPr>
          <w:rFonts w:ascii="Book Antiqua" w:eastAsia="Times New Roman" w:hAnsi="Book Antiqua" w:cs="Arial"/>
          <w:color w:val="141414"/>
          <w:sz w:val="24"/>
          <w:szCs w:val="24"/>
        </w:rPr>
        <w:t>Maine is now required to report Chronic Absenteeism. This information will also be used by our Every Student Succeeds Act team (ESSA). A student is considered absent if that student is present for less than 50% of his or her instructional day. A student is either considered absent or present for any given day. Less than half is counted as zero; half or more are counted as one. A student is considered chronically absent if a student is absent 10% or more of the days enrolled and is enrolled for a minimum of ten days.</w:t>
      </w:r>
    </w:p>
    <w:p w14:paraId="03853713" w14:textId="77777777" w:rsidR="00291329" w:rsidRPr="005E005A" w:rsidRDefault="00291329" w:rsidP="00291329">
      <w:pPr>
        <w:shd w:val="clear" w:color="auto" w:fill="FFFFFF"/>
        <w:spacing w:after="100" w:afterAutospacing="1" w:line="240" w:lineRule="auto"/>
        <w:rPr>
          <w:rFonts w:ascii="Book Antiqua" w:eastAsia="Times New Roman" w:hAnsi="Book Antiqua" w:cs="Arial"/>
          <w:color w:val="141414"/>
          <w:sz w:val="24"/>
          <w:szCs w:val="24"/>
        </w:rPr>
      </w:pPr>
      <w:r w:rsidRPr="005E005A">
        <w:rPr>
          <w:rFonts w:ascii="Book Antiqua" w:eastAsia="Times New Roman" w:hAnsi="Book Antiqua" w:cs="Arial"/>
          <w:color w:val="141414"/>
          <w:sz w:val="24"/>
          <w:szCs w:val="24"/>
        </w:rPr>
        <w:t xml:space="preserve">Most students have an instructional day that is defined by the school’s daily schedule, but there may be students for whom this is not the case.  For example, a high school senior taking only two classes might have a full instructional day of 3 hours.  That </w:t>
      </w:r>
      <w:r w:rsidRPr="005E005A">
        <w:rPr>
          <w:rFonts w:ascii="Book Antiqua" w:eastAsia="Times New Roman" w:hAnsi="Book Antiqua" w:cs="Arial"/>
          <w:color w:val="141414"/>
          <w:sz w:val="24"/>
          <w:szCs w:val="24"/>
        </w:rPr>
        <w:lastRenderedPageBreak/>
        <w:t>student would be absent if present for fewer than 1.5 hours.  Your schools may also have specific attendance policies that address the completion of instructional activities off-campus (e.g., distance education, community projects).</w:t>
      </w:r>
    </w:p>
    <w:p w14:paraId="0CAB3DAB" w14:textId="77777777" w:rsidR="005E005A" w:rsidRPr="005E005A" w:rsidRDefault="005E005A" w:rsidP="005E005A">
      <w:pPr>
        <w:shd w:val="clear" w:color="auto" w:fill="FFFFFF"/>
        <w:spacing w:after="100" w:afterAutospacing="1" w:line="240" w:lineRule="auto"/>
        <w:rPr>
          <w:rFonts w:ascii="Book Antiqua" w:eastAsia="Times New Roman" w:hAnsi="Book Antiqua" w:cs="Arial"/>
          <w:color w:val="141414"/>
          <w:sz w:val="24"/>
          <w:szCs w:val="24"/>
        </w:rPr>
      </w:pPr>
      <w:r w:rsidRPr="005E005A">
        <w:rPr>
          <w:rFonts w:ascii="Book Antiqua" w:eastAsia="Times New Roman" w:hAnsi="Book Antiqua" w:cs="Arial"/>
          <w:color w:val="141414"/>
          <w:sz w:val="24"/>
          <w:szCs w:val="24"/>
        </w:rPr>
        <w:t xml:space="preserve">Chronic Absenteeism is one of the areas which determines school accountability. A student is defined as being chronically absent if the student is enrolled a minimum of 10 days (60 days for </w:t>
      </w:r>
      <w:proofErr w:type="gramStart"/>
      <w:r w:rsidRPr="005E005A">
        <w:rPr>
          <w:rFonts w:ascii="Book Antiqua" w:eastAsia="Times New Roman" w:hAnsi="Book Antiqua" w:cs="Arial"/>
          <w:color w:val="141414"/>
          <w:sz w:val="24"/>
          <w:szCs w:val="24"/>
        </w:rPr>
        <w:t>correctional facilities</w:t>
      </w:r>
      <w:proofErr w:type="gramEnd"/>
      <w:r w:rsidRPr="005E005A">
        <w:rPr>
          <w:rFonts w:ascii="Book Antiqua" w:eastAsia="Times New Roman" w:hAnsi="Book Antiqua" w:cs="Arial"/>
          <w:color w:val="141414"/>
          <w:sz w:val="24"/>
          <w:szCs w:val="24"/>
        </w:rPr>
        <w:t>) and absent 10% or more of the days enrolled. All absences (excused and unexcused) are used to make this determination. Excused absences are only used to determine if the student should also be deemed truant.</w:t>
      </w:r>
    </w:p>
    <w:p w14:paraId="20697F12" w14:textId="77777777" w:rsidR="005E005A" w:rsidRPr="005E005A" w:rsidRDefault="005E005A" w:rsidP="005E005A">
      <w:pPr>
        <w:shd w:val="clear" w:color="auto" w:fill="FFFFFF"/>
        <w:spacing w:after="100" w:afterAutospacing="1" w:line="240" w:lineRule="auto"/>
        <w:outlineLvl w:val="3"/>
        <w:rPr>
          <w:rFonts w:ascii="Book Antiqua" w:eastAsia="Times New Roman" w:hAnsi="Book Antiqua" w:cs="Helvetica"/>
          <w:b/>
          <w:bCs/>
          <w:color w:val="141414"/>
          <w:sz w:val="24"/>
          <w:szCs w:val="24"/>
          <w:u w:val="single"/>
        </w:rPr>
      </w:pPr>
      <w:r w:rsidRPr="005E005A">
        <w:rPr>
          <w:rFonts w:ascii="Book Antiqua" w:eastAsia="Times New Roman" w:hAnsi="Book Antiqua" w:cs="Helvetica"/>
          <w:b/>
          <w:bCs/>
          <w:color w:val="141414"/>
          <w:sz w:val="24"/>
          <w:szCs w:val="24"/>
          <w:u w:val="single"/>
        </w:rPr>
        <w:t>Reporting Attendance Data</w:t>
      </w:r>
    </w:p>
    <w:p w14:paraId="0A3CA6FD" w14:textId="77777777" w:rsidR="005E005A" w:rsidRPr="005E005A" w:rsidRDefault="005E005A" w:rsidP="005E005A">
      <w:pPr>
        <w:shd w:val="clear" w:color="auto" w:fill="FFFFFF"/>
        <w:spacing w:after="100" w:afterAutospacing="1" w:line="240" w:lineRule="auto"/>
        <w:rPr>
          <w:rFonts w:ascii="Book Antiqua" w:eastAsia="Times New Roman" w:hAnsi="Book Antiqua" w:cs="Arial"/>
          <w:color w:val="141414"/>
          <w:sz w:val="24"/>
          <w:szCs w:val="24"/>
        </w:rPr>
      </w:pPr>
      <w:r w:rsidRPr="005E005A">
        <w:rPr>
          <w:rFonts w:ascii="Book Antiqua" w:eastAsia="Times New Roman" w:hAnsi="Book Antiqua" w:cs="Arial"/>
          <w:color w:val="141414"/>
          <w:sz w:val="24"/>
          <w:szCs w:val="24"/>
        </w:rPr>
        <w:t>Schools are encouraged to upload their attendance data to the MDOE as frequently as possible. At a minimum, please upload this data quarterly:</w:t>
      </w:r>
    </w:p>
    <w:p w14:paraId="53DEFC65" w14:textId="77777777" w:rsidR="005E005A" w:rsidRPr="005E005A" w:rsidRDefault="005E005A" w:rsidP="005E005A">
      <w:pPr>
        <w:numPr>
          <w:ilvl w:val="0"/>
          <w:numId w:val="2"/>
        </w:numPr>
        <w:shd w:val="clear" w:color="auto" w:fill="FFFFFF"/>
        <w:spacing w:before="100" w:beforeAutospacing="1" w:after="100" w:afterAutospacing="1" w:line="240" w:lineRule="auto"/>
        <w:rPr>
          <w:rFonts w:ascii="Book Antiqua" w:eastAsia="Times New Roman" w:hAnsi="Book Antiqua" w:cs="Arial"/>
          <w:color w:val="141414"/>
          <w:sz w:val="24"/>
          <w:szCs w:val="24"/>
        </w:rPr>
      </w:pPr>
      <w:r w:rsidRPr="005E005A">
        <w:rPr>
          <w:rFonts w:ascii="Book Antiqua" w:eastAsia="Times New Roman" w:hAnsi="Book Antiqua" w:cs="Arial"/>
          <w:color w:val="141414"/>
          <w:sz w:val="24"/>
          <w:szCs w:val="24"/>
        </w:rPr>
        <w:t>As of Oct 1 (to include July, August, September) – due Oct 15 (Extended to 10/30 for 2021)</w:t>
      </w:r>
    </w:p>
    <w:p w14:paraId="2C858948" w14:textId="77777777" w:rsidR="005E005A" w:rsidRPr="005E005A" w:rsidRDefault="005E005A" w:rsidP="005E005A">
      <w:pPr>
        <w:numPr>
          <w:ilvl w:val="0"/>
          <w:numId w:val="2"/>
        </w:numPr>
        <w:shd w:val="clear" w:color="auto" w:fill="FFFFFF"/>
        <w:spacing w:before="100" w:beforeAutospacing="1" w:after="100" w:afterAutospacing="1" w:line="240" w:lineRule="auto"/>
        <w:rPr>
          <w:rFonts w:ascii="Book Antiqua" w:eastAsia="Times New Roman" w:hAnsi="Book Antiqua" w:cs="Arial"/>
          <w:color w:val="141414"/>
          <w:sz w:val="24"/>
          <w:szCs w:val="24"/>
        </w:rPr>
      </w:pPr>
      <w:r w:rsidRPr="005E005A">
        <w:rPr>
          <w:rFonts w:ascii="Book Antiqua" w:eastAsia="Times New Roman" w:hAnsi="Book Antiqua" w:cs="Arial"/>
          <w:color w:val="141414"/>
          <w:sz w:val="24"/>
          <w:szCs w:val="24"/>
        </w:rPr>
        <w:t>As of Jan 1 (to include October through December) – due Jan 15</w:t>
      </w:r>
    </w:p>
    <w:p w14:paraId="19F059CA" w14:textId="77777777" w:rsidR="005E005A" w:rsidRPr="005E005A" w:rsidRDefault="005E005A" w:rsidP="005E005A">
      <w:pPr>
        <w:numPr>
          <w:ilvl w:val="0"/>
          <w:numId w:val="2"/>
        </w:numPr>
        <w:shd w:val="clear" w:color="auto" w:fill="FFFFFF"/>
        <w:spacing w:before="100" w:beforeAutospacing="1" w:after="100" w:afterAutospacing="1" w:line="240" w:lineRule="auto"/>
        <w:rPr>
          <w:rFonts w:ascii="Book Antiqua" w:eastAsia="Times New Roman" w:hAnsi="Book Antiqua" w:cs="Arial"/>
          <w:color w:val="141414"/>
          <w:sz w:val="24"/>
          <w:szCs w:val="24"/>
        </w:rPr>
      </w:pPr>
      <w:r w:rsidRPr="005E005A">
        <w:rPr>
          <w:rFonts w:ascii="Book Antiqua" w:eastAsia="Times New Roman" w:hAnsi="Book Antiqua" w:cs="Arial"/>
          <w:color w:val="141414"/>
          <w:sz w:val="24"/>
          <w:szCs w:val="24"/>
        </w:rPr>
        <w:t>As of April 1 (to include January through March) – due April 15</w:t>
      </w:r>
    </w:p>
    <w:p w14:paraId="34B14A90" w14:textId="77777777" w:rsidR="005E005A" w:rsidRPr="005E005A" w:rsidRDefault="005E005A" w:rsidP="005E005A">
      <w:pPr>
        <w:numPr>
          <w:ilvl w:val="0"/>
          <w:numId w:val="2"/>
        </w:numPr>
        <w:shd w:val="clear" w:color="auto" w:fill="FFFFFF"/>
        <w:spacing w:before="100" w:beforeAutospacing="1" w:after="100" w:afterAutospacing="1" w:line="240" w:lineRule="auto"/>
        <w:rPr>
          <w:rFonts w:ascii="Book Antiqua" w:eastAsia="Times New Roman" w:hAnsi="Book Antiqua" w:cs="Arial"/>
          <w:color w:val="141414"/>
          <w:sz w:val="24"/>
          <w:szCs w:val="24"/>
        </w:rPr>
      </w:pPr>
      <w:r w:rsidRPr="005E005A">
        <w:rPr>
          <w:rFonts w:ascii="Book Antiqua" w:eastAsia="Times New Roman" w:hAnsi="Book Antiqua" w:cs="Arial"/>
          <w:color w:val="141414"/>
          <w:sz w:val="24"/>
          <w:szCs w:val="24"/>
        </w:rPr>
        <w:t>As of July 1 (to include April through June) – due July 7 (end-of-year data)</w:t>
      </w:r>
    </w:p>
    <w:p w14:paraId="1086484A" w14:textId="77777777" w:rsidR="005E005A" w:rsidRPr="005E005A" w:rsidRDefault="005E005A" w:rsidP="005E005A">
      <w:pPr>
        <w:shd w:val="clear" w:color="auto" w:fill="FFFFFF"/>
        <w:spacing w:after="100" w:afterAutospacing="1" w:line="240" w:lineRule="auto"/>
        <w:rPr>
          <w:rFonts w:ascii="Book Antiqua" w:eastAsia="Times New Roman" w:hAnsi="Book Antiqua" w:cs="Arial"/>
          <w:color w:val="141414"/>
          <w:sz w:val="24"/>
          <w:szCs w:val="24"/>
        </w:rPr>
      </w:pPr>
      <w:r w:rsidRPr="005E005A">
        <w:rPr>
          <w:rFonts w:ascii="Book Antiqua" w:eastAsia="Times New Roman" w:hAnsi="Book Antiqua" w:cs="Arial"/>
          <w:b/>
          <w:bCs/>
          <w:color w:val="141414"/>
          <w:sz w:val="24"/>
          <w:szCs w:val="24"/>
        </w:rPr>
        <w:t>Please note that each quarterly attendance report needs to be certified by the superintendent.</w:t>
      </w:r>
    </w:p>
    <w:p w14:paraId="1D8FABAA" w14:textId="7E7EEDAD" w:rsidR="001A3715" w:rsidRPr="00FA79D3" w:rsidRDefault="00752124">
      <w:pPr>
        <w:rPr>
          <w:rFonts w:ascii="Book Antiqua" w:eastAsia="Times New Roman" w:hAnsi="Book Antiqua" w:cs="Arial"/>
          <w:color w:val="141414"/>
          <w:sz w:val="24"/>
          <w:szCs w:val="24"/>
        </w:rPr>
      </w:pPr>
      <w:hyperlink r:id="rId8" w:history="1">
        <w:r w:rsidR="001460DA" w:rsidRPr="00FA79D3">
          <w:rPr>
            <w:rStyle w:val="Hyperlink"/>
            <w:rFonts w:ascii="Book Antiqua" w:eastAsia="Times New Roman" w:hAnsi="Book Antiqua" w:cs="Arial"/>
            <w:sz w:val="24"/>
            <w:szCs w:val="24"/>
          </w:rPr>
          <w:t>Student Daily Attendance Webinar</w:t>
        </w:r>
      </w:hyperlink>
      <w:r w:rsidR="001460DA" w:rsidRPr="00FA79D3">
        <w:rPr>
          <w:rFonts w:ascii="Book Antiqua" w:eastAsia="Times New Roman" w:hAnsi="Book Antiqua" w:cs="Arial"/>
          <w:color w:val="141414"/>
          <w:sz w:val="24"/>
          <w:szCs w:val="24"/>
        </w:rPr>
        <w:t xml:space="preserve"> (recorded </w:t>
      </w:r>
      <w:r w:rsidR="00D53504" w:rsidRPr="00FA79D3">
        <w:rPr>
          <w:rFonts w:ascii="Book Antiqua" w:eastAsia="Times New Roman" w:hAnsi="Book Antiqua" w:cs="Arial"/>
          <w:color w:val="141414"/>
          <w:sz w:val="24"/>
          <w:szCs w:val="24"/>
        </w:rPr>
        <w:t>2/28/2022)</w:t>
      </w:r>
    </w:p>
    <w:p w14:paraId="2563F05D" w14:textId="34D8C645" w:rsidR="008246E6" w:rsidRPr="00FA79D3" w:rsidRDefault="00752124">
      <w:pPr>
        <w:rPr>
          <w:rFonts w:ascii="Book Antiqua" w:eastAsia="Times New Roman" w:hAnsi="Book Antiqua" w:cs="Arial"/>
          <w:color w:val="141414"/>
          <w:sz w:val="24"/>
          <w:szCs w:val="24"/>
        </w:rPr>
      </w:pPr>
      <w:hyperlink r:id="rId9" w:history="1">
        <w:r w:rsidR="008246E6" w:rsidRPr="00FA79D3">
          <w:rPr>
            <w:rStyle w:val="Hyperlink"/>
            <w:rFonts w:ascii="Book Antiqua" w:eastAsia="Times New Roman" w:hAnsi="Book Antiqua" w:cs="Arial"/>
            <w:sz w:val="24"/>
            <w:szCs w:val="24"/>
          </w:rPr>
          <w:t>Student Daily Attendance Webinar Q</w:t>
        </w:r>
        <w:r w:rsidR="000F3BBE" w:rsidRPr="00FA79D3">
          <w:rPr>
            <w:rStyle w:val="Hyperlink"/>
            <w:rFonts w:ascii="Book Antiqua" w:eastAsia="Times New Roman" w:hAnsi="Book Antiqua" w:cs="Arial"/>
            <w:sz w:val="24"/>
            <w:szCs w:val="24"/>
          </w:rPr>
          <w:t>&amp;</w:t>
        </w:r>
        <w:r w:rsidR="008246E6" w:rsidRPr="00FA79D3">
          <w:rPr>
            <w:rStyle w:val="Hyperlink"/>
            <w:rFonts w:ascii="Book Antiqua" w:eastAsia="Times New Roman" w:hAnsi="Book Antiqua" w:cs="Arial"/>
            <w:sz w:val="24"/>
            <w:szCs w:val="24"/>
          </w:rPr>
          <w:t>A</w:t>
        </w:r>
      </w:hyperlink>
    </w:p>
    <w:p w14:paraId="6E7A362E" w14:textId="720DF811" w:rsidR="00A87A3D" w:rsidRPr="00FA79D3" w:rsidRDefault="00752124">
      <w:pPr>
        <w:rPr>
          <w:rFonts w:ascii="Book Antiqua" w:eastAsia="Times New Roman" w:hAnsi="Book Antiqua" w:cs="Arial"/>
          <w:color w:val="141414"/>
          <w:sz w:val="24"/>
          <w:szCs w:val="24"/>
        </w:rPr>
      </w:pPr>
      <w:hyperlink r:id="rId10" w:history="1">
        <w:r w:rsidR="00A87A3D" w:rsidRPr="00FA79D3">
          <w:rPr>
            <w:rStyle w:val="Hyperlink"/>
            <w:rFonts w:ascii="Book Antiqua" w:eastAsia="Times New Roman" w:hAnsi="Book Antiqua" w:cs="Arial"/>
            <w:sz w:val="24"/>
            <w:szCs w:val="24"/>
          </w:rPr>
          <w:t xml:space="preserve">NEO Student Daily </w:t>
        </w:r>
        <w:r w:rsidR="000C4746" w:rsidRPr="00FA79D3">
          <w:rPr>
            <w:rStyle w:val="Hyperlink"/>
            <w:rFonts w:ascii="Book Antiqua" w:eastAsia="Times New Roman" w:hAnsi="Book Antiqua" w:cs="Arial"/>
            <w:sz w:val="24"/>
            <w:szCs w:val="24"/>
          </w:rPr>
          <w:t>Attendance Training Video</w:t>
        </w:r>
      </w:hyperlink>
      <w:r w:rsidR="000C4746" w:rsidRPr="00FA79D3">
        <w:rPr>
          <w:rFonts w:ascii="Book Antiqua" w:eastAsia="Times New Roman" w:hAnsi="Book Antiqua" w:cs="Arial"/>
          <w:color w:val="141414"/>
          <w:sz w:val="24"/>
          <w:szCs w:val="24"/>
        </w:rPr>
        <w:t xml:space="preserve"> (recorded 2/11/2022)</w:t>
      </w:r>
    </w:p>
    <w:p w14:paraId="6224DAC9" w14:textId="1C84F61B" w:rsidR="000F3BBE" w:rsidRPr="00FA79D3" w:rsidRDefault="00752124" w:rsidP="000F3BBE">
      <w:pPr>
        <w:rPr>
          <w:rFonts w:ascii="Book Antiqua" w:eastAsia="Times New Roman" w:hAnsi="Book Antiqua" w:cs="Arial"/>
          <w:color w:val="141414"/>
          <w:sz w:val="24"/>
          <w:szCs w:val="24"/>
        </w:rPr>
      </w:pPr>
      <w:hyperlink r:id="rId11" w:history="1">
        <w:r w:rsidR="000F3BBE" w:rsidRPr="00FA79D3">
          <w:rPr>
            <w:rStyle w:val="Hyperlink"/>
            <w:rFonts w:ascii="Book Antiqua" w:eastAsia="Times New Roman" w:hAnsi="Book Antiqua" w:cs="Arial"/>
            <w:sz w:val="24"/>
            <w:szCs w:val="24"/>
          </w:rPr>
          <w:t>Daily Attendance Details Report Instructions</w:t>
        </w:r>
      </w:hyperlink>
      <w:r w:rsidR="000F3BBE" w:rsidRPr="00FA79D3">
        <w:rPr>
          <w:rFonts w:ascii="Book Antiqua" w:eastAsia="Times New Roman" w:hAnsi="Book Antiqua" w:cs="Arial"/>
          <w:color w:val="141414"/>
          <w:sz w:val="24"/>
          <w:szCs w:val="24"/>
        </w:rPr>
        <w:t xml:space="preserve"> </w:t>
      </w:r>
    </w:p>
    <w:p w14:paraId="3AEA4A08" w14:textId="07A11EFB" w:rsidR="000F3BBE" w:rsidRPr="00FA79D3" w:rsidRDefault="00752124" w:rsidP="000F3BBE">
      <w:pPr>
        <w:rPr>
          <w:rFonts w:ascii="Book Antiqua" w:eastAsia="Times New Roman" w:hAnsi="Book Antiqua" w:cs="Arial"/>
          <w:color w:val="141414"/>
          <w:sz w:val="24"/>
          <w:szCs w:val="24"/>
        </w:rPr>
      </w:pPr>
      <w:hyperlink r:id="rId12" w:history="1">
        <w:r w:rsidR="000F3BBE" w:rsidRPr="00FA79D3">
          <w:rPr>
            <w:rStyle w:val="Hyperlink"/>
            <w:rFonts w:ascii="Book Antiqua" w:eastAsia="Times New Roman" w:hAnsi="Book Antiqua" w:cs="Arial"/>
            <w:sz w:val="24"/>
            <w:szCs w:val="24"/>
          </w:rPr>
          <w:t>Daily Attendance Student Lookup Instructions</w:t>
        </w:r>
      </w:hyperlink>
      <w:r w:rsidR="000F3BBE" w:rsidRPr="00FA79D3">
        <w:rPr>
          <w:rFonts w:ascii="Book Antiqua" w:eastAsia="Times New Roman" w:hAnsi="Book Antiqua" w:cs="Arial"/>
          <w:color w:val="141414"/>
          <w:sz w:val="24"/>
          <w:szCs w:val="24"/>
        </w:rPr>
        <w:t xml:space="preserve"> </w:t>
      </w:r>
    </w:p>
    <w:p w14:paraId="6279BAFD" w14:textId="75D4B8E1" w:rsidR="000F3BBE" w:rsidRPr="00FA79D3" w:rsidRDefault="00752124" w:rsidP="000F3BBE">
      <w:pPr>
        <w:rPr>
          <w:rFonts w:ascii="Book Antiqua" w:eastAsia="Times New Roman" w:hAnsi="Book Antiqua" w:cs="Arial"/>
          <w:color w:val="141414"/>
          <w:sz w:val="24"/>
          <w:szCs w:val="24"/>
        </w:rPr>
      </w:pPr>
      <w:hyperlink r:id="rId13" w:history="1">
        <w:r w:rsidR="000F3BBE" w:rsidRPr="00FA79D3">
          <w:rPr>
            <w:rStyle w:val="Hyperlink"/>
            <w:rFonts w:ascii="Book Antiqua" w:eastAsia="Times New Roman" w:hAnsi="Book Antiqua" w:cs="Arial"/>
            <w:sz w:val="24"/>
            <w:szCs w:val="24"/>
          </w:rPr>
          <w:t>Daily Attendance Summary Report Instructions</w:t>
        </w:r>
      </w:hyperlink>
      <w:r w:rsidR="000F3BBE" w:rsidRPr="00FA79D3">
        <w:rPr>
          <w:rFonts w:ascii="Book Antiqua" w:eastAsia="Times New Roman" w:hAnsi="Book Antiqua" w:cs="Arial"/>
          <w:color w:val="141414"/>
          <w:sz w:val="24"/>
          <w:szCs w:val="24"/>
        </w:rPr>
        <w:t xml:space="preserve"> </w:t>
      </w:r>
    </w:p>
    <w:sectPr w:rsidR="000F3BBE" w:rsidRPr="00FA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034F"/>
    <w:multiLevelType w:val="hybridMultilevel"/>
    <w:tmpl w:val="970C267C"/>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 w15:restartNumberingAfterBreak="0">
    <w:nsid w:val="21C81E13"/>
    <w:multiLevelType w:val="hybridMultilevel"/>
    <w:tmpl w:val="F4109B18"/>
    <w:lvl w:ilvl="0" w:tplc="78F825F8">
      <w:start w:val="1"/>
      <w:numFmt w:val="upperLetter"/>
      <w:lvlText w:val="%1."/>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E996E">
      <w:start w:val="1"/>
      <w:numFmt w:val="lowerLetter"/>
      <w:lvlText w:val="%2"/>
      <w:lvlJc w:val="left"/>
      <w:pPr>
        <w:ind w:left="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A8B74">
      <w:start w:val="1"/>
      <w:numFmt w:val="lowerRoman"/>
      <w:lvlText w:val="%3"/>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E3108">
      <w:start w:val="1"/>
      <w:numFmt w:val="decimal"/>
      <w:lvlText w:val="%4"/>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6A01E">
      <w:start w:val="1"/>
      <w:numFmt w:val="lowerLetter"/>
      <w:lvlText w:val="%5"/>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22984">
      <w:start w:val="1"/>
      <w:numFmt w:val="lowerRoman"/>
      <w:lvlText w:val="%6"/>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EF172">
      <w:start w:val="1"/>
      <w:numFmt w:val="decimal"/>
      <w:lvlText w:val="%7"/>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2EEFA">
      <w:start w:val="1"/>
      <w:numFmt w:val="lowerLetter"/>
      <w:lvlText w:val="%8"/>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E6AE8">
      <w:start w:val="1"/>
      <w:numFmt w:val="lowerRoman"/>
      <w:lvlText w:val="%9"/>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6B678D"/>
    <w:multiLevelType w:val="multilevel"/>
    <w:tmpl w:val="CE72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2582B"/>
    <w:multiLevelType w:val="multilevel"/>
    <w:tmpl w:val="6D6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13A8C"/>
    <w:multiLevelType w:val="hybridMultilevel"/>
    <w:tmpl w:val="9BD6DF4A"/>
    <w:lvl w:ilvl="0" w:tplc="96D854DE">
      <w:start w:val="5"/>
      <w:numFmt w:val="upperLetter"/>
      <w:lvlText w:val="%1."/>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0B816">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82B34">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C4868">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8D79C">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8D224">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CEFE8">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2EE8E">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AD0DE">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5E"/>
    <w:rsid w:val="000C4746"/>
    <w:rsid w:val="000C7CE1"/>
    <w:rsid w:val="000F3BBE"/>
    <w:rsid w:val="001460DA"/>
    <w:rsid w:val="001A3715"/>
    <w:rsid w:val="00291329"/>
    <w:rsid w:val="00361642"/>
    <w:rsid w:val="005E005A"/>
    <w:rsid w:val="00752124"/>
    <w:rsid w:val="008246E6"/>
    <w:rsid w:val="0085090B"/>
    <w:rsid w:val="008A389D"/>
    <w:rsid w:val="00A87A3D"/>
    <w:rsid w:val="00AA765E"/>
    <w:rsid w:val="00C03CFD"/>
    <w:rsid w:val="00C4569B"/>
    <w:rsid w:val="00D53504"/>
    <w:rsid w:val="00F82122"/>
    <w:rsid w:val="00FA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4C59"/>
  <w15:chartTrackingRefBased/>
  <w15:docId w15:val="{AC2D7F90-399C-4761-873E-0BB077A2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65E"/>
    <w:rPr>
      <w:color w:val="0000FF" w:themeColor="hyperlink"/>
      <w:u w:val="single"/>
    </w:rPr>
  </w:style>
  <w:style w:type="character" w:styleId="UnresolvedMention">
    <w:name w:val="Unresolved Mention"/>
    <w:basedOn w:val="DefaultParagraphFont"/>
    <w:uiPriority w:val="99"/>
    <w:semiHidden/>
    <w:unhideWhenUsed/>
    <w:rsid w:val="00AA765E"/>
    <w:rPr>
      <w:color w:val="605E5C"/>
      <w:shd w:val="clear" w:color="auto" w:fill="E1DFDD"/>
    </w:rPr>
  </w:style>
  <w:style w:type="character" w:styleId="FollowedHyperlink">
    <w:name w:val="FollowedHyperlink"/>
    <w:basedOn w:val="DefaultParagraphFont"/>
    <w:uiPriority w:val="99"/>
    <w:semiHidden/>
    <w:unhideWhenUsed/>
    <w:rsid w:val="005E005A"/>
    <w:rPr>
      <w:color w:val="800080" w:themeColor="followedHyperlink"/>
      <w:u w:val="single"/>
    </w:rPr>
  </w:style>
  <w:style w:type="paragraph" w:styleId="ListParagraph">
    <w:name w:val="List Paragraph"/>
    <w:basedOn w:val="Normal"/>
    <w:uiPriority w:val="34"/>
    <w:qFormat/>
    <w:rsid w:val="00291329"/>
    <w:pPr>
      <w:spacing w:after="4" w:line="256" w:lineRule="auto"/>
      <w:ind w:left="720" w:hanging="1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429747">
      <w:bodyDiv w:val="1"/>
      <w:marLeft w:val="0"/>
      <w:marRight w:val="0"/>
      <w:marTop w:val="0"/>
      <w:marBottom w:val="0"/>
      <w:divBdr>
        <w:top w:val="none" w:sz="0" w:space="0" w:color="auto"/>
        <w:left w:val="none" w:sz="0" w:space="0" w:color="auto"/>
        <w:bottom w:val="none" w:sz="0" w:space="0" w:color="auto"/>
        <w:right w:val="none" w:sz="0" w:space="0" w:color="auto"/>
      </w:divBdr>
    </w:div>
    <w:div w:id="1914393860">
      <w:bodyDiv w:val="1"/>
      <w:marLeft w:val="0"/>
      <w:marRight w:val="0"/>
      <w:marTop w:val="0"/>
      <w:marBottom w:val="0"/>
      <w:divBdr>
        <w:top w:val="none" w:sz="0" w:space="0" w:color="auto"/>
        <w:left w:val="none" w:sz="0" w:space="0" w:color="auto"/>
        <w:bottom w:val="none" w:sz="0" w:space="0" w:color="auto"/>
        <w:right w:val="none" w:sz="0" w:space="0" w:color="auto"/>
      </w:divBdr>
      <w:divsChild>
        <w:div w:id="662855409">
          <w:marLeft w:val="0"/>
          <w:marRight w:val="0"/>
          <w:marTop w:val="0"/>
          <w:marBottom w:val="0"/>
          <w:divBdr>
            <w:top w:val="none" w:sz="0" w:space="0" w:color="auto"/>
            <w:left w:val="none" w:sz="0" w:space="0" w:color="auto"/>
            <w:bottom w:val="none" w:sz="0" w:space="0" w:color="auto"/>
            <w:right w:val="none" w:sz="0" w:space="0" w:color="auto"/>
          </w:divBdr>
          <w:divsChild>
            <w:div w:id="118912112">
              <w:marLeft w:val="0"/>
              <w:marRight w:val="0"/>
              <w:marTop w:val="0"/>
              <w:marBottom w:val="0"/>
              <w:divBdr>
                <w:top w:val="none" w:sz="0" w:space="0" w:color="auto"/>
                <w:left w:val="none" w:sz="0" w:space="0" w:color="auto"/>
                <w:bottom w:val="none" w:sz="0" w:space="0" w:color="auto"/>
                <w:right w:val="none" w:sz="0" w:space="0" w:color="auto"/>
              </w:divBdr>
              <w:divsChild>
                <w:div w:id="2130316212">
                  <w:marLeft w:val="0"/>
                  <w:marRight w:val="0"/>
                  <w:marTop w:val="0"/>
                  <w:marBottom w:val="0"/>
                  <w:divBdr>
                    <w:top w:val="none" w:sz="0" w:space="0" w:color="auto"/>
                    <w:left w:val="none" w:sz="0" w:space="0" w:color="auto"/>
                    <w:bottom w:val="none" w:sz="0" w:space="0" w:color="auto"/>
                    <w:right w:val="none" w:sz="0" w:space="0" w:color="auto"/>
                  </w:divBdr>
                  <w:divsChild>
                    <w:div w:id="365182914">
                      <w:marLeft w:val="0"/>
                      <w:marRight w:val="0"/>
                      <w:marTop w:val="0"/>
                      <w:marBottom w:val="0"/>
                      <w:divBdr>
                        <w:top w:val="none" w:sz="0" w:space="0" w:color="auto"/>
                        <w:left w:val="none" w:sz="0" w:space="0" w:color="auto"/>
                        <w:bottom w:val="none" w:sz="0" w:space="0" w:color="auto"/>
                        <w:right w:val="none" w:sz="0" w:space="0" w:color="auto"/>
                      </w:divBdr>
                      <w:divsChild>
                        <w:div w:id="652759620">
                          <w:marLeft w:val="0"/>
                          <w:marRight w:val="0"/>
                          <w:marTop w:val="0"/>
                          <w:marBottom w:val="0"/>
                          <w:divBdr>
                            <w:top w:val="none" w:sz="0" w:space="0" w:color="auto"/>
                            <w:left w:val="none" w:sz="0" w:space="0" w:color="auto"/>
                            <w:bottom w:val="none" w:sz="0" w:space="0" w:color="auto"/>
                            <w:right w:val="none" w:sz="0" w:space="0" w:color="auto"/>
                          </w:divBdr>
                          <w:divsChild>
                            <w:div w:id="122887298">
                              <w:marLeft w:val="0"/>
                              <w:marRight w:val="0"/>
                              <w:marTop w:val="100"/>
                              <w:marBottom w:val="100"/>
                              <w:divBdr>
                                <w:top w:val="none" w:sz="0" w:space="0" w:color="auto"/>
                                <w:left w:val="none" w:sz="0" w:space="0" w:color="auto"/>
                                <w:bottom w:val="none" w:sz="0" w:space="0" w:color="auto"/>
                                <w:right w:val="none" w:sz="0" w:space="0" w:color="auto"/>
                              </w:divBdr>
                              <w:divsChild>
                                <w:div w:id="20415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ileBVui27U" TargetMode="External"/><Relationship Id="rId13" Type="http://schemas.openxmlformats.org/officeDocument/2006/relationships/hyperlink" Target="https://www.maine.gov/doe/sites/maine.gov.doe/files/inline-files/NEO%20Daily%20Attendance%20Summary%20Report%20Instructions.docx" TargetMode="External"/><Relationship Id="rId3" Type="http://schemas.openxmlformats.org/officeDocument/2006/relationships/settings" Target="settings.xml"/><Relationship Id="rId7" Type="http://schemas.openxmlformats.org/officeDocument/2006/relationships/hyperlink" Target="http://www.mainelegislature.org/legis/statutes/20-A/title20-Asec5001-A.html" TargetMode="External"/><Relationship Id="rId12" Type="http://schemas.openxmlformats.org/officeDocument/2006/relationships/hyperlink" Target="https://www.maine.gov/doe/sites/maine.gov.doe/files/inline-files/NEO%20Daily%20Attendance%20Student%20Lookup%20Instruction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legislature.org/legis/statutes/20-A/title20-Asec5001-A.html" TargetMode="External"/><Relationship Id="rId11" Type="http://schemas.openxmlformats.org/officeDocument/2006/relationships/hyperlink" Target="https://www.maine.gov/doe/sites/maine.gov.doe/files/inline-files/NEO%20Daily%20Attendance%20Details%20Report%20Instructions%20%28003%29.docx" TargetMode="External"/><Relationship Id="rId5" Type="http://schemas.openxmlformats.org/officeDocument/2006/relationships/hyperlink" Target="https://www.maine.gov/doe/data-reporting/collection/helpdesk/resources/synergy_instructions" TargetMode="External"/><Relationship Id="rId15" Type="http://schemas.openxmlformats.org/officeDocument/2006/relationships/theme" Target="theme/theme1.xml"/><Relationship Id="rId10" Type="http://schemas.openxmlformats.org/officeDocument/2006/relationships/hyperlink" Target="https://youtu.be/6EcgJcMjttE" TargetMode="External"/><Relationship Id="rId4" Type="http://schemas.openxmlformats.org/officeDocument/2006/relationships/webSettings" Target="webSettings.xml"/><Relationship Id="rId9" Type="http://schemas.openxmlformats.org/officeDocument/2006/relationships/hyperlink" Target="https://www.maine.gov/doe/sites/maine.gov.doe/files/inline-files/Student%20Daily%20Attendance%20QnA.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2</cp:revision>
  <dcterms:created xsi:type="dcterms:W3CDTF">2022-04-14T14:30:00Z</dcterms:created>
  <dcterms:modified xsi:type="dcterms:W3CDTF">2022-04-14T14:30:00Z</dcterms:modified>
</cp:coreProperties>
</file>